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cstheme="majorEastAsia"/>
          <w:b/>
          <w:bCs/>
          <w:sz w:val="52"/>
          <w:szCs w:val="52"/>
        </w:rPr>
      </w:pPr>
      <w:bookmarkStart w:id="0" w:name="_Toc281574833"/>
    </w:p>
    <w:p>
      <w:pPr>
        <w:spacing w:line="360" w:lineRule="auto"/>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52"/>
          <w:szCs w:val="52"/>
          <w:lang w:eastAsia="zh-CN"/>
        </w:rPr>
        <w:t>2024年度博爱县许良镇泗沟村食品加工采购项目</w:t>
      </w:r>
    </w:p>
    <w:p>
      <w:pPr>
        <w:spacing w:line="360" w:lineRule="auto"/>
        <w:jc w:val="center"/>
        <w:rPr>
          <w:rFonts w:hint="eastAsia" w:asciiTheme="majorEastAsia" w:hAnsiTheme="majorEastAsia" w:eastAsiaTheme="majorEastAsia" w:cstheme="majorEastAsia"/>
          <w:b/>
          <w:bCs/>
          <w:sz w:val="44"/>
          <w:szCs w:val="44"/>
        </w:rPr>
      </w:pPr>
    </w:p>
    <w:p>
      <w:pPr>
        <w:spacing w:line="360" w:lineRule="auto"/>
        <w:jc w:val="center"/>
        <w:rPr>
          <w:rFonts w:hint="eastAsia" w:asciiTheme="majorEastAsia" w:hAnsiTheme="majorEastAsia" w:eastAsiaTheme="majorEastAsia" w:cstheme="majorEastAsia"/>
          <w:b/>
          <w:bCs/>
          <w:sz w:val="44"/>
          <w:szCs w:val="44"/>
        </w:rPr>
      </w:pPr>
    </w:p>
    <w:p>
      <w:pPr>
        <w:spacing w:line="360" w:lineRule="auto"/>
        <w:jc w:val="center"/>
        <w:rPr>
          <w:rFonts w:hint="eastAsia" w:asciiTheme="minorEastAsia" w:hAnsiTheme="minorEastAsia" w:eastAsiaTheme="minorEastAsia" w:cstheme="minorEastAsia"/>
          <w:b/>
          <w:sz w:val="100"/>
          <w:szCs w:val="100"/>
        </w:rPr>
      </w:pPr>
      <w:r>
        <w:rPr>
          <w:rFonts w:hint="eastAsia" w:asciiTheme="majorEastAsia" w:hAnsiTheme="majorEastAsia" w:eastAsiaTheme="majorEastAsia" w:cstheme="majorEastAsia"/>
          <w:b/>
          <w:bCs/>
          <w:sz w:val="44"/>
          <w:szCs w:val="44"/>
        </w:rPr>
        <w:t xml:space="preserve"> </w:t>
      </w:r>
      <w:r>
        <w:rPr>
          <w:rFonts w:hint="eastAsia" w:asciiTheme="minorEastAsia" w:hAnsiTheme="minorEastAsia" w:eastAsiaTheme="minorEastAsia" w:cstheme="minorEastAsia"/>
          <w:b/>
          <w:sz w:val="100"/>
          <w:szCs w:val="100"/>
        </w:rPr>
        <w:t>招标文件</w:t>
      </w:r>
    </w:p>
    <w:p>
      <w:pPr>
        <w:spacing w:line="360" w:lineRule="auto"/>
        <w:jc w:val="center"/>
        <w:rPr>
          <w:rFonts w:hint="eastAsia" w:asciiTheme="minorEastAsia" w:hAnsiTheme="minorEastAsia" w:eastAsiaTheme="minorEastAsia" w:cstheme="minorEastAsia"/>
          <w:b/>
          <w:sz w:val="100"/>
          <w:szCs w:val="100"/>
        </w:rPr>
      </w:pPr>
      <w:r>
        <w:rPr>
          <w:rFonts w:hint="eastAsia" w:ascii="宋体"/>
          <w:b/>
          <w:color w:val="auto"/>
          <w:kern w:val="0"/>
          <w:sz w:val="32"/>
          <w:szCs w:val="32"/>
          <w:u w:val="double"/>
          <w:lang w:val="en-US" w:eastAsia="zh-CN"/>
        </w:rPr>
        <w:t>该项目全额面向中小企业采购</w:t>
      </w:r>
    </w:p>
    <w:p>
      <w:pPr>
        <w:spacing w:line="360" w:lineRule="auto"/>
        <w:jc w:val="center"/>
        <w:rPr>
          <w:rFonts w:hint="eastAsia" w:ascii="宋体" w:hAnsi="宋体" w:cs="宋体" w:eastAsiaTheme="minorEastAsia"/>
          <w:spacing w:val="-11"/>
          <w:sz w:val="30"/>
          <w:szCs w:val="30"/>
          <w:lang w:eastAsia="zh-CN"/>
          <w14:textOutline w14:w="5442" w14:cap="flat" w14:cmpd="sng">
            <w14:solidFill>
              <w14:srgbClr w14:val="000000"/>
            </w14:solidFill>
            <w14:prstDash w14:val="solid"/>
            <w14:miter w14:val="0"/>
          </w14:textOutline>
        </w:rPr>
      </w:pPr>
      <w:r>
        <w:rPr>
          <w:rFonts w:hint="eastAsia" w:asciiTheme="minorEastAsia" w:hAnsiTheme="minorEastAsia" w:eastAsiaTheme="minorEastAsia" w:cstheme="minorEastAsia"/>
          <w:b/>
          <w:bCs/>
          <w:sz w:val="28"/>
          <w:szCs w:val="28"/>
        </w:rPr>
        <w:t>采购编号：</w:t>
      </w:r>
      <w:r>
        <w:rPr>
          <w:rFonts w:hint="eastAsia" w:asciiTheme="minorEastAsia" w:hAnsiTheme="minorEastAsia" w:eastAsiaTheme="minorEastAsia" w:cstheme="minorEastAsia"/>
          <w:b/>
          <w:bCs/>
          <w:sz w:val="28"/>
          <w:szCs w:val="28"/>
          <w:lang w:eastAsia="zh-CN"/>
        </w:rPr>
        <w:t>博政采购（2024）70号</w:t>
      </w:r>
    </w:p>
    <w:p>
      <w:pPr>
        <w:jc w:val="center"/>
      </w:pP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drawing>
          <wp:inline distT="0" distB="0" distL="114300" distR="114300">
            <wp:extent cx="5291455" cy="2974975"/>
            <wp:effectExtent l="0" t="0" r="4445" b="15875"/>
            <wp:docPr id="63" name="图片 63"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腾豫1-13-02"/>
                    <pic:cNvPicPr>
                      <a:picLocks noChangeAspect="1"/>
                    </pic:cNvPicPr>
                  </pic:nvPicPr>
                  <pic:blipFill>
                    <a:blip r:embed="rId7"/>
                    <a:stretch>
                      <a:fillRect/>
                    </a:stretch>
                  </pic:blipFill>
                  <pic:spPr>
                    <a:xfrm>
                      <a:off x="0" y="0"/>
                      <a:ext cx="5291455" cy="2974975"/>
                    </a:xfrm>
                    <a:prstGeom prst="rect">
                      <a:avLst/>
                    </a:prstGeom>
                  </pic:spPr>
                </pic:pic>
              </a:graphicData>
            </a:graphic>
          </wp:inline>
        </w:drawing>
      </w:r>
    </w:p>
    <w:p>
      <w:pPr>
        <w:spacing w:line="560" w:lineRule="exact"/>
        <w:jc w:val="center"/>
        <w:rPr>
          <w:rFonts w:hint="eastAsia" w:asciiTheme="minorEastAsia" w:hAnsiTheme="minorEastAsia" w:eastAsiaTheme="minorEastAsia" w:cstheme="minorEastAsia"/>
          <w:b/>
          <w:bCs/>
          <w:sz w:val="32"/>
          <w:szCs w:val="32"/>
        </w:rPr>
      </w:pPr>
    </w:p>
    <w:p>
      <w:pPr>
        <w:spacing w:line="560" w:lineRule="exact"/>
        <w:ind w:firstLine="2570" w:firstLineChars="800"/>
        <w:jc w:val="both"/>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博爱县许良镇人民政府</w:t>
      </w:r>
    </w:p>
    <w:p>
      <w:pPr>
        <w:spacing w:line="560" w:lineRule="exact"/>
        <w:ind w:firstLine="2570" w:firstLineChars="800"/>
        <w:jc w:val="both"/>
        <w:rPr>
          <w:rFonts w:hint="default" w:eastAsiaTheme="minorEastAsia"/>
          <w:sz w:val="32"/>
          <w:szCs w:val="32"/>
          <w:lang w:val="en-US" w:eastAsia="zh-CN"/>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val="en-US" w:eastAsia="zh-CN"/>
        </w:rPr>
        <w:t>河南腾豫工程管理有限公司</w:t>
      </w:r>
    </w:p>
    <w:p>
      <w:pPr>
        <w:spacing w:line="560" w:lineRule="exact"/>
        <w:ind w:firstLine="2570" w:firstLineChars="800"/>
        <w:jc w:val="both"/>
        <w:rPr>
          <w:rFonts w:asciiTheme="minorEastAsia" w:hAnsiTheme="minorEastAsia" w:eastAsiaTheme="minorEastAsia" w:cstheme="minorEastAsia"/>
          <w:b/>
          <w:bCs/>
          <w:sz w:val="32"/>
          <w:szCs w:val="32"/>
        </w:rPr>
        <w:sectPr>
          <w:footerReference r:id="rId3" w:type="firs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期：二〇二</w:t>
      </w:r>
      <w:r>
        <w:rPr>
          <w:rFonts w:hint="eastAsia" w:asciiTheme="minorEastAsia" w:hAnsiTheme="minorEastAsia" w:eastAsiaTheme="minorEastAsia" w:cstheme="minorEastAsia"/>
          <w:b/>
          <w:bCs/>
          <w:sz w:val="32"/>
          <w:szCs w:val="32"/>
          <w:lang w:val="en-US" w:eastAsia="zh-CN"/>
        </w:rPr>
        <w:t>四</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七</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pStyle w:val="21"/>
        <w:tabs>
          <w:tab w:val="right" w:leader="hyphen" w:pos="8812"/>
        </w:tabs>
        <w:spacing w:line="480" w:lineRule="auto"/>
        <w:rPr>
          <w:rFonts w:ascii="宋体" w:hAnsi="宋体" w:cs="宋体"/>
          <w:sz w:val="24"/>
        </w:rPr>
      </w:pPr>
      <w:r>
        <w:rPr>
          <w:rFonts w:hint="eastAsia" w:ascii="宋体" w:hAnsi="宋体" w:cs="宋体"/>
          <w:bCs/>
        </w:rPr>
        <w:fldChar w:fldCharType="begin"/>
      </w:r>
      <w:r>
        <w:rPr>
          <w:rFonts w:hint="eastAsia" w:ascii="宋体" w:hAnsi="宋体" w:cs="宋体"/>
          <w:bCs/>
        </w:rPr>
        <w:instrText xml:space="preserve">TOC \o "1-1" \h \u </w:instrText>
      </w:r>
      <w:r>
        <w:rPr>
          <w:rFonts w:hint="eastAsia" w:ascii="宋体" w:hAnsi="宋体" w:cs="宋体"/>
          <w:bCs/>
        </w:rPr>
        <w:fldChar w:fldCharType="separate"/>
      </w:r>
      <w:r>
        <w:fldChar w:fldCharType="begin"/>
      </w:r>
      <w:r>
        <w:instrText xml:space="preserve"> HYPERLINK \l "_Toc15847" </w:instrText>
      </w:r>
      <w:r>
        <w:fldChar w:fldCharType="separate"/>
      </w:r>
      <w:r>
        <w:rPr>
          <w:rFonts w:hint="eastAsia" w:ascii="宋体" w:hAnsi="宋体" w:cs="宋体"/>
          <w:sz w:val="24"/>
        </w:rPr>
        <w:t>重要事项提示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_Toc15847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2</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pPr>
        <w:pStyle w:val="21"/>
        <w:tabs>
          <w:tab w:val="right" w:leader="hyphen" w:pos="8812"/>
        </w:tabs>
        <w:spacing w:line="480" w:lineRule="auto"/>
        <w:rPr>
          <w:rFonts w:ascii="宋体" w:hAnsi="宋体" w:cs="宋体"/>
          <w:sz w:val="24"/>
        </w:rPr>
      </w:pPr>
      <w:r>
        <w:fldChar w:fldCharType="begin"/>
      </w:r>
      <w:r>
        <w:instrText xml:space="preserve"> HYPERLINK \l "_Toc24066" </w:instrText>
      </w:r>
      <w:r>
        <w:fldChar w:fldCharType="separate"/>
      </w:r>
      <w:r>
        <w:rPr>
          <w:rFonts w:hint="eastAsia" w:ascii="宋体" w:hAnsi="宋体" w:cs="宋体"/>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_Toc24066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4</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pPr>
        <w:pStyle w:val="21"/>
        <w:tabs>
          <w:tab w:val="right" w:leader="hyphen" w:pos="8812"/>
        </w:tabs>
        <w:spacing w:line="480" w:lineRule="auto"/>
        <w:rPr>
          <w:rFonts w:ascii="宋体" w:hAnsi="宋体" w:cs="宋体"/>
          <w:sz w:val="24"/>
        </w:rPr>
      </w:pPr>
      <w:r>
        <w:fldChar w:fldCharType="begin"/>
      </w:r>
      <w:r>
        <w:instrText xml:space="preserve"> HYPERLINK \l "_Toc21579" </w:instrText>
      </w:r>
      <w:r>
        <w:fldChar w:fldCharType="separate"/>
      </w:r>
      <w:r>
        <w:rPr>
          <w:rFonts w:hint="eastAsia" w:ascii="宋体" w:hAnsi="宋体" w:cs="宋体"/>
          <w:sz w:val="24"/>
        </w:rPr>
        <w:t>第二章 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_Toc21579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7</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pPr>
        <w:pStyle w:val="21"/>
        <w:tabs>
          <w:tab w:val="right" w:leader="hyphen" w:pos="8812"/>
        </w:tabs>
        <w:spacing w:line="480" w:lineRule="auto"/>
        <w:rPr>
          <w:rFonts w:ascii="宋体" w:hAnsi="宋体" w:cs="宋体"/>
          <w:sz w:val="24"/>
        </w:rPr>
      </w:pPr>
      <w:r>
        <w:fldChar w:fldCharType="begin"/>
      </w:r>
      <w:r>
        <w:instrText xml:space="preserve"> HYPERLINK \l "_Toc25260" </w:instrText>
      </w:r>
      <w:r>
        <w:fldChar w:fldCharType="separate"/>
      </w:r>
      <w:r>
        <w:rPr>
          <w:rFonts w:hint="eastAsia" w:ascii="宋体" w:hAnsi="宋体" w:cs="宋体"/>
          <w:sz w:val="24"/>
        </w:rPr>
        <w:t>第三章 评标办法（综合评分法）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_Toc25260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24</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pPr>
        <w:pStyle w:val="21"/>
        <w:tabs>
          <w:tab w:val="right" w:leader="hyphen" w:pos="8812"/>
        </w:tabs>
        <w:spacing w:line="480" w:lineRule="auto"/>
        <w:rPr>
          <w:rFonts w:ascii="宋体" w:hAnsi="宋体" w:cs="宋体"/>
          <w:sz w:val="24"/>
        </w:rPr>
      </w:pPr>
      <w:r>
        <w:fldChar w:fldCharType="begin"/>
      </w:r>
      <w:r>
        <w:instrText xml:space="preserve"> HYPERLINK \l "_Toc25544" </w:instrText>
      </w:r>
      <w:r>
        <w:fldChar w:fldCharType="separate"/>
      </w:r>
      <w:r>
        <w:rPr>
          <w:rFonts w:hint="eastAsia" w:ascii="宋体" w:hAnsi="宋体" w:cs="宋体"/>
          <w:sz w:val="24"/>
        </w:rPr>
        <w:t>第四章 合同条款及格式 （仅供参考）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_Toc25544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29</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pPr>
        <w:pStyle w:val="21"/>
        <w:tabs>
          <w:tab w:val="right" w:leader="hyphen" w:pos="8812"/>
        </w:tabs>
        <w:spacing w:line="480" w:lineRule="auto"/>
        <w:rPr>
          <w:rFonts w:ascii="宋体" w:hAnsi="宋体" w:cs="宋体"/>
          <w:sz w:val="24"/>
        </w:rPr>
      </w:pPr>
      <w:r>
        <w:fldChar w:fldCharType="begin"/>
      </w:r>
      <w:r>
        <w:instrText xml:space="preserve"> HYPERLINK \l "_Toc8682" </w:instrText>
      </w:r>
      <w:r>
        <w:fldChar w:fldCharType="separate"/>
      </w:r>
      <w:r>
        <w:rPr>
          <w:rFonts w:hint="eastAsia" w:ascii="宋体" w:hAnsi="宋体" w:cs="宋体"/>
          <w:sz w:val="24"/>
        </w:rPr>
        <w:t>第五章 采购内容及技术要求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_Toc8682 \h </w:instrText>
      </w:r>
      <w:r>
        <w:rPr>
          <w:rFonts w:hint="eastAsia" w:ascii="宋体" w:hAnsi="宋体" w:cs="宋体"/>
          <w:sz w:val="24"/>
        </w:rPr>
        <w:fldChar w:fldCharType="separate"/>
      </w:r>
      <w:r>
        <w:rPr>
          <w:rFonts w:hint="eastAsia" w:ascii="宋体" w:hAnsi="宋体" w:cs="宋体"/>
          <w:sz w:val="24"/>
        </w:rPr>
        <w:t>- 3</w:t>
      </w:r>
      <w:r>
        <w:rPr>
          <w:rFonts w:hint="eastAsia" w:ascii="宋体" w:hAnsi="宋体" w:cs="宋体"/>
          <w:sz w:val="24"/>
          <w:lang w:val="en-US" w:eastAsia="zh-CN"/>
        </w:rPr>
        <w:t>1</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pPr>
        <w:pStyle w:val="21"/>
        <w:tabs>
          <w:tab w:val="right" w:leader="hyphen" w:pos="8812"/>
        </w:tabs>
        <w:spacing w:line="480" w:lineRule="auto"/>
        <w:rPr>
          <w:rFonts w:ascii="宋体" w:hAnsi="宋体" w:cs="宋体"/>
          <w:sz w:val="24"/>
        </w:rPr>
      </w:pPr>
      <w:r>
        <w:fldChar w:fldCharType="begin"/>
      </w:r>
      <w:r>
        <w:instrText xml:space="preserve"> HYPERLINK \l "_Toc18132" </w:instrText>
      </w:r>
      <w:r>
        <w:fldChar w:fldCharType="separate"/>
      </w:r>
      <w:r>
        <w:rPr>
          <w:rFonts w:hint="eastAsia" w:ascii="宋体" w:hAnsi="宋体" w:cs="宋体"/>
          <w:sz w:val="24"/>
        </w:rPr>
        <w:t>第六章 质疑与投诉</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_Toc18132 \h </w:instrText>
      </w:r>
      <w:r>
        <w:rPr>
          <w:rFonts w:hint="eastAsia" w:ascii="宋体" w:hAnsi="宋体" w:cs="宋体"/>
          <w:sz w:val="24"/>
        </w:rPr>
        <w:fldChar w:fldCharType="separate"/>
      </w:r>
      <w:r>
        <w:rPr>
          <w:rFonts w:hint="eastAsia" w:ascii="宋体" w:hAnsi="宋体" w:cs="宋体"/>
          <w:sz w:val="24"/>
        </w:rPr>
        <w:t>- 3</w:t>
      </w:r>
      <w:r>
        <w:rPr>
          <w:rFonts w:hint="eastAsia" w:ascii="宋体" w:hAnsi="宋体" w:cs="宋体"/>
          <w:sz w:val="24"/>
          <w:lang w:val="en-US" w:eastAsia="zh-CN"/>
        </w:rPr>
        <w:t>9</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pPr>
        <w:pStyle w:val="21"/>
        <w:tabs>
          <w:tab w:val="right" w:leader="hyphen" w:pos="8812"/>
        </w:tabs>
        <w:spacing w:line="480" w:lineRule="auto"/>
        <w:rPr>
          <w:rFonts w:ascii="宋体" w:hAnsi="宋体" w:cs="宋体"/>
          <w:sz w:val="24"/>
        </w:rPr>
      </w:pPr>
      <w:r>
        <w:fldChar w:fldCharType="begin"/>
      </w:r>
      <w:r>
        <w:instrText xml:space="preserve"> HYPERLINK \l "_Toc3861" </w:instrText>
      </w:r>
      <w:r>
        <w:fldChar w:fldCharType="separate"/>
      </w:r>
      <w:r>
        <w:rPr>
          <w:rFonts w:hint="eastAsia" w:ascii="宋体" w:hAnsi="宋体" w:cs="宋体"/>
          <w:sz w:val="24"/>
        </w:rPr>
        <w:t>第七章 履约验收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_Toc3861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41</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pPr>
        <w:pStyle w:val="21"/>
        <w:tabs>
          <w:tab w:val="right" w:leader="hyphen" w:pos="8812"/>
        </w:tabs>
        <w:spacing w:line="480" w:lineRule="auto"/>
        <w:rPr>
          <w:rFonts w:ascii="宋体" w:hAnsi="宋体" w:cs="宋体"/>
        </w:rPr>
      </w:pPr>
      <w:r>
        <w:fldChar w:fldCharType="begin"/>
      </w:r>
      <w:r>
        <w:instrText xml:space="preserve"> HYPERLINK \l "_Toc21125" </w:instrText>
      </w:r>
      <w:r>
        <w:fldChar w:fldCharType="separate"/>
      </w:r>
      <w:r>
        <w:rPr>
          <w:rFonts w:hint="eastAsia" w:ascii="宋体" w:hAnsi="宋体" w:cs="宋体"/>
          <w:sz w:val="24"/>
        </w:rPr>
        <w:t>第八章 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_Toc21125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42</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pPr>
        <w:spacing w:line="480" w:lineRule="auto"/>
        <w:ind w:right="-273" w:rightChars="-130"/>
        <w:rPr>
          <w:rFonts w:asciiTheme="minorEastAsia" w:hAnsiTheme="minorEastAsia" w:eastAsiaTheme="minorEastAsia" w:cstheme="minorEastAsia"/>
          <w:bCs/>
        </w:rPr>
      </w:pPr>
      <w:r>
        <w:rPr>
          <w:rFonts w:hint="eastAsia" w:ascii="宋体" w:hAnsi="宋体" w:cs="宋体"/>
          <w:bCs/>
        </w:rPr>
        <w:fldChar w:fldCharType="end"/>
      </w:r>
    </w:p>
    <w:p>
      <w:pPr>
        <w:pStyle w:val="24"/>
        <w:spacing w:line="360" w:lineRule="auto"/>
        <w:ind w:right="-63" w:rightChars="-30"/>
        <w:jc w:val="both"/>
        <w:outlineLvl w:val="9"/>
        <w:rPr>
          <w:rFonts w:asciiTheme="minorEastAsia" w:hAnsiTheme="minorEastAsia" w:eastAsiaTheme="minorEastAsia" w:cstheme="minorEastAsia"/>
          <w:bCs/>
        </w:rPr>
      </w:pPr>
    </w:p>
    <w:p>
      <w:pPr>
        <w:rPr>
          <w:rFonts w:asciiTheme="minorEastAsia" w:hAnsiTheme="minorEastAsia" w:eastAsiaTheme="minorEastAsia" w:cstheme="minorEastAsia"/>
          <w:bCs/>
        </w:rPr>
      </w:pPr>
    </w:p>
    <w:p>
      <w:pPr>
        <w:pStyle w:val="33"/>
        <w:rPr>
          <w:rFonts w:asciiTheme="minorEastAsia" w:hAnsiTheme="minorEastAsia" w:eastAsiaTheme="minorEastAsia" w:cstheme="minorEastAsia"/>
          <w:bCs/>
        </w:rPr>
      </w:pPr>
    </w:p>
    <w:p>
      <w:pPr>
        <w:pStyle w:val="34"/>
        <w:rPr>
          <w:rFonts w:asciiTheme="minorEastAsia" w:hAnsiTheme="minorEastAsia" w:eastAsiaTheme="minorEastAsia" w:cstheme="minorEastAsia"/>
          <w:bCs/>
        </w:rPr>
      </w:pPr>
    </w:p>
    <w:p>
      <w:pPr>
        <w:pStyle w:val="35"/>
        <w:rPr>
          <w:rFonts w:asciiTheme="minorEastAsia" w:hAnsiTheme="minorEastAsia" w:eastAsiaTheme="minorEastAsia" w:cstheme="minorEastAsia"/>
          <w:bCs/>
        </w:rPr>
      </w:pPr>
    </w:p>
    <w:p>
      <w:pPr>
        <w:pStyle w:val="36"/>
      </w:pPr>
    </w:p>
    <w:p>
      <w:pPr>
        <w:pStyle w:val="34"/>
        <w:rPr>
          <w:rFonts w:asciiTheme="minorEastAsia" w:hAnsiTheme="minorEastAsia" w:eastAsiaTheme="minorEastAsia" w:cstheme="minorEastAsia"/>
          <w:bCs/>
          <w:color w:val="auto"/>
        </w:rPr>
      </w:pPr>
    </w:p>
    <w:p>
      <w:pPr>
        <w:pStyle w:val="35"/>
        <w:rPr>
          <w:rFonts w:asciiTheme="minorEastAsia" w:hAnsiTheme="minorEastAsia" w:eastAsiaTheme="minorEastAsia" w:cstheme="minorEastAsia"/>
          <w:bCs/>
          <w:color w:val="auto"/>
        </w:rPr>
      </w:pPr>
    </w:p>
    <w:p>
      <w:pPr>
        <w:pStyle w:val="36"/>
        <w:rPr>
          <w:rFonts w:asciiTheme="minorEastAsia" w:hAnsiTheme="minorEastAsia" w:eastAsiaTheme="minorEastAsia" w:cstheme="minorEastAsia"/>
          <w:bCs/>
          <w:color w:val="auto"/>
        </w:rPr>
      </w:pPr>
    </w:p>
    <w:p>
      <w:pPr>
        <w:pStyle w:val="2"/>
        <w:spacing w:line="500" w:lineRule="exact"/>
        <w:rPr>
          <w:sz w:val="32"/>
          <w:szCs w:val="32"/>
        </w:rPr>
      </w:pPr>
      <w:bookmarkStart w:id="1" w:name="_Toc27735"/>
      <w:bookmarkStart w:id="2" w:name="_Toc15847"/>
      <w:r>
        <w:rPr>
          <w:rFonts w:hint="eastAsia"/>
          <w:sz w:val="32"/>
          <w:szCs w:val="32"/>
        </w:rPr>
        <w:t>重要事项提示</w:t>
      </w:r>
      <w:bookmarkEnd w:id="1"/>
      <w:bookmarkEnd w:id="2"/>
    </w:p>
    <w:p>
      <w:pPr>
        <w:spacing w:line="500" w:lineRule="exact"/>
        <w:rPr>
          <w:rFonts w:ascii="宋体" w:hAnsi="宋体" w:cs="宋体"/>
          <w:sz w:val="24"/>
        </w:rPr>
      </w:pPr>
      <w:r>
        <w:rPr>
          <w:rFonts w:hint="eastAsia" w:ascii="宋体" w:hAnsi="宋体" w:cs="宋体"/>
          <w:sz w:val="24"/>
        </w:rPr>
        <w:t>各潜在投标人：</w:t>
      </w:r>
    </w:p>
    <w:p>
      <w:pPr>
        <w:spacing w:line="500" w:lineRule="exact"/>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pPr>
        <w:spacing w:line="500" w:lineRule="exact"/>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3"/>
        <w:spacing w:before="0" w:beforeAutospacing="0" w:after="0" w:afterAutospacing="0" w:line="500" w:lineRule="exact"/>
        <w:ind w:firstLine="480" w:firstLineChars="200"/>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3"/>
        <w:spacing w:before="0" w:beforeAutospacing="0" w:after="0" w:afterAutospacing="0" w:line="500" w:lineRule="exact"/>
        <w:ind w:firstLine="480" w:firstLineChars="200"/>
        <w:jc w:val="both"/>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3"/>
        <w:spacing w:before="0" w:beforeAutospacing="0" w:after="0" w:afterAutospacing="0" w:line="500" w:lineRule="exact"/>
        <w:ind w:firstLine="480" w:firstLineChars="200"/>
        <w:jc w:val="both"/>
      </w:pPr>
      <w:r>
        <w:rPr>
          <w:rFonts w:hint="eastAsia"/>
        </w:rPr>
        <w:t>3.有下列情形之一的，将作为自动放弃、无效投标或废标处理：</w:t>
      </w:r>
    </w:p>
    <w:p>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在投标文件中对同一采购项目有两个或多个报价，且未声明哪一个有效的；</w:t>
      </w:r>
    </w:p>
    <w:p>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响应文件的关键内容（采购报价、</w:t>
      </w:r>
      <w:r>
        <w:rPr>
          <w:rFonts w:hint="eastAsia"/>
        </w:rPr>
        <w:t>供货安装期</w:t>
      </w:r>
      <w:r>
        <w:rPr>
          <w:rFonts w:hint="eastAsia" w:cs="Times New Roman"/>
        </w:rPr>
        <w:t>、质量标准、品牌、型号等）未填写或填写字迹模糊无法辨认的；</w:t>
      </w:r>
    </w:p>
    <w:p>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采购报价超出控制价的；</w:t>
      </w:r>
    </w:p>
    <w:p>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投标文件中附有采购人不能接受的条件的；</w:t>
      </w:r>
    </w:p>
    <w:p>
      <w:pPr>
        <w:pStyle w:val="23"/>
        <w:numPr>
          <w:ilvl w:val="0"/>
          <w:numId w:val="2"/>
        </w:numPr>
        <w:spacing w:before="0" w:beforeAutospacing="0" w:after="0" w:afterAutospacing="0" w:line="500" w:lineRule="exact"/>
        <w:ind w:left="0" w:firstLine="480" w:firstLineChars="200"/>
        <w:jc w:val="both"/>
      </w:pPr>
      <w:r>
        <w:rPr>
          <w:rFonts w:hint="eastAsia" w:cs="Times New Roman"/>
        </w:rPr>
        <w:t>投标文件有明显不符合采购文件其它要求和有关法律法规的；</w:t>
      </w:r>
    </w:p>
    <w:p>
      <w:pPr>
        <w:pStyle w:val="23"/>
        <w:numPr>
          <w:ilvl w:val="0"/>
          <w:numId w:val="2"/>
        </w:numPr>
        <w:spacing w:before="0" w:beforeAutospacing="0" w:after="0" w:afterAutospacing="0" w:line="500" w:lineRule="exact"/>
        <w:ind w:left="0" w:firstLine="480" w:firstLineChars="200"/>
        <w:jc w:val="both"/>
      </w:pPr>
      <w:r>
        <w:rPr>
          <w:rFonts w:hint="eastAsia" w:cs="Times New Roma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23"/>
        <w:numPr>
          <w:ilvl w:val="0"/>
          <w:numId w:val="2"/>
        </w:numPr>
        <w:spacing w:before="0" w:beforeAutospacing="0" w:after="0" w:afterAutospacing="0" w:line="500" w:lineRule="exact"/>
        <w:ind w:left="0" w:firstLine="480" w:firstLineChars="200"/>
        <w:jc w:val="both"/>
      </w:pPr>
      <w:r>
        <w:rPr>
          <w:rFonts w:hint="eastAsia"/>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p>
    <w:p/>
    <w:p>
      <w:pPr>
        <w:pStyle w:val="26"/>
      </w:pPr>
    </w:p>
    <w:p>
      <w:pPr>
        <w:pStyle w:val="2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2"/>
        <w:numPr>
          <w:ilvl w:val="0"/>
          <w:numId w:val="3"/>
        </w:numPr>
        <w:spacing w:line="500" w:lineRule="exact"/>
        <w:rPr>
          <w:sz w:val="32"/>
          <w:szCs w:val="32"/>
        </w:rPr>
      </w:pPr>
      <w:r>
        <w:rPr>
          <w:rFonts w:hint="eastAsia"/>
          <w:sz w:val="32"/>
          <w:szCs w:val="32"/>
        </w:rPr>
        <w:t xml:space="preserve">  </w:t>
      </w:r>
      <w:bookmarkStart w:id="3" w:name="_Toc23622"/>
      <w:bookmarkStart w:id="4" w:name="_Toc24066"/>
      <w:r>
        <w:rPr>
          <w:rFonts w:hint="eastAsia"/>
          <w:sz w:val="32"/>
          <w:szCs w:val="32"/>
        </w:rPr>
        <w:t>招标公告</w:t>
      </w:r>
      <w:bookmarkEnd w:id="3"/>
      <w:bookmarkEnd w:id="4"/>
    </w:p>
    <w:p>
      <w:pPr>
        <w:spacing w:line="440" w:lineRule="exact"/>
        <w:jc w:val="center"/>
      </w:pPr>
      <w:bookmarkStart w:id="5" w:name="_Toc21974"/>
      <w:bookmarkStart w:id="6" w:name="_Toc21579"/>
      <w:r>
        <w:rPr>
          <w:rFonts w:hint="eastAsia" w:ascii="宋体" w:hAnsi="宋体" w:cs="宋体"/>
          <w:b/>
          <w:bCs/>
          <w:sz w:val="28"/>
          <w:szCs w:val="28"/>
          <w:lang w:eastAsia="zh-CN"/>
        </w:rPr>
        <w:t>2024年度博爱县许良镇泗沟村食品加工采购项目</w:t>
      </w:r>
      <w:r>
        <w:rPr>
          <w:rFonts w:hint="eastAsia" w:ascii="宋体" w:hAnsi="宋体" w:cs="宋体"/>
          <w:b/>
          <w:bCs/>
          <w:sz w:val="28"/>
          <w:szCs w:val="28"/>
        </w:rPr>
        <w:t>招标公告（不见面开标）</w:t>
      </w:r>
    </w:p>
    <w:tbl>
      <w:tblPr>
        <w:tblStyle w:val="28"/>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jc w:val="center"/>
        </w:trPr>
        <w:tc>
          <w:tcPr>
            <w:tcW w:w="9320" w:type="dxa"/>
          </w:tcPr>
          <w:p>
            <w:pPr>
              <w:pStyle w:val="27"/>
              <w:spacing w:line="440" w:lineRule="exact"/>
              <w:ind w:left="0" w:leftChars="0" w:firstLine="480" w:firstLineChars="200"/>
              <w:rPr>
                <w:rFonts w:ascii="宋体" w:hAnsi="宋体" w:cs="宋体"/>
                <w:sz w:val="24"/>
              </w:rPr>
            </w:pPr>
            <w:r>
              <w:rPr>
                <w:rFonts w:hint="eastAsia" w:ascii="宋体" w:hAnsi="宋体" w:cs="宋体"/>
                <w:sz w:val="24"/>
                <w:szCs w:val="24"/>
              </w:rPr>
              <w:t>项目概况：</w:t>
            </w:r>
            <w:r>
              <w:rPr>
                <w:rFonts w:hint="eastAsia" w:ascii="宋体" w:hAnsi="宋体" w:cs="宋体"/>
                <w:sz w:val="24"/>
                <w:szCs w:val="24"/>
                <w:lang w:eastAsia="zh-CN"/>
              </w:rPr>
              <w:t>2024年度博爱县许良镇泗沟村食品加工采购项目</w:t>
            </w:r>
            <w:r>
              <w:rPr>
                <w:rFonts w:hint="eastAsia" w:ascii="宋体" w:hAnsi="宋体" w:cs="宋体"/>
                <w:sz w:val="24"/>
                <w:szCs w:val="24"/>
              </w:rPr>
              <w:t>的潜在供应商应在焦作市公共资源交易中心网站获取采购文件，并于</w:t>
            </w:r>
            <w:r>
              <w:rPr>
                <w:rFonts w:hint="eastAsia" w:ascii="宋体" w:hAnsi="宋体" w:cs="宋体"/>
                <w:kern w:val="0"/>
                <w:sz w:val="24"/>
                <w:szCs w:val="24"/>
                <w:u w:val="single"/>
              </w:rPr>
              <w:t>2024年</w:t>
            </w:r>
            <w:r>
              <w:rPr>
                <w:rFonts w:hint="eastAsia" w:ascii="宋体" w:hAnsi="宋体" w:cs="宋体"/>
                <w:kern w:val="0"/>
                <w:sz w:val="24"/>
                <w:szCs w:val="24"/>
                <w:u w:val="single"/>
                <w:lang w:val="en-US" w:eastAsia="zh-CN"/>
              </w:rPr>
              <w:t xml:space="preserve"> 7 </w:t>
            </w:r>
            <w:r>
              <w:rPr>
                <w:rFonts w:hint="eastAsia" w:ascii="宋体" w:hAnsi="宋体" w:cs="宋体"/>
                <w:kern w:val="0"/>
                <w:sz w:val="24"/>
                <w:szCs w:val="24"/>
                <w:u w:val="single"/>
              </w:rPr>
              <w:t>月</w:t>
            </w:r>
            <w:r>
              <w:rPr>
                <w:rFonts w:hint="eastAsia" w:ascii="宋体" w:hAnsi="宋体" w:cs="宋体"/>
                <w:kern w:val="0"/>
                <w:sz w:val="24"/>
                <w:szCs w:val="24"/>
                <w:u w:val="single"/>
                <w:lang w:val="en-US" w:eastAsia="zh-CN"/>
              </w:rPr>
              <w:t xml:space="preserve"> 29 </w:t>
            </w:r>
            <w:r>
              <w:rPr>
                <w:rFonts w:hint="eastAsia" w:ascii="宋体" w:hAnsi="宋体" w:cs="宋体"/>
                <w:kern w:val="0"/>
                <w:sz w:val="24"/>
                <w:szCs w:val="24"/>
                <w:u w:val="single"/>
              </w:rPr>
              <w:t>日上午</w:t>
            </w:r>
            <w:r>
              <w:rPr>
                <w:rFonts w:hint="eastAsia" w:ascii="宋体" w:hAnsi="宋体" w:cs="宋体"/>
                <w:kern w:val="0"/>
                <w:sz w:val="24"/>
                <w:szCs w:val="24"/>
                <w:u w:val="single"/>
                <w:lang w:val="en-US" w:eastAsia="zh-CN"/>
              </w:rPr>
              <w:t xml:space="preserve"> 09 </w:t>
            </w:r>
            <w:r>
              <w:rPr>
                <w:rFonts w:hint="eastAsia" w:ascii="宋体" w:hAnsi="宋体" w:cs="宋体"/>
                <w:kern w:val="0"/>
                <w:sz w:val="24"/>
                <w:szCs w:val="24"/>
                <w:u w:val="single"/>
              </w:rPr>
              <w:t>点</w:t>
            </w:r>
            <w:r>
              <w:rPr>
                <w:rFonts w:hint="eastAsia" w:ascii="宋体" w:hAnsi="宋体" w:cs="宋体"/>
                <w:kern w:val="0"/>
                <w:sz w:val="24"/>
                <w:szCs w:val="24"/>
                <w:u w:val="single"/>
                <w:lang w:val="en-US" w:eastAsia="zh-CN"/>
              </w:rPr>
              <w:t xml:space="preserve">00 </w:t>
            </w:r>
            <w:r>
              <w:rPr>
                <w:rFonts w:hint="eastAsia" w:ascii="宋体" w:hAnsi="宋体" w:cs="宋体"/>
                <w:kern w:val="0"/>
                <w:sz w:val="24"/>
                <w:szCs w:val="24"/>
                <w:u w:val="single"/>
              </w:rPr>
              <w:t>分</w:t>
            </w:r>
            <w:r>
              <w:rPr>
                <w:rFonts w:hint="eastAsia" w:ascii="宋体" w:hAnsi="宋体" w:cs="宋体"/>
                <w:sz w:val="24"/>
                <w:szCs w:val="24"/>
                <w:u w:val="single"/>
              </w:rPr>
              <w:t>（北京时间）</w:t>
            </w:r>
            <w:r>
              <w:rPr>
                <w:rFonts w:hint="eastAsia" w:ascii="宋体" w:hAnsi="宋体" w:cs="宋体"/>
                <w:sz w:val="24"/>
                <w:szCs w:val="24"/>
              </w:rPr>
              <w:t>前提交响应文件。</w:t>
            </w:r>
          </w:p>
        </w:tc>
      </w:tr>
    </w:tbl>
    <w:p>
      <w:pPr>
        <w:pStyle w:val="43"/>
        <w:spacing w:line="440" w:lineRule="exact"/>
        <w:ind w:left="0" w:firstLine="0"/>
        <w:rPr>
          <w:b/>
          <w:bCs/>
          <w:sz w:val="24"/>
          <w:lang w:eastAsia="zh-CN"/>
        </w:rPr>
      </w:pPr>
      <w:r>
        <w:rPr>
          <w:rFonts w:hint="eastAsia"/>
          <w:b/>
          <w:bCs/>
          <w:sz w:val="24"/>
          <w:lang w:eastAsia="zh-CN"/>
        </w:rPr>
        <w:t>一、项目基本情况</w:t>
      </w:r>
    </w:p>
    <w:p>
      <w:pPr>
        <w:pStyle w:val="43"/>
        <w:spacing w:line="440" w:lineRule="exact"/>
        <w:ind w:left="0" w:firstLine="480" w:firstLineChars="200"/>
        <w:rPr>
          <w:sz w:val="24"/>
          <w:lang w:eastAsia="zh-CN"/>
        </w:rPr>
      </w:pPr>
      <w:r>
        <w:rPr>
          <w:rFonts w:hint="eastAsia"/>
          <w:sz w:val="24"/>
          <w:lang w:eastAsia="zh-CN"/>
        </w:rPr>
        <w:t>1.采购编号：博政采购（2024）70号</w:t>
      </w:r>
    </w:p>
    <w:p>
      <w:pPr>
        <w:pStyle w:val="43"/>
        <w:spacing w:line="440" w:lineRule="exact"/>
        <w:ind w:left="0" w:firstLine="480" w:firstLineChars="200"/>
        <w:rPr>
          <w:sz w:val="24"/>
          <w:lang w:eastAsia="zh-CN"/>
        </w:rPr>
      </w:pPr>
      <w:r>
        <w:rPr>
          <w:rFonts w:hint="eastAsia"/>
          <w:sz w:val="24"/>
          <w:lang w:eastAsia="zh-CN"/>
        </w:rPr>
        <w:t>2.项目名称：2024年度博爱县许良镇泗沟村食品加工采购项目</w:t>
      </w:r>
    </w:p>
    <w:p>
      <w:pPr>
        <w:pStyle w:val="43"/>
        <w:spacing w:line="440" w:lineRule="exact"/>
        <w:ind w:left="0" w:firstLine="480" w:firstLineChars="200"/>
        <w:rPr>
          <w:sz w:val="24"/>
          <w:lang w:eastAsia="zh-CN"/>
        </w:rPr>
      </w:pPr>
      <w:r>
        <w:rPr>
          <w:rFonts w:hint="eastAsia"/>
          <w:sz w:val="24"/>
          <w:lang w:eastAsia="zh-CN"/>
        </w:rPr>
        <w:t>3.采购方式：公开招标</w:t>
      </w:r>
    </w:p>
    <w:p>
      <w:pPr>
        <w:pStyle w:val="43"/>
        <w:spacing w:line="440" w:lineRule="exact"/>
        <w:ind w:left="0" w:firstLine="480" w:firstLineChars="200"/>
        <w:rPr>
          <w:sz w:val="24"/>
          <w:lang w:eastAsia="zh-CN"/>
        </w:rPr>
      </w:pPr>
      <w:r>
        <w:rPr>
          <w:rFonts w:hint="eastAsia"/>
          <w:sz w:val="24"/>
          <w:lang w:eastAsia="zh-CN"/>
        </w:rPr>
        <w:t xml:space="preserve">4.预算金额：2000000.00元 </w:t>
      </w:r>
    </w:p>
    <w:p>
      <w:pPr>
        <w:pStyle w:val="43"/>
        <w:spacing w:line="440" w:lineRule="exact"/>
        <w:ind w:left="0" w:firstLine="720" w:firstLineChars="300"/>
        <w:rPr>
          <w:sz w:val="24"/>
          <w:lang w:eastAsia="zh-CN"/>
        </w:rPr>
      </w:pPr>
      <w:r>
        <w:rPr>
          <w:rFonts w:hint="eastAsia"/>
          <w:sz w:val="24"/>
          <w:lang w:eastAsia="zh-CN"/>
        </w:rPr>
        <w:t xml:space="preserve">最高限价：2000000.00元 </w:t>
      </w:r>
    </w:p>
    <w:tbl>
      <w:tblPr>
        <w:tblStyle w:val="29"/>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0"/>
        <w:gridCol w:w="3315"/>
        <w:gridCol w:w="1602"/>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59" w:type="dxa"/>
            <w:vAlign w:val="center"/>
          </w:tcPr>
          <w:p>
            <w:pPr>
              <w:pStyle w:val="23"/>
              <w:spacing w:before="0" w:beforeAutospacing="0" w:after="0" w:afterAutospacing="0" w:line="440" w:lineRule="exact"/>
              <w:jc w:val="center"/>
            </w:pPr>
            <w:r>
              <w:rPr>
                <w:rFonts w:hint="eastAsia"/>
              </w:rPr>
              <w:t>序号</w:t>
            </w:r>
          </w:p>
        </w:tc>
        <w:tc>
          <w:tcPr>
            <w:tcW w:w="1500" w:type="dxa"/>
            <w:vAlign w:val="center"/>
          </w:tcPr>
          <w:p>
            <w:pPr>
              <w:pStyle w:val="23"/>
              <w:spacing w:before="0" w:beforeAutospacing="0" w:after="0" w:afterAutospacing="0" w:line="440" w:lineRule="exact"/>
              <w:jc w:val="center"/>
            </w:pPr>
            <w:r>
              <w:rPr>
                <w:rFonts w:hint="eastAsia"/>
              </w:rPr>
              <w:t>包号</w:t>
            </w:r>
          </w:p>
        </w:tc>
        <w:tc>
          <w:tcPr>
            <w:tcW w:w="3315" w:type="dxa"/>
            <w:vAlign w:val="center"/>
          </w:tcPr>
          <w:p>
            <w:pPr>
              <w:pStyle w:val="23"/>
              <w:spacing w:before="0" w:beforeAutospacing="0" w:after="0" w:afterAutospacing="0" w:line="440" w:lineRule="exact"/>
              <w:jc w:val="center"/>
            </w:pPr>
            <w:r>
              <w:rPr>
                <w:rFonts w:hint="eastAsia"/>
              </w:rPr>
              <w:t>包名称</w:t>
            </w:r>
          </w:p>
        </w:tc>
        <w:tc>
          <w:tcPr>
            <w:tcW w:w="1602" w:type="dxa"/>
            <w:vAlign w:val="center"/>
          </w:tcPr>
          <w:p>
            <w:pPr>
              <w:pStyle w:val="23"/>
              <w:spacing w:before="0" w:beforeAutospacing="0" w:after="0" w:afterAutospacing="0" w:line="440" w:lineRule="exact"/>
              <w:jc w:val="center"/>
            </w:pPr>
            <w:r>
              <w:rPr>
                <w:rFonts w:hint="eastAsia"/>
              </w:rPr>
              <w:t>包预算</w:t>
            </w:r>
          </w:p>
          <w:p>
            <w:pPr>
              <w:pStyle w:val="23"/>
              <w:spacing w:before="0" w:beforeAutospacing="0" w:after="0" w:afterAutospacing="0" w:line="440" w:lineRule="exact"/>
              <w:jc w:val="center"/>
            </w:pPr>
            <w:r>
              <w:rPr>
                <w:rFonts w:hint="eastAsia"/>
              </w:rPr>
              <w:t>（元）</w:t>
            </w:r>
          </w:p>
        </w:tc>
        <w:tc>
          <w:tcPr>
            <w:tcW w:w="1900" w:type="dxa"/>
            <w:vAlign w:val="center"/>
          </w:tcPr>
          <w:p>
            <w:pPr>
              <w:pStyle w:val="23"/>
              <w:spacing w:before="0" w:beforeAutospacing="0" w:after="0" w:afterAutospacing="0" w:line="440" w:lineRule="exact"/>
              <w:jc w:val="center"/>
            </w:pPr>
            <w:r>
              <w:rPr>
                <w:rFonts w:hint="eastAsia"/>
              </w:rPr>
              <w:t>包最高限价</w:t>
            </w:r>
          </w:p>
          <w:p>
            <w:pPr>
              <w:pStyle w:val="23"/>
              <w:spacing w:before="0" w:beforeAutospacing="0" w:after="0" w:afterAutospacing="0" w:line="440" w:lineRule="exact"/>
              <w:jc w:val="cente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59" w:type="dxa"/>
            <w:vAlign w:val="center"/>
          </w:tcPr>
          <w:p>
            <w:pPr>
              <w:spacing w:line="440" w:lineRule="exact"/>
              <w:jc w:val="center"/>
              <w:rPr>
                <w:rFonts w:ascii="宋体" w:hAnsi="宋体" w:cs="宋体"/>
                <w:sz w:val="24"/>
              </w:rPr>
            </w:pPr>
            <w:r>
              <w:rPr>
                <w:rFonts w:hint="eastAsia" w:ascii="宋体" w:hAnsi="宋体" w:cs="宋体"/>
                <w:sz w:val="24"/>
              </w:rPr>
              <w:t>1</w:t>
            </w:r>
          </w:p>
        </w:tc>
        <w:tc>
          <w:tcPr>
            <w:tcW w:w="1500" w:type="dxa"/>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eastAsia="zh-CN"/>
              </w:rPr>
              <w:t>博政采购（2024）70号</w:t>
            </w:r>
          </w:p>
        </w:tc>
        <w:tc>
          <w:tcPr>
            <w:tcW w:w="3315" w:type="dxa"/>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eastAsia="zh-CN"/>
              </w:rPr>
              <w:t>2024年度博爱县许良镇泗沟村食品加工采购项目</w:t>
            </w:r>
          </w:p>
        </w:tc>
        <w:tc>
          <w:tcPr>
            <w:tcW w:w="1602" w:type="dxa"/>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eastAsia="zh-CN"/>
              </w:rPr>
              <w:t>2000000.00</w:t>
            </w:r>
          </w:p>
        </w:tc>
        <w:tc>
          <w:tcPr>
            <w:tcW w:w="1900" w:type="dxa"/>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eastAsia="zh-CN"/>
              </w:rPr>
              <w:t>2000000.00</w:t>
            </w:r>
          </w:p>
        </w:tc>
      </w:tr>
    </w:tbl>
    <w:p>
      <w:pPr>
        <w:pStyle w:val="43"/>
        <w:spacing w:line="440" w:lineRule="exact"/>
        <w:ind w:left="0"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5、采购需求：</w:t>
      </w:r>
      <w:r>
        <w:rPr>
          <w:rFonts w:hint="eastAsia" w:cs="宋体"/>
          <w:i w:val="0"/>
          <w:iCs w:val="0"/>
          <w:color w:val="000000"/>
          <w:kern w:val="0"/>
          <w:sz w:val="24"/>
          <w:szCs w:val="24"/>
          <w:u w:val="none"/>
          <w:lang w:val="en-US" w:eastAsia="zh-CN" w:bidi="ar"/>
        </w:rPr>
        <w:t>采购黄豆提升系统、磨浆分离制浆系统、煮浆设备、老豆腐成型设备、豆干生产线、千张生产线、冲浆豆腐生产线等及其他配套设施。</w:t>
      </w:r>
      <w:r>
        <w:rPr>
          <w:rFonts w:hint="eastAsia" w:ascii="宋体" w:hAnsi="宋体" w:eastAsia="宋体" w:cs="宋体"/>
          <w:i w:val="0"/>
          <w:iCs w:val="0"/>
          <w:color w:val="000000"/>
          <w:kern w:val="0"/>
          <w:sz w:val="24"/>
          <w:szCs w:val="24"/>
          <w:u w:val="none"/>
          <w:lang w:val="en-US" w:eastAsia="zh-CN" w:bidi="ar"/>
        </w:rPr>
        <w:t>（详见招标文件）</w:t>
      </w:r>
    </w:p>
    <w:p>
      <w:pPr>
        <w:pStyle w:val="43"/>
        <w:spacing w:line="440" w:lineRule="exact"/>
        <w:ind w:left="0"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6.合同履行期限（供货安装期）：合同签订后</w:t>
      </w:r>
      <w:r>
        <w:rPr>
          <w:rFonts w:hint="eastAsia" w:cs="宋体"/>
          <w:i w:val="0"/>
          <w:iCs w:val="0"/>
          <w:color w:val="auto"/>
          <w:kern w:val="0"/>
          <w:sz w:val="24"/>
          <w:szCs w:val="24"/>
          <w:u w:val="none"/>
          <w:lang w:val="en-US" w:eastAsia="zh-CN" w:bidi="ar"/>
        </w:rPr>
        <w:t>60</w:t>
      </w:r>
      <w:r>
        <w:rPr>
          <w:rFonts w:hint="eastAsia" w:ascii="宋体" w:hAnsi="宋体" w:eastAsia="宋体" w:cs="宋体"/>
          <w:i w:val="0"/>
          <w:iCs w:val="0"/>
          <w:color w:val="auto"/>
          <w:kern w:val="0"/>
          <w:sz w:val="24"/>
          <w:szCs w:val="24"/>
          <w:u w:val="none"/>
          <w:lang w:val="en-US" w:eastAsia="zh-CN" w:bidi="ar"/>
        </w:rPr>
        <w:t>日历天</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7.质量标准：合格，符合国家及行业规范标准。</w:t>
      </w:r>
    </w:p>
    <w:p>
      <w:pPr>
        <w:pStyle w:val="43"/>
        <w:spacing w:line="440" w:lineRule="exact"/>
        <w:ind w:left="0" w:firstLine="480" w:firstLineChars="200"/>
        <w:rPr>
          <w:color w:val="auto"/>
          <w:sz w:val="24"/>
          <w:lang w:eastAsia="zh-CN"/>
        </w:rPr>
      </w:pPr>
      <w:r>
        <w:rPr>
          <w:rFonts w:hint="eastAsia"/>
          <w:color w:val="auto"/>
          <w:sz w:val="24"/>
          <w:lang w:eastAsia="zh-CN"/>
        </w:rPr>
        <w:t>8.</w:t>
      </w:r>
      <w:r>
        <w:rPr>
          <w:color w:val="auto"/>
          <w:sz w:val="24"/>
          <w:lang w:eastAsia="zh-CN"/>
        </w:rPr>
        <w:t>质保期限：</w:t>
      </w:r>
      <w:r>
        <w:rPr>
          <w:rFonts w:hint="eastAsia"/>
          <w:color w:val="auto"/>
          <w:sz w:val="24"/>
          <w:lang w:val="en-US" w:eastAsia="zh-CN"/>
        </w:rPr>
        <w:t xml:space="preserve">1年 </w:t>
      </w:r>
    </w:p>
    <w:p>
      <w:pPr>
        <w:pStyle w:val="43"/>
        <w:spacing w:line="440" w:lineRule="exact"/>
        <w:ind w:left="0" w:firstLine="480" w:firstLineChars="200"/>
        <w:rPr>
          <w:sz w:val="24"/>
          <w:lang w:eastAsia="zh-CN"/>
        </w:rPr>
      </w:pPr>
      <w:r>
        <w:rPr>
          <w:rFonts w:hint="eastAsia"/>
          <w:sz w:val="24"/>
          <w:lang w:eastAsia="zh-CN"/>
        </w:rPr>
        <w:t>9.本项目是否接受联合体投标：否</w:t>
      </w:r>
    </w:p>
    <w:p>
      <w:pPr>
        <w:pStyle w:val="43"/>
        <w:spacing w:line="440" w:lineRule="exact"/>
        <w:ind w:left="0" w:firstLine="480" w:firstLineChars="200"/>
        <w:rPr>
          <w:sz w:val="24"/>
          <w:lang w:eastAsia="zh-CN"/>
        </w:rPr>
      </w:pPr>
      <w:r>
        <w:rPr>
          <w:rFonts w:hint="eastAsia"/>
          <w:sz w:val="24"/>
          <w:lang w:eastAsia="zh-CN"/>
        </w:rPr>
        <w:t>10.是否接受进口产品：否</w:t>
      </w:r>
    </w:p>
    <w:p>
      <w:pPr>
        <w:pStyle w:val="43"/>
        <w:spacing w:line="440" w:lineRule="exact"/>
        <w:ind w:left="0" w:firstLine="480" w:firstLineChars="200"/>
        <w:rPr>
          <w:rFonts w:hint="default"/>
          <w:sz w:val="24"/>
          <w:lang w:val="en-US" w:eastAsia="zh-CN"/>
        </w:rPr>
      </w:pPr>
      <w:r>
        <w:rPr>
          <w:rFonts w:hint="eastAsia"/>
          <w:sz w:val="24"/>
          <w:lang w:eastAsia="zh-CN"/>
        </w:rPr>
        <w:t>11.是否专门面向中小企业：</w:t>
      </w:r>
      <w:r>
        <w:rPr>
          <w:rFonts w:hint="eastAsia"/>
          <w:sz w:val="24"/>
          <w:lang w:val="en-US" w:eastAsia="zh-CN"/>
        </w:rPr>
        <w:t>是</w:t>
      </w:r>
    </w:p>
    <w:p>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w:t>
      </w:r>
      <w:r>
        <w:rPr>
          <w:rFonts w:hint="eastAsia" w:ascii="宋体" w:hAnsi="宋体" w:eastAsia="宋体" w:cs="宋体"/>
          <w:sz w:val="24"/>
          <w:szCs w:val="24"/>
          <w:highlight w:val="none"/>
          <w:lang w:val="en-US" w:eastAsia="zh-CN"/>
        </w:rPr>
        <w:t>落实政府采购政策需满足的资格要求：促进政府强制采购节能产品及环境标志产品优先采购，该项目全额面向中小企业采购，需要提供中小企业声明函。</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 供应商须具有有效的营业执照，并具有实施完成本项目的经营实力和完善的售后服务体系；</w:t>
      </w:r>
    </w:p>
    <w:p>
      <w:pPr>
        <w:widowControl/>
        <w:spacing w:line="44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3.2 信誉要求：</w:t>
      </w:r>
      <w:r>
        <w:rPr>
          <w:rFonts w:hint="eastAsia" w:ascii="宋体" w:hAnsi="宋体" w:cs="宋体"/>
          <w:sz w:val="24"/>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sz w:val="24"/>
          <w:shd w:val="clear" w:color="auto" w:fill="FFFFFF"/>
        </w:rPr>
        <w:t>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 本项目不接受联合体投标；</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 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 2024年</w:t>
      </w:r>
      <w:r>
        <w:rPr>
          <w:rFonts w:hint="eastAsia" w:ascii="宋体" w:hAnsi="宋体" w:cs="宋体"/>
          <w:b/>
          <w:bCs/>
          <w:sz w:val="24"/>
          <w:szCs w:val="24"/>
          <w:highlight w:val="none"/>
          <w:lang w:val="en-US" w:eastAsia="zh-CN"/>
        </w:rPr>
        <w:t xml:space="preserve"> 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 xml:space="preserve"> 9</w:t>
      </w:r>
      <w:r>
        <w:rPr>
          <w:rFonts w:hint="eastAsia" w:ascii="宋体" w:hAnsi="宋体" w:eastAsia="宋体" w:cs="宋体"/>
          <w:b/>
          <w:bCs/>
          <w:sz w:val="24"/>
          <w:szCs w:val="24"/>
          <w:highlight w:val="none"/>
          <w:lang w:val="en-US" w:eastAsia="zh-CN"/>
        </w:rPr>
        <w:t>日至 2024 年</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lang w:val="en-US" w:eastAsia="zh-CN"/>
        </w:rPr>
        <w:t>日</w:t>
      </w:r>
      <w:r>
        <w:rPr>
          <w:rFonts w:hint="eastAsia" w:ascii="宋体" w:hAnsi="宋体" w:eastAsia="宋体" w:cs="宋体"/>
          <w:sz w:val="24"/>
          <w:szCs w:val="24"/>
          <w:highlight w:val="none"/>
          <w:lang w:val="en-US" w:eastAsia="zh-CN"/>
        </w:rPr>
        <w:t>，每天上午08:00至11:59，下午12:00至23:59（北京时间，法定节假日除外）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pPr>
        <w:widowControl/>
        <w:spacing w:line="440" w:lineRule="exact"/>
        <w:rPr>
          <w:rFonts w:ascii="宋体" w:hAnsi="宋体" w:cs="宋体"/>
          <w:sz w:val="24"/>
        </w:rPr>
      </w:pPr>
      <w:r>
        <w:rPr>
          <w:rFonts w:hint="eastAsia" w:ascii="宋体" w:hAnsi="宋体" w:cs="宋体"/>
          <w:b/>
          <w:bCs/>
          <w:sz w:val="24"/>
        </w:rPr>
        <w:t>四、</w:t>
      </w:r>
      <w:r>
        <w:rPr>
          <w:rFonts w:hint="eastAsia" w:ascii="宋体" w:hAnsi="宋体" w:eastAsia="宋体" w:cs="宋体"/>
          <w:b/>
          <w:bCs/>
          <w:sz w:val="24"/>
          <w:szCs w:val="24"/>
          <w:highlight w:val="none"/>
          <w:lang w:val="en-US" w:eastAsia="zh-CN"/>
        </w:rPr>
        <w:t>响应文件提交截止时间及地点</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w:t>
      </w:r>
      <w:r>
        <w:rPr>
          <w:rFonts w:hint="eastAsia" w:ascii="宋体" w:hAnsi="宋体" w:cs="宋体"/>
          <w:kern w:val="0"/>
          <w:sz w:val="24"/>
          <w:u w:val="single"/>
        </w:rPr>
        <w:t>2024年</w:t>
      </w:r>
      <w:r>
        <w:rPr>
          <w:rFonts w:hint="eastAsia" w:ascii="宋体" w:hAnsi="宋体" w:cs="宋体"/>
          <w:kern w:val="0"/>
          <w:sz w:val="24"/>
          <w:u w:val="single"/>
          <w:lang w:val="en-US" w:eastAsia="zh-CN"/>
        </w:rPr>
        <w:t xml:space="preserve"> 7 </w:t>
      </w:r>
      <w:r>
        <w:rPr>
          <w:rFonts w:hint="eastAsia" w:ascii="宋体" w:hAnsi="宋体" w:cs="宋体"/>
          <w:kern w:val="0"/>
          <w:sz w:val="24"/>
          <w:u w:val="single"/>
        </w:rPr>
        <w:t>月</w:t>
      </w:r>
      <w:r>
        <w:rPr>
          <w:rFonts w:hint="eastAsia" w:ascii="宋体" w:hAnsi="宋体" w:cs="宋体"/>
          <w:kern w:val="0"/>
          <w:sz w:val="24"/>
          <w:u w:val="single"/>
          <w:lang w:val="en-US" w:eastAsia="zh-CN"/>
        </w:rPr>
        <w:t xml:space="preserve">29 </w:t>
      </w:r>
      <w:r>
        <w:rPr>
          <w:rFonts w:hint="eastAsia" w:ascii="宋体" w:hAnsi="宋体" w:cs="宋体"/>
          <w:kern w:val="0"/>
          <w:sz w:val="24"/>
          <w:u w:val="single"/>
        </w:rPr>
        <w:t>日上午</w:t>
      </w:r>
      <w:r>
        <w:rPr>
          <w:rFonts w:hint="eastAsia" w:ascii="宋体" w:hAnsi="宋体" w:cs="宋体"/>
          <w:kern w:val="0"/>
          <w:sz w:val="24"/>
          <w:u w:val="single"/>
          <w:lang w:val="en-US" w:eastAsia="zh-CN"/>
        </w:rPr>
        <w:t xml:space="preserve">09 </w:t>
      </w:r>
      <w:r>
        <w:rPr>
          <w:rFonts w:hint="eastAsia" w:ascii="宋体" w:hAnsi="宋体" w:cs="宋体"/>
          <w:kern w:val="0"/>
          <w:sz w:val="24"/>
          <w:u w:val="single"/>
        </w:rPr>
        <w:t>点</w:t>
      </w:r>
      <w:r>
        <w:rPr>
          <w:rFonts w:hint="eastAsia" w:ascii="宋体" w:hAnsi="宋体" w:cs="宋体"/>
          <w:kern w:val="0"/>
          <w:sz w:val="24"/>
          <w:u w:val="single"/>
          <w:lang w:val="en-US" w:eastAsia="zh-CN"/>
        </w:rPr>
        <w:t xml:space="preserve">00 </w:t>
      </w:r>
      <w:r>
        <w:rPr>
          <w:rFonts w:hint="eastAsia" w:ascii="宋体" w:hAnsi="宋体" w:cs="宋体"/>
          <w:kern w:val="0"/>
          <w:sz w:val="24"/>
          <w:u w:val="single"/>
        </w:rPr>
        <w:t>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w:t>
      </w:r>
      <w:r>
        <w:rPr>
          <w:rFonts w:hint="eastAsia" w:ascii="宋体" w:hAnsi="宋体" w:cs="宋体"/>
          <w:kern w:val="0"/>
          <w:sz w:val="24"/>
          <w:u w:val="single"/>
          <w:lang w:val="en-US" w:eastAsia="zh-CN"/>
        </w:rPr>
        <w:t xml:space="preserve"> 二 </w:t>
      </w:r>
      <w:r>
        <w:rPr>
          <w:rFonts w:hint="eastAsia" w:ascii="宋体" w:hAnsi="宋体" w:cs="宋体"/>
          <w:kern w:val="0"/>
          <w:sz w:val="24"/>
        </w:rPr>
        <w:t>室；</w:t>
      </w:r>
    </w:p>
    <w:p>
      <w:pPr>
        <w:widowControl/>
        <w:spacing w:line="440" w:lineRule="exact"/>
        <w:rPr>
          <w:rFonts w:ascii="宋体" w:hAnsi="宋体" w:cs="宋体"/>
          <w:b/>
          <w:bCs/>
          <w:sz w:val="24"/>
          <w:highlight w:val="red"/>
        </w:rPr>
      </w:pPr>
      <w:r>
        <w:rPr>
          <w:rFonts w:hint="eastAsia" w:ascii="宋体" w:hAnsi="宋体" w:cs="宋体"/>
          <w:b/>
          <w:bCs/>
          <w:sz w:val="24"/>
        </w:rPr>
        <w:t>五、</w:t>
      </w:r>
      <w:r>
        <w:rPr>
          <w:rFonts w:hint="eastAsia" w:ascii="宋体" w:hAnsi="宋体" w:eastAsia="宋体" w:cs="宋体"/>
          <w:b/>
          <w:bCs/>
          <w:sz w:val="24"/>
          <w:szCs w:val="24"/>
          <w:highlight w:val="none"/>
          <w:lang w:val="en-US" w:eastAsia="zh-CN"/>
        </w:rPr>
        <w:t>开标时间及地点</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w:t>
      </w:r>
      <w:r>
        <w:rPr>
          <w:rFonts w:hint="eastAsia" w:ascii="宋体" w:hAnsi="宋体" w:cs="宋体"/>
          <w:kern w:val="0"/>
          <w:sz w:val="24"/>
          <w:u w:val="single"/>
        </w:rPr>
        <w:t>2024年</w:t>
      </w:r>
      <w:r>
        <w:rPr>
          <w:rFonts w:hint="eastAsia" w:ascii="宋体" w:hAnsi="宋体" w:cs="宋体"/>
          <w:kern w:val="0"/>
          <w:sz w:val="24"/>
          <w:u w:val="single"/>
          <w:lang w:val="en-US" w:eastAsia="zh-CN"/>
        </w:rPr>
        <w:t xml:space="preserve"> 7 </w:t>
      </w:r>
      <w:r>
        <w:rPr>
          <w:rFonts w:hint="eastAsia" w:ascii="宋体" w:hAnsi="宋体" w:cs="宋体"/>
          <w:kern w:val="0"/>
          <w:sz w:val="24"/>
          <w:u w:val="single"/>
        </w:rPr>
        <w:t>月</w:t>
      </w:r>
      <w:r>
        <w:rPr>
          <w:rFonts w:hint="eastAsia" w:ascii="宋体" w:hAnsi="宋体" w:cs="宋体"/>
          <w:kern w:val="0"/>
          <w:sz w:val="24"/>
          <w:u w:val="single"/>
          <w:lang w:val="en-US" w:eastAsia="zh-CN"/>
        </w:rPr>
        <w:t xml:space="preserve"> 29</w:t>
      </w:r>
      <w:r>
        <w:rPr>
          <w:rFonts w:hint="eastAsia" w:ascii="宋体" w:hAnsi="宋体" w:cs="宋体"/>
          <w:kern w:val="0"/>
          <w:sz w:val="24"/>
          <w:u w:val="single"/>
        </w:rPr>
        <w:t>日上午</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 xml:space="preserve">00 </w:t>
      </w:r>
      <w:r>
        <w:rPr>
          <w:rFonts w:hint="eastAsia" w:ascii="宋体" w:hAnsi="宋体" w:cs="宋体"/>
          <w:kern w:val="0"/>
          <w:sz w:val="24"/>
          <w:u w:val="single"/>
        </w:rPr>
        <w:t>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w:t>
      </w:r>
      <w:r>
        <w:rPr>
          <w:rFonts w:hint="eastAsia" w:ascii="宋体" w:hAnsi="宋体" w:cs="宋体"/>
          <w:kern w:val="0"/>
          <w:sz w:val="24"/>
          <w:u w:val="single"/>
          <w:lang w:val="en-US" w:eastAsia="zh-CN"/>
        </w:rPr>
        <w:t xml:space="preserve"> 二 </w:t>
      </w:r>
      <w:r>
        <w:rPr>
          <w:rFonts w:hint="eastAsia" w:ascii="宋体" w:hAnsi="宋体" w:cs="宋体"/>
          <w:kern w:val="0"/>
          <w:sz w:val="24"/>
        </w:rPr>
        <w:t>室；</w:t>
      </w:r>
    </w:p>
    <w:p>
      <w:pPr>
        <w:spacing w:line="440" w:lineRule="exact"/>
        <w:rPr>
          <w:rFonts w:ascii="宋体" w:hAnsi="宋体" w:cs="宋体"/>
          <w:b/>
          <w:bCs/>
          <w:sz w:val="24"/>
          <w:highlight w:val="red"/>
        </w:rPr>
      </w:pPr>
      <w:r>
        <w:rPr>
          <w:rFonts w:hint="eastAsia" w:ascii="宋体" w:hAnsi="宋体" w:cs="宋体"/>
          <w:b/>
          <w:bCs/>
          <w:sz w:val="24"/>
        </w:rPr>
        <w:t>六、</w:t>
      </w:r>
      <w:r>
        <w:rPr>
          <w:rFonts w:hint="eastAsia" w:ascii="宋体" w:hAnsi="宋体" w:eastAsia="宋体" w:cs="宋体"/>
          <w:b/>
          <w:bCs/>
          <w:sz w:val="24"/>
          <w:szCs w:val="24"/>
          <w:highlight w:val="none"/>
          <w:lang w:val="en-US" w:eastAsia="zh-CN"/>
        </w:rPr>
        <w:t>发布公告的媒介及公告期限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lang w:val="en-US" w:eastAsia="zh-CN"/>
        </w:rPr>
        <w:t>本公告在《中国招标投标公共服务平台》、《河南省政府采购网》、《焦作市政府采购网》、《焦作市公共资源交易中心网》、《博爱县人民政府网》、《博爱县公共资源交易中心网》http://www.baxggzyjyzx.cn/上发布。</w:t>
      </w:r>
      <w:r>
        <w:rPr>
          <w:rFonts w:hint="eastAsia" w:ascii="宋体" w:hAnsi="宋体" w:cs="宋体"/>
          <w:sz w:val="24"/>
        </w:rPr>
        <w:t>公告</w:t>
      </w:r>
      <w:r>
        <w:rPr>
          <w:rFonts w:hint="eastAsia" w:ascii="宋体" w:hAnsi="宋体" w:cs="宋体"/>
          <w:sz w:val="24"/>
          <w:lang w:val="en-US" w:eastAsia="zh-CN"/>
        </w:rPr>
        <w:t>期限为</w:t>
      </w:r>
      <w:r>
        <w:rPr>
          <w:rFonts w:hint="eastAsia" w:ascii="宋体" w:hAnsi="宋体" w:cs="宋体"/>
          <w:kern w:val="0"/>
          <w:sz w:val="24"/>
          <w:lang w:val="en-US" w:eastAsia="zh-CN"/>
        </w:rPr>
        <w:t>五</w:t>
      </w:r>
      <w:r>
        <w:rPr>
          <w:rFonts w:hint="eastAsia" w:ascii="宋体" w:hAnsi="宋体" w:cs="宋体"/>
          <w:kern w:val="0"/>
          <w:sz w:val="24"/>
        </w:rPr>
        <w:t>个工作日。</w:t>
      </w:r>
    </w:p>
    <w:p>
      <w:pPr>
        <w:widowControl/>
        <w:spacing w:line="44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pPr>
        <w:pStyle w:val="23"/>
        <w:spacing w:before="0" w:beforeAutospacing="0" w:after="0" w:afterAutospacing="0" w:line="440" w:lineRule="exact"/>
        <w:ind w:firstLine="468" w:firstLineChars="195"/>
        <w:jc w:val="both"/>
      </w:pPr>
      <w:r>
        <w:rPr>
          <w:rFonts w:hint="eastAsia"/>
          <w:lang w:val="en-US" w:eastAsia="zh-CN"/>
        </w:rPr>
        <w:t>1</w:t>
      </w:r>
      <w:r>
        <w:rPr>
          <w:rFonts w:hint="eastAsia"/>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3"/>
        <w:spacing w:before="0" w:beforeAutospacing="0" w:after="0" w:afterAutospacing="0" w:line="440" w:lineRule="exact"/>
        <w:ind w:firstLine="468" w:firstLineChars="195"/>
        <w:jc w:val="both"/>
      </w:pPr>
      <w:r>
        <w:rPr>
          <w:rFonts w:hint="eastAsia"/>
          <w:lang w:val="en-US" w:eastAsia="zh-CN"/>
        </w:rPr>
        <w:t>2</w:t>
      </w:r>
      <w:r>
        <w:rPr>
          <w:rFonts w:hint="eastAsia"/>
        </w:rPr>
        <w:t>.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凡对本次招标提出询问，请按以下方式联系</w:t>
      </w:r>
    </w:p>
    <w:p>
      <w:pPr>
        <w:widowControl/>
        <w:spacing w:line="440" w:lineRule="exact"/>
        <w:ind w:firstLine="420"/>
        <w:rPr>
          <w:rFonts w:hint="eastAsia" w:ascii="宋体" w:hAnsi="宋体" w:cs="宋体"/>
          <w:kern w:val="0"/>
          <w:sz w:val="24"/>
        </w:rPr>
      </w:pPr>
      <w:r>
        <w:rPr>
          <w:rFonts w:hint="eastAsia" w:ascii="宋体" w:hAnsi="宋体" w:cs="宋体"/>
          <w:kern w:val="0"/>
          <w:sz w:val="24"/>
        </w:rPr>
        <w:t>1.采购人信息：</w:t>
      </w:r>
    </w:p>
    <w:p>
      <w:pPr>
        <w:widowControl/>
        <w:spacing w:line="440" w:lineRule="exact"/>
        <w:ind w:firstLine="420"/>
        <w:rPr>
          <w:rFonts w:hint="eastAsia" w:ascii="宋体" w:hAnsi="宋体" w:cs="宋体"/>
          <w:kern w:val="0"/>
          <w:sz w:val="24"/>
        </w:rPr>
      </w:pPr>
      <w:r>
        <w:rPr>
          <w:rFonts w:hint="eastAsia" w:ascii="宋体" w:hAnsi="宋体" w:cs="宋体"/>
          <w:kern w:val="0"/>
          <w:sz w:val="24"/>
        </w:rPr>
        <w:t>采购人：</w:t>
      </w:r>
      <w:r>
        <w:rPr>
          <w:rFonts w:hint="eastAsia" w:ascii="宋体" w:hAnsi="宋体" w:cs="宋体"/>
          <w:kern w:val="0"/>
          <w:sz w:val="24"/>
          <w:lang w:eastAsia="zh-CN"/>
        </w:rPr>
        <w:t>博爱县许良镇人民政府</w:t>
      </w:r>
      <w:r>
        <w:rPr>
          <w:rFonts w:hint="eastAsia" w:ascii="宋体" w:hAnsi="宋体" w:cs="宋体"/>
          <w:kern w:val="0"/>
          <w:sz w:val="24"/>
        </w:rPr>
        <w:t xml:space="preserve"> </w:t>
      </w:r>
    </w:p>
    <w:p>
      <w:pPr>
        <w:widowControl/>
        <w:spacing w:line="440" w:lineRule="exact"/>
        <w:ind w:firstLine="420"/>
        <w:rPr>
          <w:rFonts w:hint="eastAsia" w:ascii="宋体" w:hAnsi="宋体" w:cs="宋体"/>
          <w:kern w:val="0"/>
          <w:sz w:val="24"/>
        </w:rPr>
      </w:pPr>
      <w:r>
        <w:rPr>
          <w:rFonts w:hint="eastAsia" w:ascii="宋体" w:hAnsi="宋体" w:cs="宋体"/>
          <w:kern w:val="0"/>
          <w:sz w:val="24"/>
        </w:rPr>
        <w:t>地址：</w:t>
      </w:r>
      <w:r>
        <w:rPr>
          <w:rFonts w:hint="eastAsia" w:ascii="宋体" w:hAnsi="宋体" w:cs="宋体"/>
          <w:kern w:val="0"/>
          <w:sz w:val="24"/>
          <w:lang w:eastAsia="zh-CN"/>
        </w:rPr>
        <w:t>博爱县许良镇</w:t>
      </w:r>
      <w:r>
        <w:rPr>
          <w:rFonts w:hint="eastAsia" w:ascii="宋体" w:hAnsi="宋体" w:cs="宋体"/>
          <w:kern w:val="0"/>
          <w:sz w:val="24"/>
          <w:lang w:val="en-US" w:eastAsia="zh-CN"/>
        </w:rPr>
        <w:t>大街</w:t>
      </w:r>
      <w:r>
        <w:rPr>
          <w:rFonts w:hint="eastAsia" w:ascii="宋体" w:hAnsi="宋体" w:cs="宋体"/>
          <w:kern w:val="0"/>
          <w:sz w:val="24"/>
        </w:rPr>
        <w:t xml:space="preserve"> </w:t>
      </w:r>
    </w:p>
    <w:p>
      <w:pPr>
        <w:widowControl/>
        <w:spacing w:line="440" w:lineRule="exact"/>
        <w:ind w:firstLine="420"/>
        <w:rPr>
          <w:rFonts w:hint="default" w:ascii="宋体" w:hAnsi="宋体" w:eastAsia="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val="en-US" w:eastAsia="zh-CN"/>
        </w:rPr>
        <w:t>陈先生</w:t>
      </w:r>
    </w:p>
    <w:p>
      <w:pPr>
        <w:widowControl/>
        <w:spacing w:line="440" w:lineRule="exact"/>
        <w:ind w:firstLine="420"/>
        <w:rPr>
          <w:rFonts w:hint="default" w:ascii="宋体" w:hAnsi="宋体" w:eastAsia="宋体" w:cs="宋体"/>
          <w:kern w:val="0"/>
          <w:sz w:val="24"/>
          <w:lang w:val="en-US" w:eastAsia="zh-CN"/>
        </w:rPr>
      </w:pPr>
      <w:r>
        <w:rPr>
          <w:rFonts w:hint="eastAsia" w:ascii="宋体" w:hAnsi="宋体" w:cs="宋体"/>
          <w:kern w:val="0"/>
          <w:sz w:val="24"/>
        </w:rPr>
        <w:t>电话：</w:t>
      </w:r>
      <w:r>
        <w:rPr>
          <w:rFonts w:hint="eastAsia" w:ascii="宋体" w:hAnsi="宋体" w:cs="宋体"/>
          <w:kern w:val="0"/>
          <w:sz w:val="24"/>
          <w:lang w:val="en-US" w:eastAsia="zh-CN"/>
        </w:rPr>
        <w:t>18003910523</w:t>
      </w:r>
    </w:p>
    <w:p>
      <w:pPr>
        <w:widowControl/>
        <w:spacing w:line="440" w:lineRule="exact"/>
        <w:ind w:firstLine="420"/>
        <w:rPr>
          <w:rFonts w:hint="default"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代理机构信息：</w:t>
      </w:r>
    </w:p>
    <w:p>
      <w:pPr>
        <w:widowControl/>
        <w:spacing w:line="440" w:lineRule="exact"/>
        <w:ind w:firstLine="420"/>
        <w:rPr>
          <w:rFonts w:hint="eastAsia" w:ascii="宋体" w:hAnsi="宋体" w:cs="宋体"/>
          <w:kern w:val="0"/>
          <w:sz w:val="24"/>
        </w:rPr>
      </w:pPr>
      <w:r>
        <w:rPr>
          <w:rFonts w:hint="eastAsia" w:ascii="宋体" w:hAnsi="宋体" w:cs="宋体"/>
          <w:kern w:val="0"/>
          <w:sz w:val="24"/>
        </w:rPr>
        <w:t>代理机构：河南腾豫工程管理有限公司</w:t>
      </w:r>
    </w:p>
    <w:p>
      <w:pPr>
        <w:widowControl/>
        <w:spacing w:line="440" w:lineRule="exact"/>
        <w:ind w:firstLine="420"/>
        <w:rPr>
          <w:rFonts w:hint="eastAsia" w:ascii="宋体" w:hAnsi="宋体" w:eastAsia="宋体" w:cs="宋体"/>
          <w:kern w:val="0"/>
          <w:sz w:val="24"/>
          <w:lang w:eastAsia="zh-CN"/>
        </w:rPr>
      </w:pPr>
      <w:r>
        <w:rPr>
          <w:rFonts w:hint="eastAsia" w:ascii="宋体" w:hAnsi="宋体" w:cs="宋体"/>
          <w:kern w:val="0"/>
          <w:sz w:val="24"/>
        </w:rPr>
        <w:t xml:space="preserve">联系人： </w:t>
      </w:r>
      <w:r>
        <w:rPr>
          <w:rFonts w:hint="eastAsia" w:ascii="宋体" w:hAnsi="宋体" w:cs="宋体"/>
          <w:kern w:val="0"/>
          <w:sz w:val="24"/>
          <w:lang w:eastAsia="zh-CN"/>
        </w:rPr>
        <w:t>郭玲玲</w:t>
      </w:r>
    </w:p>
    <w:p>
      <w:pPr>
        <w:widowControl/>
        <w:spacing w:line="440" w:lineRule="exact"/>
        <w:ind w:firstLine="420"/>
        <w:rPr>
          <w:rFonts w:hint="eastAsia" w:ascii="宋体" w:hAnsi="宋体" w:cs="宋体"/>
          <w:kern w:val="0"/>
          <w:sz w:val="24"/>
        </w:rPr>
      </w:pPr>
      <w:r>
        <w:rPr>
          <w:rFonts w:hint="eastAsia" w:ascii="宋体" w:hAnsi="宋体" w:cs="宋体"/>
          <w:kern w:val="0"/>
          <w:sz w:val="24"/>
        </w:rPr>
        <w:t>电  话：</w:t>
      </w:r>
      <w:r>
        <w:rPr>
          <w:rFonts w:hint="eastAsia" w:ascii="宋体" w:hAnsi="宋体" w:cs="宋体"/>
          <w:kern w:val="0"/>
          <w:sz w:val="24"/>
          <w:lang w:eastAsia="zh-CN"/>
        </w:rPr>
        <w:t>15514784562</w:t>
      </w:r>
      <w:r>
        <w:rPr>
          <w:rFonts w:hint="eastAsia" w:ascii="宋体" w:hAnsi="宋体" w:cs="宋体"/>
          <w:kern w:val="0"/>
          <w:sz w:val="24"/>
        </w:rPr>
        <w:t xml:space="preserve">    0391-8082888</w:t>
      </w:r>
    </w:p>
    <w:p>
      <w:pPr>
        <w:widowControl/>
        <w:spacing w:line="440" w:lineRule="exact"/>
        <w:ind w:firstLine="420"/>
        <w:rPr>
          <w:rFonts w:ascii="宋体" w:hAnsi="宋体" w:cs="宋体"/>
          <w:sz w:val="24"/>
        </w:rPr>
      </w:pPr>
      <w:r>
        <w:rPr>
          <w:rFonts w:hint="eastAsia" w:ascii="宋体" w:hAnsi="宋体" w:cs="宋体"/>
          <w:kern w:val="0"/>
          <w:sz w:val="24"/>
        </w:rPr>
        <w:t>地  址：焦作市博爱县葵城路与和谐路交叉口东300米路南</w:t>
      </w:r>
    </w:p>
    <w:p>
      <w:pPr>
        <w:widowControl/>
        <w:spacing w:line="440" w:lineRule="exact"/>
        <w:ind w:firstLine="420"/>
        <w:rPr>
          <w:rFonts w:ascii="宋体" w:hAnsi="宋体" w:cs="宋体"/>
          <w:sz w:val="24"/>
        </w:rPr>
      </w:pPr>
    </w:p>
    <w:p>
      <w:pPr>
        <w:widowControl/>
        <w:spacing w:line="440" w:lineRule="exact"/>
        <w:ind w:firstLine="420"/>
        <w:rPr>
          <w:rFonts w:ascii="宋体" w:hAnsi="宋体" w:cs="宋体"/>
          <w:sz w:val="24"/>
        </w:rPr>
      </w:pPr>
    </w:p>
    <w:p>
      <w:pPr>
        <w:widowControl/>
        <w:spacing w:line="440" w:lineRule="exact"/>
        <w:ind w:firstLine="420"/>
        <w:jc w:val="right"/>
        <w:rPr>
          <w:rFonts w:hint="eastAsia" w:ascii="宋体" w:hAnsi="宋体" w:eastAsia="宋体" w:cs="宋体"/>
          <w:sz w:val="24"/>
          <w:shd w:val="clear" w:color="auto" w:fill="FFFFFF"/>
          <w:lang w:eastAsia="zh-CN"/>
        </w:rPr>
      </w:pPr>
      <w:r>
        <w:rPr>
          <w:rFonts w:hint="eastAsia" w:ascii="宋体" w:hAnsi="宋体" w:cs="宋体"/>
          <w:sz w:val="24"/>
        </w:rPr>
        <w:t>采购人：</w:t>
      </w:r>
      <w:r>
        <w:rPr>
          <w:rFonts w:hint="eastAsia" w:ascii="宋体" w:hAnsi="宋体" w:cs="宋体"/>
          <w:sz w:val="24"/>
          <w:shd w:val="clear" w:color="auto" w:fill="FFFFFF"/>
          <w:lang w:eastAsia="zh-CN"/>
        </w:rPr>
        <w:t>博爱县许良镇人民政府</w:t>
      </w:r>
    </w:p>
    <w:p>
      <w:pPr>
        <w:widowControl/>
        <w:spacing w:line="440" w:lineRule="exact"/>
        <w:ind w:firstLine="2880" w:firstLineChars="1200"/>
        <w:jc w:val="right"/>
        <w:rPr>
          <w:rFonts w:hint="eastAsia" w:ascii="宋体" w:hAnsi="宋体" w:cs="宋体"/>
          <w:kern w:val="0"/>
          <w:sz w:val="24"/>
          <w:shd w:val="clear" w:color="auto" w:fill="FFFFFF"/>
        </w:rPr>
      </w:pPr>
      <w:r>
        <w:rPr>
          <w:rFonts w:hint="eastAsia" w:ascii="宋体" w:hAnsi="宋体" w:cs="宋体"/>
          <w:sz w:val="24"/>
          <w:shd w:val="clear" w:color="auto" w:fill="FFFFFF"/>
        </w:rPr>
        <w:t>采购代理机构：</w:t>
      </w:r>
      <w:r>
        <w:rPr>
          <w:rFonts w:hint="eastAsia" w:ascii="宋体" w:hAnsi="宋体" w:cs="宋体"/>
          <w:kern w:val="0"/>
          <w:sz w:val="24"/>
        </w:rPr>
        <w:t>河南腾豫工程管理有限公司</w:t>
      </w:r>
    </w:p>
    <w:p>
      <w:pPr>
        <w:widowControl/>
        <w:spacing w:line="440" w:lineRule="exact"/>
        <w:ind w:firstLine="420"/>
        <w:jc w:val="right"/>
        <w:rPr>
          <w:rFonts w:ascii="宋体" w:hAnsi="宋体" w:cs="宋体"/>
          <w:sz w:val="24"/>
        </w:rPr>
      </w:pPr>
      <w:r>
        <w:rPr>
          <w:rFonts w:hint="eastAsia" w:ascii="宋体" w:hAnsi="宋体" w:cs="宋体"/>
          <w:sz w:val="24"/>
        </w:rPr>
        <w:t>发布时间：202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p>
    <w:p>
      <w:pPr>
        <w:spacing w:line="440" w:lineRule="exact"/>
      </w:pPr>
    </w:p>
    <w:p>
      <w:pPr>
        <w:pStyle w:val="26"/>
        <w:ind w:firstLine="320"/>
        <w:rPr>
          <w:rFonts w:hint="default"/>
        </w:rPr>
      </w:pPr>
    </w:p>
    <w:p>
      <w:pPr>
        <w:rPr>
          <w:rFonts w:hint="eastAsia"/>
          <w:sz w:val="32"/>
          <w:szCs w:val="32"/>
        </w:rPr>
      </w:pPr>
      <w:r>
        <w:rPr>
          <w:rFonts w:hint="eastAsia"/>
          <w:sz w:val="32"/>
          <w:szCs w:val="32"/>
        </w:rPr>
        <w:br w:type="page"/>
      </w:r>
    </w:p>
    <w:p>
      <w:pPr>
        <w:pStyle w:val="2"/>
        <w:spacing w:line="500" w:lineRule="exact"/>
        <w:rPr>
          <w:sz w:val="32"/>
          <w:szCs w:val="32"/>
        </w:rPr>
      </w:pPr>
      <w:r>
        <w:rPr>
          <w:rFonts w:hint="eastAsia"/>
          <w:sz w:val="32"/>
          <w:szCs w:val="32"/>
        </w:rPr>
        <w:t>第二章  供应商须知</w:t>
      </w:r>
      <w:bookmarkEnd w:id="5"/>
      <w:bookmarkEnd w:id="6"/>
    </w:p>
    <w:bookmarkEnd w:id="0"/>
    <w:p>
      <w:pPr>
        <w:spacing w:line="500" w:lineRule="exact"/>
        <w:jc w:val="center"/>
        <w:rPr>
          <w:b/>
          <w:bCs/>
          <w:sz w:val="30"/>
          <w:szCs w:val="30"/>
        </w:rPr>
      </w:pPr>
      <w:bookmarkStart w:id="7" w:name="_Toc426369478"/>
      <w:bookmarkStart w:id="8" w:name="_Toc403122490"/>
      <w:bookmarkStart w:id="9" w:name="_Toc14655"/>
      <w:bookmarkStart w:id="10" w:name="_Toc32497"/>
      <w:bookmarkStart w:id="11" w:name="_Toc9161"/>
      <w:r>
        <w:rPr>
          <w:rFonts w:hint="eastAsia"/>
          <w:b/>
          <w:bCs/>
          <w:sz w:val="30"/>
          <w:szCs w:val="30"/>
        </w:rPr>
        <w:t>供应商须知前附表</w:t>
      </w:r>
      <w:bookmarkEnd w:id="7"/>
      <w:bookmarkEnd w:id="8"/>
      <w:bookmarkEnd w:id="9"/>
      <w:bookmarkEnd w:id="10"/>
      <w:bookmarkEnd w:id="11"/>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条款号</w:t>
            </w:r>
          </w:p>
        </w:tc>
        <w:tc>
          <w:tcPr>
            <w:tcW w:w="2206" w:type="dxa"/>
            <w:vAlign w:val="center"/>
          </w:tcPr>
          <w:p>
            <w:pPr>
              <w:pStyle w:val="17"/>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条款名称</w:t>
            </w:r>
          </w:p>
        </w:tc>
        <w:tc>
          <w:tcPr>
            <w:tcW w:w="6224" w:type="dxa"/>
            <w:vAlign w:val="center"/>
          </w:tcPr>
          <w:p>
            <w:pPr>
              <w:pStyle w:val="17"/>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1.1.2</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w:t>
            </w:r>
            <w:r>
              <w:rPr>
                <w:rFonts w:hint="eastAsia" w:asciiTheme="minorEastAsia" w:hAnsiTheme="minorEastAsia" w:eastAsiaTheme="minorEastAsia" w:cstheme="minorEastAsia"/>
                <w:sz w:val="24"/>
                <w:szCs w:val="24"/>
                <w:lang w:eastAsia="zh-CN"/>
              </w:rPr>
              <w:t>博爱县许良镇人民政府</w:t>
            </w:r>
            <w:r>
              <w:rPr>
                <w:rFonts w:hint="eastAsia" w:asciiTheme="minorEastAsia" w:hAnsiTheme="minorEastAsia" w:eastAsiaTheme="minorEastAsia" w:cstheme="minorEastAsia"/>
                <w:sz w:val="24"/>
                <w:szCs w:val="24"/>
              </w:rPr>
              <w:t xml:space="preserve"> </w:t>
            </w:r>
          </w:p>
          <w:p>
            <w:pPr>
              <w:pStyle w:val="17"/>
              <w:spacing w:line="500" w:lineRule="exact"/>
              <w:rPr>
                <w:rFonts w:hint="eastAsia" w:asciiTheme="minorEastAsia" w:hAnsiTheme="minorEastAsia" w:eastAsiaTheme="minorEastAsia" w:cstheme="minorEastAsia"/>
                <w:sz w:val="24"/>
                <w:szCs w:val="24"/>
                <w:lang w:val="en-US" w:eastAsia="zh-CN"/>
              </w:rPr>
            </w:pPr>
            <w:r>
              <w:rPr>
                <w:rFonts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陈先生</w:t>
            </w:r>
          </w:p>
          <w:p>
            <w:pPr>
              <w:pStyle w:val="17"/>
              <w:spacing w:line="500" w:lineRule="exact"/>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eastAsia="zh-CN"/>
              </w:rPr>
              <w:t>18003910523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1.1.3</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采购代理机构</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rPr>
              <w:t>河南腾豫工程管理有限公司</w:t>
            </w:r>
            <w:r>
              <w:rPr>
                <w:rFonts w:asciiTheme="minorEastAsia" w:hAnsiTheme="minorEastAsia" w:eastAsiaTheme="minorEastAsia" w:cstheme="minorEastAsia"/>
                <w:sz w:val="24"/>
                <w:szCs w:val="24"/>
              </w:rPr>
              <w:t xml:space="preserve"> </w:t>
            </w:r>
          </w:p>
          <w:p>
            <w:pPr>
              <w:pStyle w:val="17"/>
              <w:spacing w:line="500" w:lineRule="exact"/>
              <w:rPr>
                <w:rFonts w:hint="default" w:asciiTheme="minorEastAsia" w:hAnsiTheme="minorEastAsia" w:eastAsiaTheme="minorEastAsia" w:cstheme="minorEastAsia"/>
                <w:bCs/>
                <w:iCs/>
                <w:sz w:val="24"/>
                <w:szCs w:val="24"/>
              </w:rPr>
            </w:pPr>
            <w:r>
              <w:rPr>
                <w:rFonts w:asciiTheme="minorEastAsia" w:hAnsiTheme="minorEastAsia" w:eastAsiaTheme="minorEastAsia" w:cstheme="minorEastAsia"/>
                <w:sz w:val="24"/>
                <w:szCs w:val="24"/>
              </w:rPr>
              <w:t>联</w:t>
            </w:r>
            <w:r>
              <w:rPr>
                <w:rFonts w:asciiTheme="minorEastAsia" w:hAnsiTheme="minorEastAsia" w:eastAsiaTheme="minorEastAsia" w:cstheme="minorEastAsia"/>
                <w:bCs/>
                <w:iCs/>
                <w:sz w:val="24"/>
                <w:szCs w:val="24"/>
              </w:rPr>
              <w:t>系人：</w:t>
            </w:r>
            <w:r>
              <w:rPr>
                <w:rFonts w:hint="eastAsia" w:asciiTheme="minorEastAsia" w:hAnsiTheme="minorEastAsia" w:eastAsiaTheme="minorEastAsia" w:cstheme="minorEastAsia"/>
                <w:bCs/>
                <w:iCs/>
                <w:sz w:val="24"/>
                <w:szCs w:val="24"/>
                <w:lang w:eastAsia="zh-CN"/>
              </w:rPr>
              <w:t>郭玲玲</w:t>
            </w:r>
            <w:r>
              <w:rPr>
                <w:rFonts w:asciiTheme="minorEastAsia" w:hAnsiTheme="minorEastAsia" w:eastAsiaTheme="minorEastAsia" w:cstheme="minorEastAsia"/>
                <w:bCs/>
                <w:iCs/>
                <w:sz w:val="24"/>
                <w:szCs w:val="24"/>
              </w:rPr>
              <w:t xml:space="preserve">     </w:t>
            </w:r>
          </w:p>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电话：</w:t>
            </w:r>
            <w:r>
              <w:rPr>
                <w:rFonts w:hint="eastAsia" w:asciiTheme="minorEastAsia" w:hAnsiTheme="minorEastAsia" w:eastAsiaTheme="minorEastAsia" w:cstheme="minorEastAsia"/>
                <w:bCs/>
                <w:iCs/>
                <w:sz w:val="24"/>
                <w:szCs w:val="24"/>
                <w:lang w:eastAsia="zh-CN"/>
              </w:rPr>
              <w:t>15514784562</w:t>
            </w:r>
            <w:r>
              <w:rPr>
                <w:rFonts w:hint="eastAsia" w:asciiTheme="minorEastAsia" w:hAnsiTheme="minorEastAsia" w:eastAsiaTheme="minorEastAsia" w:cstheme="minorEastAsia"/>
                <w:bCs/>
                <w:iCs/>
                <w:sz w:val="24"/>
                <w:szCs w:val="24"/>
              </w:rPr>
              <w:t xml:space="preserve">   0391-8082888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1.1.4</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24" w:type="dxa"/>
            <w:vAlign w:val="center"/>
          </w:tcPr>
          <w:p>
            <w:pPr>
              <w:adjustRightInd w:val="0"/>
              <w:snapToGrid w:val="0"/>
              <w:spacing w:line="5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Cs/>
                <w:iCs/>
                <w:sz w:val="24"/>
                <w:lang w:eastAsia="zh-CN"/>
              </w:rPr>
              <w:t>2024年度博爱县许良镇泗沟村食品加工采购项目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1.1.5</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项目地点</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1.2.1</w:t>
            </w:r>
          </w:p>
        </w:tc>
        <w:tc>
          <w:tcPr>
            <w:tcW w:w="2206" w:type="dxa"/>
            <w:vAlign w:val="center"/>
          </w:tcPr>
          <w:p>
            <w:pPr>
              <w:pStyle w:val="17"/>
              <w:spacing w:line="500" w:lineRule="exact"/>
              <w:jc w:val="center"/>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资金来源</w:t>
            </w:r>
          </w:p>
        </w:tc>
        <w:tc>
          <w:tcPr>
            <w:tcW w:w="6224" w:type="dxa"/>
            <w:vAlign w:val="center"/>
          </w:tcPr>
          <w:p>
            <w:pPr>
              <w:pStyle w:val="17"/>
              <w:spacing w:line="500" w:lineRule="exact"/>
              <w:rPr>
                <w:rFonts w:hint="default" w:asciiTheme="minorEastAsia" w:hAnsiTheme="minorEastAsia" w:eastAsiaTheme="minorEastAsia" w:cstheme="minorEastAsia"/>
                <w:i/>
                <w:i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1.2.2</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资金落实情况</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1.3.1</w:t>
            </w:r>
          </w:p>
        </w:tc>
        <w:tc>
          <w:tcPr>
            <w:tcW w:w="2206" w:type="dxa"/>
            <w:shd w:val="clear" w:color="auto" w:fill="auto"/>
            <w:vAlign w:val="center"/>
          </w:tcPr>
          <w:p>
            <w:pPr>
              <w:pStyle w:val="17"/>
              <w:spacing w:line="500" w:lineRule="exact"/>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Cs/>
                <w:iCs/>
                <w:color w:val="auto"/>
                <w:sz w:val="24"/>
                <w:szCs w:val="24"/>
              </w:rPr>
              <w:t>采购内容</w:t>
            </w:r>
          </w:p>
        </w:tc>
        <w:tc>
          <w:tcPr>
            <w:tcW w:w="6224" w:type="dxa"/>
            <w:shd w:val="clear" w:color="auto" w:fill="auto"/>
          </w:tcPr>
          <w:p>
            <w:pPr>
              <w:pStyle w:val="43"/>
              <w:spacing w:line="500" w:lineRule="exact"/>
              <w:ind w:left="0" w:firstLine="0"/>
              <w:rPr>
                <w:rFonts w:asciiTheme="minorEastAsia" w:hAnsiTheme="minorEastAsia" w:eastAsiaTheme="minorEastAsia" w:cstheme="minorEastAsia"/>
                <w:color w:val="auto"/>
                <w:sz w:val="24"/>
                <w:szCs w:val="24"/>
                <w:highlight w:val="yellow"/>
                <w:lang w:eastAsia="zh-CN"/>
              </w:rPr>
            </w:pPr>
            <w:r>
              <w:rPr>
                <w:rFonts w:hint="eastAsia" w:asciiTheme="minorEastAsia" w:hAnsiTheme="minorEastAsia" w:eastAsiaTheme="minorEastAsia" w:cstheme="minorEastAsia"/>
                <w:color w:val="auto"/>
                <w:sz w:val="24"/>
                <w:szCs w:val="24"/>
                <w:lang w:val="en-US" w:eastAsia="zh-CN"/>
              </w:rPr>
              <w:t>采购黄豆提升系统、磨浆分离制浆系统、煮浆设备、老豆腐成型设备、豆干生产线、千张生产线、冲浆豆腐生产线等及其他配套设施。</w:t>
            </w:r>
            <w:r>
              <w:rPr>
                <w:rFonts w:asciiTheme="minorEastAsia" w:hAnsiTheme="minorEastAsia" w:eastAsiaTheme="minorEastAsia" w:cstheme="minorEastAsia"/>
                <w:color w:val="auto"/>
                <w:sz w:val="24"/>
                <w:szCs w:val="24"/>
                <w:lang w:eastAsia="zh-CN"/>
              </w:rPr>
              <w:t>（详见第五章 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1.3.2</w:t>
            </w:r>
          </w:p>
        </w:tc>
        <w:tc>
          <w:tcPr>
            <w:tcW w:w="2206" w:type="dxa"/>
            <w:vAlign w:val="center"/>
          </w:tcPr>
          <w:p>
            <w:pPr>
              <w:pStyle w:val="17"/>
              <w:spacing w:line="500" w:lineRule="exact"/>
              <w:jc w:val="center"/>
              <w:rPr>
                <w:rFonts w:hint="default" w:asciiTheme="minorEastAsia" w:hAnsiTheme="minorEastAsia" w:eastAsiaTheme="minorEastAsia" w:cstheme="minorEastAsia"/>
                <w:bCs/>
                <w:iCs/>
                <w:color w:val="auto"/>
                <w:sz w:val="24"/>
                <w:szCs w:val="24"/>
              </w:rPr>
            </w:pPr>
            <w:r>
              <w:rPr>
                <w:rFonts w:asciiTheme="minorEastAsia" w:hAnsiTheme="minorEastAsia" w:eastAsiaTheme="minorEastAsia" w:cstheme="minorEastAsia"/>
                <w:bCs/>
                <w:iCs/>
                <w:color w:val="auto"/>
                <w:sz w:val="24"/>
                <w:szCs w:val="24"/>
              </w:rPr>
              <w:t>合同履行期限</w:t>
            </w:r>
          </w:p>
          <w:p>
            <w:pPr>
              <w:pStyle w:val="17"/>
              <w:spacing w:line="500" w:lineRule="exact"/>
              <w:jc w:val="center"/>
              <w:rPr>
                <w:rFonts w:hint="default" w:hAnsi="宋体" w:cs="宋体"/>
                <w:color w:val="auto"/>
                <w:kern w:val="0"/>
                <w:sz w:val="24"/>
                <w:szCs w:val="24"/>
              </w:rPr>
            </w:pPr>
            <w:r>
              <w:rPr>
                <w:rFonts w:asciiTheme="minorEastAsia" w:hAnsiTheme="minorEastAsia" w:eastAsiaTheme="minorEastAsia" w:cstheme="minorEastAsia"/>
                <w:bCs/>
                <w:iCs/>
                <w:color w:val="auto"/>
                <w:sz w:val="24"/>
                <w:szCs w:val="24"/>
              </w:rPr>
              <w:t>（供货安装期）</w:t>
            </w:r>
          </w:p>
        </w:tc>
        <w:tc>
          <w:tcPr>
            <w:tcW w:w="6224" w:type="dxa"/>
            <w:vAlign w:val="center"/>
          </w:tcPr>
          <w:p>
            <w:pPr>
              <w:adjustRightInd w:val="0"/>
              <w:snapToGrid w:val="0"/>
              <w:spacing w:line="500" w:lineRule="exact"/>
              <w:rPr>
                <w:rFonts w:ascii="宋体" w:hAnsi="宋体" w:cs="宋体"/>
                <w:color w:val="auto"/>
                <w:kern w:val="0"/>
                <w:sz w:val="24"/>
              </w:rPr>
            </w:pPr>
            <w:r>
              <w:rPr>
                <w:rFonts w:hint="eastAsia" w:ascii="宋体" w:hAnsi="宋体" w:cs="宋体"/>
                <w:color w:val="auto"/>
                <w:kern w:val="0"/>
                <w:sz w:val="24"/>
              </w:rPr>
              <w:t>合同签订后</w:t>
            </w:r>
            <w:r>
              <w:rPr>
                <w:rFonts w:hint="eastAsia" w:ascii="宋体" w:hAnsi="宋体" w:cs="宋体"/>
                <w:color w:val="auto"/>
                <w:kern w:val="0"/>
                <w:sz w:val="24"/>
                <w:lang w:val="en-US" w:eastAsia="zh-CN"/>
              </w:rPr>
              <w:t>60</w:t>
            </w:r>
            <w:r>
              <w:rPr>
                <w:rFonts w:hint="eastAsia" w:ascii="宋体" w:hAnsi="宋体" w:cs="宋体"/>
                <w:color w:val="auto"/>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1.3.3</w:t>
            </w:r>
          </w:p>
        </w:tc>
        <w:tc>
          <w:tcPr>
            <w:tcW w:w="2206" w:type="dxa"/>
            <w:vAlign w:val="center"/>
          </w:tcPr>
          <w:p>
            <w:pPr>
              <w:pStyle w:val="17"/>
              <w:spacing w:line="500" w:lineRule="exact"/>
              <w:jc w:val="center"/>
              <w:rPr>
                <w:rFonts w:hint="default" w:hAnsi="宋体" w:cs="宋体"/>
                <w:kern w:val="0"/>
                <w:sz w:val="24"/>
                <w:szCs w:val="24"/>
              </w:rPr>
            </w:pPr>
            <w:r>
              <w:rPr>
                <w:rFonts w:hint="default" w:hAnsi="宋体" w:cs="宋体"/>
                <w:kern w:val="0"/>
                <w:sz w:val="24"/>
                <w:szCs w:val="24"/>
              </w:rPr>
              <w:t>质量标准</w:t>
            </w:r>
          </w:p>
        </w:tc>
        <w:tc>
          <w:tcPr>
            <w:tcW w:w="6224" w:type="dxa"/>
            <w:vAlign w:val="center"/>
          </w:tcPr>
          <w:p>
            <w:pPr>
              <w:spacing w:line="500" w:lineRule="exact"/>
              <w:rPr>
                <w:rFonts w:ascii="宋体" w:hAnsi="宋体" w:cs="宋体"/>
                <w:kern w:val="0"/>
                <w:sz w:val="24"/>
              </w:rPr>
            </w:pPr>
            <w:r>
              <w:rPr>
                <w:rFonts w:ascii="宋体" w:hAnsi="宋体" w:cs="宋体"/>
                <w:kern w:val="0"/>
                <w:sz w:val="24"/>
              </w:rPr>
              <w:t>合格，符合国家</w:t>
            </w:r>
            <w:r>
              <w:rPr>
                <w:rFonts w:hint="eastAsia" w:ascii="宋体" w:hAnsi="宋体" w:cs="宋体"/>
                <w:kern w:val="0"/>
                <w:sz w:val="24"/>
              </w:rPr>
              <w:t>及</w:t>
            </w:r>
            <w:r>
              <w:rPr>
                <w:rFonts w:ascii="宋体" w:hAnsi="宋体" w:cs="宋体"/>
                <w:kern w:val="0"/>
                <w:sz w:val="24"/>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1.3.4</w:t>
            </w:r>
          </w:p>
        </w:tc>
        <w:tc>
          <w:tcPr>
            <w:tcW w:w="2206" w:type="dxa"/>
            <w:vAlign w:val="center"/>
          </w:tcPr>
          <w:p>
            <w:pPr>
              <w:pStyle w:val="17"/>
              <w:spacing w:line="500" w:lineRule="exact"/>
              <w:jc w:val="center"/>
              <w:rPr>
                <w:rFonts w:hint="default" w:hAnsi="宋体" w:cs="宋体"/>
                <w:b w:val="0"/>
                <w:bCs w:val="0"/>
                <w:color w:val="auto"/>
                <w:kern w:val="0"/>
                <w:sz w:val="24"/>
                <w:szCs w:val="24"/>
              </w:rPr>
            </w:pPr>
            <w:r>
              <w:rPr>
                <w:rFonts w:hAnsi="宋体" w:cs="宋体"/>
                <w:b w:val="0"/>
                <w:bCs w:val="0"/>
                <w:color w:val="auto"/>
                <w:kern w:val="0"/>
                <w:sz w:val="24"/>
                <w:szCs w:val="24"/>
              </w:rPr>
              <w:t>质保期</w:t>
            </w:r>
          </w:p>
        </w:tc>
        <w:tc>
          <w:tcPr>
            <w:tcW w:w="6224" w:type="dxa"/>
            <w:vAlign w:val="center"/>
          </w:tcPr>
          <w:p>
            <w:pPr>
              <w:spacing w:line="500" w:lineRule="exact"/>
              <w:rPr>
                <w:rFonts w:hint="default" w:ascii="宋体" w:hAnsi="宋体" w:eastAsia="宋体" w:cs="宋体"/>
                <w:b w:val="0"/>
                <w:bCs w:val="0"/>
                <w:color w:val="auto"/>
                <w:kern w:val="0"/>
                <w:sz w:val="24"/>
                <w:lang w:val="en-US" w:eastAsia="zh-CN"/>
              </w:rPr>
            </w:pPr>
            <w:r>
              <w:rPr>
                <w:rFonts w:hint="eastAsia" w:ascii="宋体" w:hAnsi="宋体" w:cs="宋体"/>
                <w:b w:val="0"/>
                <w:bCs w:val="0"/>
                <w:color w:val="auto"/>
                <w:kern w:val="0"/>
                <w:sz w:val="24"/>
                <w:lang w:val="en-US" w:eastAsia="zh-CN"/>
              </w:rPr>
              <w:t xml:space="preserve"> 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1.4.1</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供应商资质条件</w:t>
            </w:r>
          </w:p>
        </w:tc>
        <w:tc>
          <w:tcPr>
            <w:tcW w:w="6224" w:type="dxa"/>
            <w:vAlign w:val="center"/>
          </w:tcPr>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w:t>
            </w:r>
            <w:r>
              <w:rPr>
                <w:rFonts w:hint="eastAsia" w:ascii="宋体" w:hAnsi="宋体" w:eastAsia="宋体" w:cs="宋体"/>
                <w:sz w:val="24"/>
                <w:szCs w:val="24"/>
                <w:highlight w:val="none"/>
                <w:lang w:val="en-US" w:eastAsia="zh-CN"/>
              </w:rPr>
              <w:t>落实政府采购政策需满足的资格要求：促进政府强制采购节能产品及环境标志产品优先采购，该项目全额面向中小企业采购，需要提供中小企业声明函。</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 供应商须具有有效的营业执照，并具有实施完成本项目的经营实力和完善的售后服务体系；</w:t>
            </w:r>
          </w:p>
          <w:p>
            <w:pPr>
              <w:widowControl/>
              <w:spacing w:line="44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3.2 信誉要求：</w:t>
            </w:r>
            <w:r>
              <w:rPr>
                <w:rFonts w:hint="eastAsia" w:ascii="宋体" w:hAnsi="宋体" w:cs="宋体"/>
                <w:sz w:val="24"/>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sz w:val="24"/>
                <w:shd w:val="clear" w:color="auto" w:fill="FFFFFF"/>
              </w:rPr>
              <w:t>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 本项目不接受联合体投标；</w:t>
            </w:r>
          </w:p>
          <w:p>
            <w:pPr>
              <w:widowControl/>
              <w:spacing w:line="500" w:lineRule="exact"/>
              <w:ind w:firstLine="480" w:firstLineChars="200"/>
              <w:jc w:val="left"/>
              <w:rPr>
                <w:rFonts w:asciiTheme="minorEastAsia" w:hAnsiTheme="minorEastAsia" w:eastAsiaTheme="minorEastAsia" w:cstheme="minorEastAsia"/>
                <w:sz w:val="24"/>
              </w:rPr>
            </w:pPr>
            <w:r>
              <w:rPr>
                <w:rFonts w:hint="eastAsia" w:ascii="宋体" w:hAnsi="宋体" w:cs="宋体"/>
                <w:sz w:val="24"/>
                <w:shd w:val="clear" w:color="auto" w:fill="FFFFFF"/>
              </w:rPr>
              <w:t>3.4 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1.4.2</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是否接受联合体</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1.10.1</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投标预备会</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1.10.2</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供应商提出问题的</w:t>
            </w:r>
          </w:p>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截止时间</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1.10.3</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采购人说明澄清的时间</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1.11</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分包</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2.2.1</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供应商要求澄清招标文件的截止时间</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2.2.2</w:t>
            </w:r>
          </w:p>
        </w:tc>
        <w:tc>
          <w:tcPr>
            <w:tcW w:w="2206" w:type="dxa"/>
            <w:vAlign w:val="center"/>
          </w:tcPr>
          <w:p>
            <w:pPr>
              <w:pStyle w:val="17"/>
              <w:spacing w:line="500" w:lineRule="exact"/>
              <w:jc w:val="center"/>
              <w:rPr>
                <w:rFonts w:hint="default" w:asciiTheme="minorEastAsia" w:hAnsiTheme="minorEastAsia" w:eastAsiaTheme="minorEastAsia" w:cstheme="minorEastAsia"/>
                <w:b/>
                <w:bCs/>
                <w:sz w:val="24"/>
                <w:szCs w:val="24"/>
              </w:rPr>
            </w:pPr>
            <w:r>
              <w:rPr>
                <w:rFonts w:asciiTheme="minorEastAsia" w:hAnsiTheme="minorEastAsia" w:eastAsiaTheme="minorEastAsia" w:cstheme="minorEastAsia"/>
                <w:sz w:val="24"/>
                <w:szCs w:val="24"/>
              </w:rPr>
              <w:t>投标截止时间</w:t>
            </w:r>
          </w:p>
        </w:tc>
        <w:tc>
          <w:tcPr>
            <w:tcW w:w="6224" w:type="dxa"/>
            <w:vAlign w:val="center"/>
          </w:tcPr>
          <w:p>
            <w:pPr>
              <w:spacing w:line="500" w:lineRule="exact"/>
              <w:jc w:val="left"/>
              <w:rPr>
                <w:rFonts w:asciiTheme="minorEastAsia" w:hAnsiTheme="minorEastAsia" w:eastAsiaTheme="minorEastAsia" w:cstheme="minorEastAsia"/>
                <w:b/>
                <w:bCs/>
                <w:sz w:val="24"/>
              </w:rPr>
            </w:pPr>
            <w:r>
              <w:rPr>
                <w:rFonts w:hint="eastAsia" w:ascii="宋体" w:hAnsi="宋体" w:cs="宋体"/>
                <w:b/>
                <w:bCs/>
                <w:kern w:val="0"/>
                <w:sz w:val="24"/>
              </w:rPr>
              <w:t>2024年</w:t>
            </w:r>
            <w:r>
              <w:rPr>
                <w:rFonts w:hint="eastAsia" w:ascii="宋体" w:hAnsi="宋体" w:cs="宋体"/>
                <w:b/>
                <w:bCs/>
                <w:kern w:val="0"/>
                <w:sz w:val="24"/>
                <w:lang w:val="en-US" w:eastAsia="zh-CN"/>
              </w:rPr>
              <w:t>7</w:t>
            </w:r>
            <w:r>
              <w:rPr>
                <w:rFonts w:hint="eastAsia" w:ascii="宋体" w:hAnsi="宋体" w:cs="宋体"/>
                <w:b/>
                <w:bCs/>
                <w:kern w:val="0"/>
                <w:sz w:val="24"/>
              </w:rPr>
              <w:t>月</w:t>
            </w:r>
            <w:r>
              <w:rPr>
                <w:rFonts w:hint="eastAsia" w:ascii="宋体" w:hAnsi="宋体" w:cs="宋体"/>
                <w:b/>
                <w:bCs/>
                <w:kern w:val="0"/>
                <w:sz w:val="24"/>
                <w:lang w:val="en-US" w:eastAsia="zh-CN"/>
              </w:rPr>
              <w:t>29</w:t>
            </w:r>
            <w:r>
              <w:rPr>
                <w:rFonts w:hint="eastAsia" w:ascii="宋体" w:hAnsi="宋体" w:cs="宋体"/>
                <w:b/>
                <w:bCs/>
                <w:kern w:val="0"/>
                <w:sz w:val="24"/>
              </w:rPr>
              <w:t>日上午</w:t>
            </w:r>
            <w:r>
              <w:rPr>
                <w:rFonts w:hint="eastAsia" w:ascii="宋体" w:hAnsi="宋体" w:cs="宋体"/>
                <w:b/>
                <w:bCs/>
                <w:kern w:val="0"/>
                <w:sz w:val="24"/>
                <w:lang w:val="en-US" w:eastAsia="zh-CN"/>
              </w:rPr>
              <w:t>09</w:t>
            </w:r>
            <w:r>
              <w:rPr>
                <w:rFonts w:hint="eastAsia" w:ascii="宋体" w:hAnsi="宋体" w:cs="宋体"/>
                <w:b/>
                <w:bCs/>
                <w:kern w:val="0"/>
                <w:sz w:val="24"/>
              </w:rPr>
              <w:t>点</w:t>
            </w:r>
            <w:r>
              <w:rPr>
                <w:rFonts w:hint="eastAsia" w:ascii="宋体" w:hAnsi="宋体" w:cs="宋体"/>
                <w:b/>
                <w:bCs/>
                <w:kern w:val="0"/>
                <w:sz w:val="24"/>
                <w:lang w:val="en-US" w:eastAsia="zh-CN"/>
              </w:rPr>
              <w:t>00</w:t>
            </w:r>
            <w:r>
              <w:rPr>
                <w:rFonts w:hint="eastAsia" w:ascii="宋体" w:hAnsi="宋体" w:cs="宋体"/>
                <w:b/>
                <w:bCs/>
                <w:kern w:val="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w:t>
            </w:r>
          </w:p>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其他材料</w:t>
            </w:r>
          </w:p>
        </w:tc>
        <w:tc>
          <w:tcPr>
            <w:tcW w:w="6224" w:type="dxa"/>
            <w:vAlign w:val="center"/>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3.3.1</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投标有效期</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3.6</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是否允许递交备选</w:t>
            </w:r>
          </w:p>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投标方案</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206" w:type="dxa"/>
            <w:shd w:val="clear" w:color="auto" w:fill="auto"/>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签字盖章要求</w:t>
            </w:r>
          </w:p>
        </w:tc>
        <w:tc>
          <w:tcPr>
            <w:tcW w:w="6224" w:type="dxa"/>
            <w:shd w:val="clear" w:color="auto" w:fill="auto"/>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1、所有要求供应商加盖公章的地方都须加盖供应商单位的 CA 印章。</w:t>
            </w:r>
          </w:p>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2、要求法定代表人签字或盖章的，法定代表人在签字或盖章的地方上传手写签名的扫描件或加盖法定代表人CA印章。</w:t>
            </w:r>
          </w:p>
          <w:p>
            <w:pPr>
              <w:pStyle w:val="17"/>
              <w:spacing w:line="500" w:lineRule="exact"/>
              <w:rPr>
                <w:rFonts w:hint="default" w:asciiTheme="minorEastAsia" w:hAnsiTheme="minorEastAsia" w:eastAsiaTheme="minorEastAsia" w:cstheme="minorEastAsia"/>
                <w:sz w:val="24"/>
                <w:szCs w:val="24"/>
                <w:highlight w:val="yellow"/>
              </w:rPr>
            </w:pPr>
            <w:r>
              <w:rPr>
                <w:rFonts w:asciiTheme="minorEastAsia" w:hAnsiTheme="minorEastAsia" w:eastAsiaTheme="minorEastAsia" w:cstheme="minorEastAsia"/>
                <w:sz w:val="24"/>
                <w:szCs w:val="24"/>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3.7.4</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投标文件份数</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加密的电子投标文件壹份（.jztf 格式在会员系统指定位置上传）；自备非加密的电子投标文件一份，如有紧急情况，在不见面开标系统按要求上传。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4.2.2</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递交投标文件方式和地点</w:t>
            </w:r>
          </w:p>
        </w:tc>
        <w:tc>
          <w:tcPr>
            <w:tcW w:w="6224" w:type="dxa"/>
            <w:vAlign w:val="center"/>
          </w:tcPr>
          <w:p>
            <w:pPr>
              <w:pStyle w:val="17"/>
              <w:spacing w:line="500" w:lineRule="exact"/>
              <w:rPr>
                <w:rFonts w:hint="default" w:hAnsi="宋体"/>
                <w:sz w:val="24"/>
                <w:szCs w:val="24"/>
              </w:rPr>
            </w:pPr>
            <w:r>
              <w:rPr>
                <w:rFonts w:hAnsi="宋体"/>
                <w:sz w:val="24"/>
                <w:szCs w:val="24"/>
              </w:rPr>
              <w:t xml:space="preserve">本项目采用“远程不见面”开标方式，远程开标大厅网址为http://122.112.246.33/BidOpening/bidopeninghallaction/hall/login。投标人不需到开标现场参加开标会议，不需提交原件资料等。 </w:t>
            </w:r>
          </w:p>
          <w:p>
            <w:pPr>
              <w:pStyle w:val="17"/>
              <w:spacing w:line="500" w:lineRule="exact"/>
              <w:rPr>
                <w:rFonts w:hint="default" w:hAnsi="宋体"/>
                <w:sz w:val="24"/>
                <w:szCs w:val="24"/>
              </w:rPr>
            </w:pPr>
            <w:r>
              <w:rPr>
                <w:rFonts w:hAnsi="宋体"/>
                <w:sz w:val="24"/>
                <w:szCs w:val="24"/>
              </w:rPr>
              <w:t>（1）电子投标文件的递交</w:t>
            </w:r>
          </w:p>
          <w:p>
            <w:pPr>
              <w:pStyle w:val="17"/>
              <w:spacing w:line="500" w:lineRule="exact"/>
              <w:rPr>
                <w:rFonts w:hint="default" w:hAnsi="宋体"/>
                <w:sz w:val="24"/>
                <w:szCs w:val="24"/>
              </w:rPr>
            </w:pPr>
            <w:r>
              <w:rPr>
                <w:rFonts w:hAnsi="宋体"/>
                <w:sz w:val="24"/>
                <w:szCs w:val="24"/>
              </w:rPr>
              <w:t>a.各投标人应在投标截止时间前上传加密的电子投标文件</w:t>
            </w:r>
          </w:p>
          <w:p>
            <w:pPr>
              <w:pStyle w:val="17"/>
              <w:spacing w:line="500" w:lineRule="exact"/>
              <w:rPr>
                <w:rFonts w:hint="default" w:hAnsi="宋体"/>
                <w:sz w:val="24"/>
                <w:szCs w:val="24"/>
              </w:rPr>
            </w:pPr>
            <w:r>
              <w:rPr>
                <w:rFonts w:hAnsi="宋体"/>
                <w:sz w:val="24"/>
                <w:szCs w:val="24"/>
              </w:rPr>
              <w:t>（.jztf 格式）到会员系统的指定位置。上传时必须得到电脑“上传成功”的确认回复。请投标人在上传时认真检查上传投标文件是否完整、正确。</w:t>
            </w:r>
          </w:p>
          <w:p>
            <w:pPr>
              <w:pStyle w:val="17"/>
              <w:spacing w:line="500" w:lineRule="exact"/>
              <w:rPr>
                <w:rFonts w:hint="default"/>
                <w:sz w:val="24"/>
                <w:szCs w:val="24"/>
              </w:rPr>
            </w:pPr>
            <w:r>
              <w:rPr>
                <w:rFonts w:hAnsi="宋体"/>
                <w:sz w:val="24"/>
                <w:szCs w:val="24"/>
              </w:rPr>
              <w:t>b.如系统故故障需上传非加密文件时，投标人应按照采购人指示将非加密文件递交给采购人。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4.2.3</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是否退还投标文件</w:t>
            </w:r>
          </w:p>
        </w:tc>
        <w:tc>
          <w:tcPr>
            <w:tcW w:w="6224" w:type="dxa"/>
            <w:vAlign w:val="center"/>
          </w:tcPr>
          <w:p>
            <w:pPr>
              <w:pStyle w:val="17"/>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5.1</w:t>
            </w:r>
          </w:p>
        </w:tc>
        <w:tc>
          <w:tcPr>
            <w:tcW w:w="2206"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开标时间和地点</w:t>
            </w:r>
          </w:p>
        </w:tc>
        <w:tc>
          <w:tcPr>
            <w:tcW w:w="6224" w:type="dxa"/>
            <w:vAlign w:val="center"/>
          </w:tcPr>
          <w:p>
            <w:pPr>
              <w:adjustRightInd w:val="0"/>
              <w:snapToGrid w:val="0"/>
              <w:spacing w:line="500" w:lineRule="exact"/>
              <w:rPr>
                <w:rFonts w:ascii="宋体" w:hAnsi="宋体"/>
                <w:sz w:val="24"/>
              </w:rPr>
            </w:pPr>
            <w:r>
              <w:rPr>
                <w:rFonts w:hint="eastAsia" w:ascii="宋体" w:hAnsi="宋体"/>
                <w:sz w:val="24"/>
              </w:rPr>
              <w:t>开标时间：同投标截止时间。登录远程开标大厅，凭制作投标文件所用的企业 CA 密匙在线签到、解密文件等，解密时间为投标截止时后30分钟内。</w:t>
            </w:r>
          </w:p>
          <w:p>
            <w:pPr>
              <w:spacing w:line="500" w:lineRule="exact"/>
              <w:ind w:left="700" w:hanging="700"/>
              <w:jc w:val="left"/>
              <w:rPr>
                <w:rFonts w:ascii="宋体" w:hAnsi="宋体"/>
                <w:sz w:val="24"/>
              </w:rPr>
            </w:pPr>
            <w:r>
              <w:rPr>
                <w:rFonts w:hint="eastAsia" w:ascii="宋体" w:hAnsi="宋体"/>
                <w:sz w:val="24"/>
              </w:rPr>
              <w:t>现场开标地点：博爱县公共资源交易中心二楼不见面开标</w:t>
            </w:r>
          </w:p>
          <w:p>
            <w:pPr>
              <w:spacing w:line="500" w:lineRule="exact"/>
              <w:ind w:left="700" w:hanging="700"/>
              <w:jc w:val="left"/>
              <w:rPr>
                <w:rFonts w:asciiTheme="minorEastAsia" w:hAnsiTheme="minorEastAsia" w:eastAsiaTheme="minorEastAsia" w:cstheme="minorEastAsia"/>
                <w:sz w:val="24"/>
              </w:rPr>
            </w:pPr>
            <w:r>
              <w:rPr>
                <w:rFonts w:hint="eastAsia" w:ascii="宋体" w:hAnsi="宋体"/>
                <w:sz w:val="24"/>
                <w:u w:val="single"/>
                <w:lang w:val="en-US" w:eastAsia="zh-CN"/>
              </w:rPr>
              <w:t xml:space="preserve"> 二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24" w:type="dxa"/>
            <w:vAlign w:val="center"/>
          </w:tcPr>
          <w:p>
            <w:pPr>
              <w:adjustRightInd w:val="0"/>
              <w:snapToGrid w:val="0"/>
              <w:spacing w:line="500" w:lineRule="exact"/>
              <w:rPr>
                <w:rFonts w:ascii="宋体" w:hAnsi="宋体"/>
                <w:sz w:val="24"/>
                <w:highlight w:val="red"/>
                <w:u w:val="single"/>
              </w:rPr>
            </w:pPr>
            <w:r>
              <w:rPr>
                <w:rFonts w:hint="eastAsia" w:ascii="宋体" w:hAnsi="宋体"/>
                <w:sz w:val="24"/>
              </w:rPr>
              <w:t>评标委员会构成：由采购人代表1名和政府采购专家库中随机抽取的评审专家4名共5人组成。</w:t>
            </w:r>
            <w:r>
              <w:rPr>
                <w:rFonts w:hint="eastAsia" w:ascii="宋体" w:hAnsi="宋体"/>
                <w:b/>
                <w:bCs/>
                <w:sz w:val="24"/>
              </w:rPr>
              <w:t>注</w:t>
            </w:r>
            <w:r>
              <w:rPr>
                <w:rFonts w:hint="eastAsia" w:ascii="宋体" w:hAnsi="宋体"/>
                <w:sz w:val="24"/>
              </w:rPr>
              <w:t>：</w:t>
            </w:r>
            <w:r>
              <w:rPr>
                <w:rFonts w:hint="eastAsia" w:ascii="宋体" w:hAnsi="宋体"/>
                <w:b/>
                <w:bCs/>
                <w:sz w:val="24"/>
                <w:u w:val="single"/>
              </w:rPr>
              <w:t>根据《财政部令第87号》第四十五条规定，采购人代表不得担任评标委员会组长。</w:t>
            </w:r>
          </w:p>
          <w:p>
            <w:pPr>
              <w:spacing w:line="50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24" w:type="dxa"/>
            <w:vAlign w:val="center"/>
          </w:tcPr>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否，由评标委员会从认定的合理报价中，按得分由高到低的顺序，依次推荐1～3名中标候选人。</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w:t>
            </w:r>
          </w:p>
        </w:tc>
        <w:tc>
          <w:tcPr>
            <w:tcW w:w="6224" w:type="dxa"/>
            <w:vAlign w:val="center"/>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7"/>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7.3.2</w:t>
            </w:r>
          </w:p>
        </w:tc>
        <w:tc>
          <w:tcPr>
            <w:tcW w:w="2206" w:type="dxa"/>
            <w:shd w:val="clear" w:color="auto" w:fill="auto"/>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24" w:type="dxa"/>
            <w:shd w:val="clear" w:color="auto" w:fill="auto"/>
            <w:vAlign w:val="center"/>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5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10</w:t>
            </w:r>
          </w:p>
        </w:tc>
        <w:tc>
          <w:tcPr>
            <w:tcW w:w="8430" w:type="dxa"/>
            <w:gridSpan w:val="2"/>
            <w:vAlign w:val="bottom"/>
          </w:tcPr>
          <w:p>
            <w:pPr>
              <w:spacing w:line="5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预算金额（控制价）</w:t>
            </w:r>
          </w:p>
        </w:tc>
        <w:tc>
          <w:tcPr>
            <w:tcW w:w="6224" w:type="dxa"/>
            <w:vAlign w:val="bottom"/>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1.本项目预算金额为：</w:t>
            </w:r>
            <w:r>
              <w:rPr>
                <w:rFonts w:hint="eastAsia" w:asciiTheme="minorEastAsia" w:hAnsiTheme="minorEastAsia" w:eastAsiaTheme="minorEastAsia" w:cstheme="minorEastAsia"/>
                <w:sz w:val="24"/>
                <w:lang w:eastAsia="zh-CN"/>
              </w:rPr>
              <w:t>2000000.00</w:t>
            </w:r>
            <w:r>
              <w:rPr>
                <w:rFonts w:hint="eastAsia" w:asciiTheme="minorEastAsia" w:hAnsiTheme="minorEastAsia" w:eastAsiaTheme="minorEastAsia" w:cstheme="minorEastAsia"/>
                <w:sz w:val="24"/>
              </w:rPr>
              <w:t>元。</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2.控制价是采购人设置的最高限价，供应商的投标报价高于控制价的视为无效报价，其投标予以拒绝；</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小型或微型企业（含监狱企业）</w:t>
            </w:r>
          </w:p>
        </w:tc>
        <w:tc>
          <w:tcPr>
            <w:tcW w:w="6224" w:type="dxa"/>
            <w:vAlign w:val="center"/>
          </w:tcPr>
          <w:p>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对中小型或微型企业投标的扶持：</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1.1中小微企业应当提供《中小企业声明函》（见格式）。</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1.2按照《政府采购促进中小企业发展管理办法》有关规定，中小企业的标准为：</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（1）提供本企业制造的货物、承担的工程或者服务，或者提供其他中小企业制造的货物，不包括提供或使用大型企业注册商标的货物；</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（2）本规定所称中小企业划分标准，是指国务院有关部门根据企业从业人员、营业收入、资产总额等指标制定的中小企业划型标准（工信部联企业[2011]300号）；</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（3）小型、微型企业提供有中型企业制造的货物的，视同为中型企业；小型、微型、中型企业提供有大型企业制造的货物的，视同为大型企业。</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1.4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pPr>
              <w:spacing w:line="50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1.5采购人根据投标供应商提供的《中小企业声明函》认定该投标供应商是否属于中小企业，监狱企业和残疾人福利性单位视同小型、微型企业。不属于中小企业、监狱企业或残疾人福利性单位的拒绝参与本项目投标。</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w:t>
            </w:r>
          </w:p>
        </w:tc>
        <w:tc>
          <w:tcPr>
            <w:tcW w:w="2206" w:type="dxa"/>
            <w:vAlign w:val="center"/>
          </w:tcPr>
          <w:p>
            <w:pPr>
              <w:spacing w:line="500" w:lineRule="exact"/>
              <w:jc w:val="center"/>
              <w:rPr>
                <w:rFonts w:ascii="宋体" w:hAnsi="宋体" w:cs="宋体"/>
                <w:bCs/>
                <w:color w:val="auto"/>
                <w:sz w:val="24"/>
              </w:rPr>
            </w:pPr>
            <w:r>
              <w:rPr>
                <w:rFonts w:hint="eastAsia" w:ascii="宋体" w:hAnsi="宋体" w:cs="宋体"/>
                <w:bCs/>
                <w:color w:val="auto"/>
                <w:sz w:val="24"/>
              </w:rPr>
              <w:t>付款方式</w:t>
            </w:r>
          </w:p>
        </w:tc>
        <w:tc>
          <w:tcPr>
            <w:tcW w:w="6224" w:type="dxa"/>
            <w:vAlign w:val="center"/>
          </w:tcPr>
          <w:p>
            <w:pPr>
              <w:spacing w:line="500" w:lineRule="exact"/>
              <w:rPr>
                <w:rFonts w:ascii="宋体" w:hAnsi="宋体" w:cs="宋体"/>
                <w:bCs/>
                <w:color w:val="auto"/>
                <w:sz w:val="24"/>
              </w:rPr>
            </w:pPr>
            <w:r>
              <w:rPr>
                <w:rFonts w:hint="eastAsia" w:ascii="宋体" w:hAnsi="宋体" w:cs="宋体"/>
                <w:bCs/>
                <w:color w:val="auto"/>
                <w:sz w:val="24"/>
              </w:rPr>
              <w:t>成交人签订合同后，预付合同金额50％货款（成交供应商需提供保函），供货安装完毕经验收合格后付至合同价的100%。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w:t>
            </w:r>
          </w:p>
        </w:tc>
        <w:tc>
          <w:tcPr>
            <w:tcW w:w="2206" w:type="dxa"/>
            <w:vAlign w:val="center"/>
          </w:tcPr>
          <w:p>
            <w:pPr>
              <w:spacing w:line="500" w:lineRule="exact"/>
              <w:jc w:val="center"/>
              <w:rPr>
                <w:rFonts w:ascii="宋体" w:hAnsi="宋体" w:cs="宋体"/>
                <w:bCs/>
                <w:color w:val="auto"/>
                <w:sz w:val="24"/>
              </w:rPr>
            </w:pPr>
            <w:r>
              <w:rPr>
                <w:rFonts w:hint="eastAsia" w:ascii="宋体" w:hAnsi="宋体" w:cs="宋体"/>
                <w:bCs/>
                <w:color w:val="auto"/>
                <w:sz w:val="24"/>
              </w:rPr>
              <w:t>供货要求</w:t>
            </w:r>
          </w:p>
        </w:tc>
        <w:tc>
          <w:tcPr>
            <w:tcW w:w="6224" w:type="dxa"/>
            <w:vAlign w:val="center"/>
          </w:tcPr>
          <w:p>
            <w:pPr>
              <w:spacing w:line="500" w:lineRule="exact"/>
              <w:rPr>
                <w:rFonts w:ascii="宋体" w:hAnsi="宋体" w:cs="宋体"/>
                <w:bCs/>
                <w:color w:val="auto"/>
                <w:sz w:val="24"/>
              </w:rPr>
            </w:pPr>
            <w:r>
              <w:rPr>
                <w:rFonts w:hint="eastAsia" w:ascii="宋体" w:hAnsi="宋体" w:cs="宋体"/>
                <w:bCs/>
                <w:color w:val="auto"/>
                <w:sz w:val="24"/>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招标代理服务费</w:t>
            </w:r>
          </w:p>
        </w:tc>
        <w:tc>
          <w:tcPr>
            <w:tcW w:w="6224" w:type="dxa"/>
            <w:vAlign w:val="center"/>
          </w:tcPr>
          <w:p>
            <w:pPr>
              <w:spacing w:line="500" w:lineRule="exact"/>
              <w:rPr>
                <w:sz w:val="24"/>
              </w:rPr>
            </w:pPr>
            <w:r>
              <w:rPr>
                <w:rFonts w:hint="eastAsia" w:ascii="宋体" w:hAnsi="宋体" w:cs="宋体"/>
                <w:bCs/>
                <w:sz w:val="24"/>
                <w:lang w:val="en-US" w:eastAsia="zh-CN"/>
              </w:rPr>
              <w:t>代理服务费：依据预算金额参照豫招协[2023]002号《河南省招标代理服务收费指导意见》中的标准，由成交人在领取成交通知书前，向代理机构足额缴纳</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w:t>
            </w:r>
          </w:p>
        </w:tc>
        <w:tc>
          <w:tcPr>
            <w:tcW w:w="2206" w:type="dxa"/>
            <w:vAlign w:val="center"/>
          </w:tcPr>
          <w:p>
            <w:pPr>
              <w:adjustRightInd w:val="0"/>
              <w:snapToGrid w:val="0"/>
              <w:spacing w:line="500" w:lineRule="exact"/>
              <w:jc w:val="center"/>
              <w:rPr>
                <w:rFonts w:ascii="宋体" w:hAnsi="宋体" w:cs="宋体"/>
                <w:bCs/>
                <w:sz w:val="24"/>
              </w:rPr>
            </w:pPr>
            <w:r>
              <w:rPr>
                <w:rFonts w:hint="eastAsia" w:ascii="宋体" w:hAnsi="宋体" w:cs="宋体"/>
                <w:bCs/>
                <w:sz w:val="24"/>
              </w:rPr>
              <w:t>认定为不响应招标文件的其它条件</w:t>
            </w:r>
          </w:p>
        </w:tc>
        <w:tc>
          <w:tcPr>
            <w:tcW w:w="6224" w:type="dxa"/>
            <w:vAlign w:val="center"/>
          </w:tcPr>
          <w:p>
            <w:pPr>
              <w:pStyle w:val="27"/>
              <w:spacing w:line="500" w:lineRule="exact"/>
              <w:ind w:firstLine="0" w:firstLineChars="0"/>
              <w:rPr>
                <w:rFonts w:ascii="宋体" w:hAnsi="宋体" w:cs="宋体"/>
                <w:bCs/>
                <w:sz w:val="24"/>
              </w:rPr>
            </w:pPr>
            <w:r>
              <w:rPr>
                <w:rFonts w:hint="eastAsia" w:ascii="宋体" w:hAnsi="宋体" w:cs="宋体"/>
                <w:bCs/>
                <w:sz w:val="24"/>
              </w:rPr>
              <w:t>1.未按招标文件明示的规定签字盖章的；</w:t>
            </w:r>
          </w:p>
          <w:p>
            <w:pPr>
              <w:pStyle w:val="27"/>
              <w:spacing w:line="500" w:lineRule="exact"/>
              <w:ind w:firstLine="0" w:firstLineChars="0"/>
              <w:rPr>
                <w:rFonts w:ascii="宋体" w:hAnsi="宋体" w:cs="宋体"/>
                <w:bCs/>
                <w:sz w:val="24"/>
              </w:rPr>
            </w:pPr>
            <w:r>
              <w:rPr>
                <w:rFonts w:hint="eastAsia" w:ascii="宋体" w:hAnsi="宋体" w:cs="宋体"/>
                <w:bCs/>
                <w:sz w:val="24"/>
              </w:rPr>
              <w:t>2.投标文件的关键内容（供货安装期、质量标准、品牌、型号等）未填写或填写字迹模糊、达不到采购要求的；</w:t>
            </w:r>
          </w:p>
          <w:p>
            <w:pPr>
              <w:pStyle w:val="27"/>
              <w:spacing w:line="500" w:lineRule="exact"/>
              <w:ind w:firstLine="0" w:firstLineChars="0"/>
              <w:rPr>
                <w:rFonts w:ascii="宋体" w:hAnsi="宋体" w:cs="宋体"/>
                <w:bCs/>
                <w:sz w:val="24"/>
              </w:rPr>
            </w:pPr>
            <w:r>
              <w:rPr>
                <w:rFonts w:hint="eastAsia" w:ascii="宋体" w:hAnsi="宋体" w:cs="宋体"/>
                <w:bCs/>
                <w:sz w:val="24"/>
              </w:rPr>
              <w:t>3.投标报价超出招标控制价的；</w:t>
            </w:r>
          </w:p>
          <w:p>
            <w:pPr>
              <w:pStyle w:val="27"/>
              <w:spacing w:line="500" w:lineRule="exact"/>
              <w:ind w:firstLine="0" w:firstLineChars="0"/>
              <w:rPr>
                <w:rFonts w:ascii="宋体" w:hAnsi="宋体" w:cs="宋体"/>
                <w:bCs/>
                <w:sz w:val="24"/>
              </w:rPr>
            </w:pPr>
            <w:r>
              <w:rPr>
                <w:rFonts w:hint="eastAsia" w:ascii="宋体" w:hAnsi="宋体" w:cs="宋体"/>
                <w:bCs/>
                <w:sz w:val="24"/>
              </w:rPr>
              <w:t>4.供应商递交两份或多份内容不同的投标文件，或在一份投标文件中对同一招标项目有两个或多个报价，且未声明哪一个有效的；</w:t>
            </w:r>
          </w:p>
          <w:p>
            <w:pPr>
              <w:pStyle w:val="27"/>
              <w:spacing w:line="500" w:lineRule="exact"/>
              <w:ind w:firstLine="0" w:firstLineChars="0"/>
              <w:rPr>
                <w:rFonts w:ascii="宋体" w:hAnsi="宋体" w:cs="宋体"/>
                <w:bCs/>
                <w:sz w:val="24"/>
              </w:rPr>
            </w:pPr>
            <w:r>
              <w:rPr>
                <w:rFonts w:hint="eastAsia" w:ascii="宋体" w:hAnsi="宋体" w:cs="宋体"/>
                <w:bCs/>
                <w:sz w:val="24"/>
                <w:lang w:val="en-US" w:eastAsia="zh-CN"/>
              </w:rPr>
              <w:t>5</w:t>
            </w:r>
            <w:r>
              <w:rPr>
                <w:rFonts w:hint="eastAsia" w:ascii="宋体" w:hAnsi="宋体" w:cs="宋体"/>
                <w:bCs/>
                <w:sz w:val="24"/>
              </w:rPr>
              <w:t>.附有采购人不能接受的条件的；</w:t>
            </w:r>
          </w:p>
          <w:p>
            <w:pPr>
              <w:pStyle w:val="27"/>
              <w:spacing w:line="500" w:lineRule="exact"/>
              <w:ind w:firstLine="0" w:firstLineChars="0"/>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.评标过程中，如因两个或两个以上投标人在同一台计算或同一个IP上传响应文件，而被不见面开标系统提示为“投标文件制作机器码一致”的，则视其投标无效。</w:t>
            </w:r>
          </w:p>
          <w:p>
            <w:pPr>
              <w:pStyle w:val="27"/>
              <w:spacing w:line="500" w:lineRule="exact"/>
              <w:ind w:firstLine="0" w:firstLineChars="0"/>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50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10.9</w:t>
            </w:r>
          </w:p>
        </w:tc>
        <w:tc>
          <w:tcPr>
            <w:tcW w:w="2206" w:type="dxa"/>
            <w:vAlign w:val="top"/>
          </w:tcPr>
          <w:p>
            <w:pPr>
              <w:pStyle w:val="27"/>
              <w:ind w:firstLine="0" w:firstLineChars="0"/>
              <w:rPr>
                <w:rFonts w:hint="eastAsia" w:ascii="宋体" w:hAnsi="宋体" w:eastAsia="宋体" w:cs="宋体"/>
                <w:bCs/>
                <w:color w:val="auto"/>
                <w:kern w:val="2"/>
                <w:sz w:val="24"/>
                <w:szCs w:val="24"/>
                <w:lang w:val="en-US" w:eastAsia="zh-CN" w:bidi="ar-SA"/>
              </w:rPr>
            </w:pPr>
          </w:p>
          <w:p>
            <w:pPr>
              <w:pStyle w:val="27"/>
              <w:ind w:firstLine="0" w:firstLineChars="0"/>
              <w:rPr>
                <w:rFonts w:hint="eastAsia" w:ascii="宋体" w:hAnsi="宋体" w:eastAsia="宋体" w:cs="宋体"/>
                <w:bCs/>
                <w:color w:val="auto"/>
                <w:kern w:val="2"/>
                <w:sz w:val="24"/>
                <w:szCs w:val="24"/>
                <w:lang w:val="en-US" w:eastAsia="zh-CN" w:bidi="ar-SA"/>
              </w:rPr>
            </w:pPr>
          </w:p>
          <w:p>
            <w:pPr>
              <w:pStyle w:val="27"/>
              <w:ind w:firstLine="0" w:firstLineChars="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相同品牌认定</w:t>
            </w:r>
          </w:p>
        </w:tc>
        <w:tc>
          <w:tcPr>
            <w:tcW w:w="6224" w:type="dxa"/>
            <w:vAlign w:val="top"/>
          </w:tcPr>
          <w:p>
            <w:pPr>
              <w:pStyle w:val="27"/>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投标报价低的获得中标人推荐资格；得分且投标报价相同的，采购人委托评标委员会采取随机抽签方式确定，其它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50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10.10</w:t>
            </w:r>
          </w:p>
        </w:tc>
        <w:tc>
          <w:tcPr>
            <w:tcW w:w="8430" w:type="dxa"/>
            <w:gridSpan w:val="2"/>
            <w:vAlign w:val="center"/>
          </w:tcPr>
          <w:p>
            <w:pPr>
              <w:pStyle w:val="27"/>
              <w:tabs>
                <w:tab w:val="left" w:pos="1268"/>
              </w:tabs>
              <w:spacing w:line="500" w:lineRule="exact"/>
              <w:ind w:firstLine="0" w:firstLineChars="0"/>
              <w:rPr>
                <w:rFonts w:ascii="宋体" w:hAnsi="宋体" w:cs="宋体"/>
                <w:bCs/>
                <w:sz w:val="24"/>
              </w:rPr>
            </w:pPr>
            <w:r>
              <w:rPr>
                <w:rFonts w:hint="eastAsia" w:asciiTheme="minorEastAsia" w:hAnsiTheme="minorEastAsia" w:eastAsiaTheme="minorEastAsia" w:cstheme="minorEastAsia"/>
                <w:sz w:val="24"/>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27"/>
              <w:spacing w:line="500" w:lineRule="exact"/>
              <w:ind w:firstLine="480"/>
              <w:rPr>
                <w:rFonts w:ascii="宋体" w:hAnsi="宋体" w:cs="宋体"/>
                <w:bCs/>
                <w:sz w:val="24"/>
              </w:rPr>
            </w:pPr>
            <w:r>
              <w:rPr>
                <w:rFonts w:hint="eastAsia" w:asciiTheme="minorEastAsia" w:hAnsiTheme="minorEastAsia" w:eastAsiaTheme="minorEastAsia" w:cstheme="minorEastAsia"/>
                <w:sz w:val="24"/>
              </w:rPr>
              <w:t>本项目采购货物在质保期内属于货物质量问题的，成交供应商应免费维修，不能维修的应及时更换新货物，供应商须针对质保期内的质量问题提供承诺函。</w:t>
            </w:r>
          </w:p>
        </w:tc>
      </w:tr>
    </w:tbl>
    <w:p>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2" w:name="_Toc15892"/>
      <w:bookmarkStart w:id="13" w:name="_Toc9048"/>
      <w:bookmarkStart w:id="14" w:name="_Toc23082"/>
      <w:bookmarkStart w:id="15" w:name="_Toc23576"/>
      <w:bookmarkStart w:id="16" w:name="_Toc426369479"/>
      <w:bookmarkStart w:id="17" w:name="_Toc403122491"/>
      <w:bookmarkStart w:id="18" w:name="_Toc26894"/>
      <w:bookmarkStart w:id="19" w:name="_Toc426369491"/>
      <w:bookmarkStart w:id="20" w:name="_Toc403122503"/>
      <w:r>
        <w:rPr>
          <w:rFonts w:hint="eastAsia" w:ascii="宋体" w:hAnsi="宋体" w:eastAsia="宋体" w:cs="宋体"/>
          <w:sz w:val="24"/>
          <w:szCs w:val="24"/>
        </w:rPr>
        <w:t>1. 总则</w:t>
      </w:r>
      <w:bookmarkEnd w:id="12"/>
      <w:bookmarkEnd w:id="13"/>
      <w:bookmarkEnd w:id="14"/>
      <w:bookmarkEnd w:id="15"/>
      <w:bookmarkEnd w:id="16"/>
      <w:bookmarkEnd w:id="17"/>
    </w:p>
    <w:p>
      <w:pPr>
        <w:spacing w:line="500" w:lineRule="exact"/>
        <w:ind w:firstLine="482" w:firstLineChars="200"/>
        <w:rPr>
          <w:rFonts w:ascii="宋体" w:hAnsi="宋体" w:cs="宋体"/>
          <w:b/>
          <w:bCs/>
          <w:sz w:val="24"/>
        </w:rPr>
      </w:pPr>
      <w:bookmarkStart w:id="21" w:name="_Toc403122492"/>
      <w:bookmarkStart w:id="22" w:name="_Toc279599771"/>
      <w:bookmarkStart w:id="23" w:name="_Toc274249575"/>
      <w:bookmarkStart w:id="24" w:name="_Toc426369480"/>
      <w:r>
        <w:rPr>
          <w:rFonts w:hint="eastAsia" w:ascii="宋体" w:hAnsi="宋体" w:cs="宋体"/>
          <w:b/>
          <w:bCs/>
          <w:sz w:val="24"/>
        </w:rPr>
        <w:t>1.1 项目概况</w:t>
      </w:r>
      <w:bookmarkEnd w:id="21"/>
      <w:bookmarkEnd w:id="22"/>
      <w:bookmarkEnd w:id="23"/>
      <w:bookmarkEnd w:id="24"/>
    </w:p>
    <w:p>
      <w:pPr>
        <w:spacing w:line="500" w:lineRule="exact"/>
        <w:ind w:firstLine="480" w:firstLineChars="200"/>
        <w:rPr>
          <w:rFonts w:ascii="宋体" w:hAnsi="宋体" w:cs="宋体"/>
          <w:sz w:val="24"/>
        </w:rPr>
      </w:pPr>
      <w:r>
        <w:rPr>
          <w:rFonts w:hint="eastAsia" w:ascii="宋体" w:hAnsi="宋体" w:cs="宋体"/>
          <w:sz w:val="24"/>
        </w:rPr>
        <w:t>1.1.1 根据</w:t>
      </w:r>
      <w:r>
        <w:rPr>
          <w:rFonts w:hint="eastAsia" w:ascii="宋体" w:hAnsi="宋体" w:cs="宋体"/>
          <w:bCs/>
          <w:sz w:val="24"/>
        </w:rPr>
        <w:t>《中华人民共和国政府采购法》</w:t>
      </w:r>
      <w:r>
        <w:rPr>
          <w:rFonts w:hint="eastAsia" w:ascii="宋体" w:hAnsi="宋体" w:cs="宋体"/>
          <w:sz w:val="24"/>
        </w:rPr>
        <w:t xml:space="preserve">等有关法律、法规和规章的规定，本招标项目已具备招标条件，现对本招标项目进行公开招标。 </w:t>
      </w:r>
    </w:p>
    <w:p>
      <w:pPr>
        <w:spacing w:line="500" w:lineRule="exact"/>
        <w:ind w:firstLine="480" w:firstLineChars="200"/>
        <w:rPr>
          <w:rFonts w:ascii="宋体" w:hAnsi="宋体" w:cs="宋体"/>
          <w:sz w:val="24"/>
        </w:rPr>
      </w:pPr>
      <w:r>
        <w:rPr>
          <w:rFonts w:hint="eastAsia" w:ascii="宋体" w:hAnsi="宋体" w:cs="宋体"/>
          <w:sz w:val="24"/>
        </w:rPr>
        <w:t xml:space="preserve">1.1.2  本招标项目采购人：见供应商须知前附表。 </w:t>
      </w:r>
    </w:p>
    <w:p>
      <w:pPr>
        <w:spacing w:line="500" w:lineRule="exact"/>
        <w:ind w:firstLine="480" w:firstLineChars="200"/>
        <w:rPr>
          <w:rFonts w:ascii="宋体" w:hAnsi="宋体" w:cs="宋体"/>
          <w:sz w:val="24"/>
        </w:rPr>
      </w:pPr>
      <w:r>
        <w:rPr>
          <w:rFonts w:hint="eastAsia" w:ascii="宋体" w:hAnsi="宋体" w:cs="宋体"/>
          <w:sz w:val="24"/>
        </w:rPr>
        <w:t xml:space="preserve">1.1.3  本招标项目采购代理机构：见供应商须知前附表。 </w:t>
      </w:r>
    </w:p>
    <w:p>
      <w:pPr>
        <w:spacing w:line="500" w:lineRule="exact"/>
        <w:ind w:firstLine="480" w:firstLineChars="200"/>
        <w:rPr>
          <w:rFonts w:ascii="宋体" w:hAnsi="宋体" w:cs="宋体"/>
          <w:sz w:val="24"/>
        </w:rPr>
      </w:pPr>
      <w:r>
        <w:rPr>
          <w:rFonts w:hint="eastAsia" w:ascii="宋体" w:hAnsi="宋体" w:cs="宋体"/>
          <w:sz w:val="24"/>
        </w:rPr>
        <w:t xml:space="preserve">1.1.4  本招标项目名称：见供应商须知前附表。 </w:t>
      </w:r>
    </w:p>
    <w:p>
      <w:pPr>
        <w:spacing w:line="500" w:lineRule="exact"/>
        <w:ind w:firstLine="482" w:firstLineChars="200"/>
        <w:rPr>
          <w:rFonts w:ascii="宋体" w:hAnsi="宋体" w:cs="宋体"/>
          <w:b/>
          <w:bCs/>
          <w:sz w:val="24"/>
        </w:rPr>
      </w:pPr>
      <w:bookmarkStart w:id="25" w:name="_Toc274249576"/>
      <w:bookmarkStart w:id="26" w:name="_Toc426369481"/>
      <w:bookmarkStart w:id="27" w:name="_Toc279599772"/>
      <w:bookmarkStart w:id="28" w:name="_Toc403122493"/>
      <w:r>
        <w:rPr>
          <w:rFonts w:hint="eastAsia" w:ascii="宋体" w:hAnsi="宋体" w:cs="宋体"/>
          <w:b/>
          <w:bCs/>
          <w:sz w:val="24"/>
        </w:rPr>
        <w:t>1.2 资金来源和落实情况</w:t>
      </w:r>
      <w:bookmarkEnd w:id="25"/>
      <w:bookmarkEnd w:id="26"/>
      <w:bookmarkEnd w:id="27"/>
      <w:bookmarkEnd w:id="28"/>
    </w:p>
    <w:p>
      <w:pPr>
        <w:spacing w:line="500" w:lineRule="exact"/>
        <w:ind w:firstLine="480" w:firstLineChars="200"/>
        <w:rPr>
          <w:rFonts w:ascii="宋体" w:hAnsi="宋体" w:cs="宋体"/>
          <w:sz w:val="24"/>
        </w:rPr>
      </w:pPr>
      <w:r>
        <w:rPr>
          <w:rFonts w:hint="eastAsia" w:ascii="宋体" w:hAnsi="宋体" w:cs="宋体"/>
          <w:sz w:val="24"/>
        </w:rPr>
        <w:t xml:space="preserve">1.2.1  本招标项目的资金来源：见供应商须知前附表。 </w:t>
      </w:r>
    </w:p>
    <w:p>
      <w:pPr>
        <w:spacing w:line="500" w:lineRule="exact"/>
        <w:ind w:firstLine="480" w:firstLineChars="200"/>
        <w:rPr>
          <w:rFonts w:ascii="宋体" w:hAnsi="宋体" w:cs="宋体"/>
          <w:sz w:val="24"/>
        </w:rPr>
      </w:pPr>
      <w:r>
        <w:rPr>
          <w:rFonts w:hint="eastAsia" w:ascii="宋体" w:hAnsi="宋体" w:cs="宋体"/>
          <w:sz w:val="24"/>
        </w:rPr>
        <w:t xml:space="preserve">1.2.2  本招标项目的资金落实情况：见供应商须知前附表。 </w:t>
      </w:r>
    </w:p>
    <w:p>
      <w:pPr>
        <w:spacing w:line="500" w:lineRule="exact"/>
        <w:ind w:firstLine="482" w:firstLineChars="200"/>
        <w:rPr>
          <w:rFonts w:ascii="宋体" w:hAnsi="宋体" w:cs="宋体"/>
          <w:b/>
          <w:bCs/>
          <w:sz w:val="24"/>
        </w:rPr>
      </w:pPr>
      <w:bookmarkStart w:id="29" w:name="_Toc279599773"/>
      <w:bookmarkStart w:id="30" w:name="_Toc403122494"/>
      <w:bookmarkStart w:id="31" w:name="_Toc274249577"/>
      <w:bookmarkStart w:id="32" w:name="_Toc426369482"/>
      <w:r>
        <w:rPr>
          <w:rFonts w:hint="eastAsia" w:ascii="宋体" w:hAnsi="宋体" w:cs="宋体"/>
          <w:b/>
          <w:bCs/>
          <w:sz w:val="24"/>
        </w:rPr>
        <w:t>1.3 采购内容、合同履行期限和质量</w:t>
      </w:r>
      <w:bookmarkEnd w:id="29"/>
      <w:bookmarkEnd w:id="30"/>
      <w:bookmarkEnd w:id="31"/>
      <w:bookmarkEnd w:id="32"/>
      <w:r>
        <w:rPr>
          <w:rFonts w:hint="eastAsia" w:ascii="宋体" w:hAnsi="宋体" w:cs="宋体"/>
          <w:b/>
          <w:bCs/>
          <w:sz w:val="24"/>
        </w:rPr>
        <w:t>标准</w:t>
      </w:r>
    </w:p>
    <w:p>
      <w:pPr>
        <w:spacing w:line="500" w:lineRule="exact"/>
        <w:ind w:firstLine="480" w:firstLineChars="200"/>
        <w:rPr>
          <w:rFonts w:ascii="宋体" w:hAnsi="宋体" w:cs="宋体"/>
          <w:sz w:val="24"/>
        </w:rPr>
      </w:pPr>
      <w:r>
        <w:rPr>
          <w:rFonts w:hint="eastAsia" w:ascii="宋体" w:hAnsi="宋体" w:cs="宋体"/>
          <w:sz w:val="24"/>
        </w:rPr>
        <w:t xml:space="preserve">1.3.1  本次招标采购内容：见供应商须知前附表。 </w:t>
      </w:r>
    </w:p>
    <w:p>
      <w:pPr>
        <w:spacing w:line="500" w:lineRule="exact"/>
        <w:ind w:firstLine="480" w:firstLineChars="200"/>
        <w:rPr>
          <w:rFonts w:ascii="宋体" w:hAnsi="宋体" w:cs="宋体"/>
          <w:sz w:val="24"/>
        </w:rPr>
      </w:pPr>
      <w:r>
        <w:rPr>
          <w:rFonts w:hint="eastAsia" w:ascii="宋体" w:hAnsi="宋体" w:cs="宋体"/>
          <w:sz w:val="24"/>
        </w:rPr>
        <w:t xml:space="preserve">1.3.2  本次招标的合同履行期限（供货安装期）：见供应商须知前附表。 </w:t>
      </w:r>
    </w:p>
    <w:p>
      <w:pPr>
        <w:tabs>
          <w:tab w:val="right" w:pos="9040"/>
        </w:tabs>
        <w:spacing w:line="500" w:lineRule="exact"/>
        <w:ind w:firstLine="480" w:firstLineChars="200"/>
        <w:rPr>
          <w:rFonts w:ascii="宋体" w:hAnsi="宋体" w:cs="宋体"/>
          <w:sz w:val="24"/>
        </w:rPr>
      </w:pPr>
      <w:r>
        <w:rPr>
          <w:rFonts w:hint="eastAsia" w:ascii="宋体" w:hAnsi="宋体" w:cs="宋体"/>
          <w:sz w:val="24"/>
        </w:rPr>
        <w:t xml:space="preserve">1.3.3  本次招标的质量要求：见供应商须知前附表。 </w:t>
      </w:r>
    </w:p>
    <w:p>
      <w:pPr>
        <w:tabs>
          <w:tab w:val="right" w:pos="9040"/>
        </w:tabs>
        <w:spacing w:line="500" w:lineRule="exact"/>
        <w:ind w:firstLine="480" w:firstLineChars="200"/>
        <w:rPr>
          <w:rFonts w:ascii="宋体" w:hAnsi="宋体" w:cs="宋体"/>
          <w:sz w:val="24"/>
        </w:rPr>
      </w:pPr>
      <w:r>
        <w:rPr>
          <w:rFonts w:hint="eastAsia" w:ascii="宋体" w:hAnsi="宋体" w:cs="宋体"/>
          <w:sz w:val="24"/>
        </w:rPr>
        <w:t xml:space="preserve">1.3.4  本次招标的质保期要求：见供应商须知前附表。 </w:t>
      </w:r>
      <w:r>
        <w:rPr>
          <w:rFonts w:hint="eastAsia" w:ascii="宋体" w:hAnsi="宋体" w:cs="宋体"/>
          <w:sz w:val="24"/>
        </w:rPr>
        <w:tab/>
      </w:r>
    </w:p>
    <w:p>
      <w:pPr>
        <w:spacing w:line="500" w:lineRule="exact"/>
        <w:ind w:firstLine="482" w:firstLineChars="200"/>
        <w:rPr>
          <w:rFonts w:ascii="宋体" w:hAnsi="宋体" w:cs="宋体"/>
          <w:b/>
          <w:bCs/>
          <w:sz w:val="24"/>
        </w:rPr>
      </w:pPr>
      <w:bookmarkStart w:id="33" w:name="_Toc274249578"/>
      <w:bookmarkStart w:id="34" w:name="_Toc279599774"/>
      <w:bookmarkStart w:id="35" w:name="_Toc426369483"/>
      <w:bookmarkStart w:id="36" w:name="_Toc403122495"/>
      <w:r>
        <w:rPr>
          <w:rFonts w:hint="eastAsia" w:ascii="宋体" w:hAnsi="宋体" w:cs="宋体"/>
          <w:b/>
          <w:bCs/>
          <w:sz w:val="24"/>
        </w:rPr>
        <w:t>1.4 供应商资格要求</w:t>
      </w:r>
      <w:bookmarkEnd w:id="33"/>
      <w:bookmarkEnd w:id="34"/>
      <w:bookmarkEnd w:id="35"/>
      <w:bookmarkEnd w:id="36"/>
    </w:p>
    <w:p>
      <w:pPr>
        <w:spacing w:line="500" w:lineRule="exact"/>
        <w:ind w:firstLine="480" w:firstLineChars="200"/>
        <w:rPr>
          <w:rFonts w:ascii="宋体" w:hAnsi="宋体" w:cs="宋体"/>
          <w:sz w:val="24"/>
        </w:rPr>
      </w:pPr>
      <w:r>
        <w:rPr>
          <w:rFonts w:hint="eastAsia" w:ascii="宋体" w:hAnsi="宋体" w:cs="宋体"/>
          <w:sz w:val="24"/>
        </w:rPr>
        <w:t xml:space="preserve">1.4.1 供应商应具备承担本招标项目的资质条件。 </w:t>
      </w:r>
    </w:p>
    <w:p>
      <w:pPr>
        <w:spacing w:line="500" w:lineRule="exact"/>
        <w:ind w:firstLine="480" w:firstLineChars="200"/>
        <w:rPr>
          <w:rFonts w:ascii="宋体" w:hAnsi="宋体" w:cs="宋体"/>
          <w:sz w:val="24"/>
        </w:rPr>
      </w:pPr>
      <w:r>
        <w:rPr>
          <w:rFonts w:hint="eastAsia" w:ascii="宋体" w:hAnsi="宋体" w:cs="宋体"/>
          <w:sz w:val="24"/>
        </w:rPr>
        <w:t xml:space="preserve">（1）供应商资质条件：见供应商须知前附表； </w:t>
      </w:r>
    </w:p>
    <w:p>
      <w:pPr>
        <w:spacing w:line="500" w:lineRule="exact"/>
        <w:ind w:firstLine="480" w:firstLineChars="200"/>
        <w:rPr>
          <w:rFonts w:ascii="宋体" w:hAnsi="宋体" w:cs="宋体"/>
          <w:sz w:val="24"/>
        </w:rPr>
      </w:pPr>
      <w:bookmarkStart w:id="37" w:name="_Toc279599775"/>
      <w:bookmarkStart w:id="38" w:name="_Toc274249579"/>
      <w:bookmarkStart w:id="39" w:name="_Toc403122496"/>
      <w:r>
        <w:rPr>
          <w:rFonts w:hint="eastAsia" w:ascii="宋体" w:hAnsi="宋体" w:cs="宋体"/>
          <w:sz w:val="24"/>
        </w:rPr>
        <w:t>1.4.2 本次招标不接受联合体投标。</w:t>
      </w:r>
    </w:p>
    <w:p>
      <w:pPr>
        <w:spacing w:line="500" w:lineRule="exact"/>
        <w:ind w:firstLine="482" w:firstLineChars="200"/>
        <w:rPr>
          <w:rFonts w:ascii="宋体" w:hAnsi="宋体" w:cs="宋体"/>
          <w:b/>
          <w:bCs/>
          <w:sz w:val="24"/>
        </w:rPr>
      </w:pPr>
      <w:bookmarkStart w:id="40" w:name="_Toc426369484"/>
      <w:r>
        <w:rPr>
          <w:rFonts w:hint="eastAsia" w:ascii="宋体" w:hAnsi="宋体" w:cs="宋体"/>
          <w:b/>
          <w:bCs/>
          <w:sz w:val="24"/>
        </w:rPr>
        <w:t>1.5 费用承担</w:t>
      </w:r>
      <w:bookmarkEnd w:id="37"/>
      <w:bookmarkEnd w:id="38"/>
      <w:bookmarkEnd w:id="39"/>
      <w:bookmarkEnd w:id="40"/>
    </w:p>
    <w:p>
      <w:pPr>
        <w:spacing w:line="500" w:lineRule="exact"/>
        <w:ind w:firstLine="480" w:firstLineChars="200"/>
        <w:rPr>
          <w:rFonts w:ascii="宋体" w:hAnsi="宋体" w:cs="宋体"/>
          <w:sz w:val="24"/>
        </w:rPr>
      </w:pPr>
      <w:r>
        <w:rPr>
          <w:rFonts w:hint="eastAsia" w:ascii="宋体" w:hAnsi="宋体" w:cs="宋体"/>
          <w:sz w:val="24"/>
        </w:rPr>
        <w:t xml:space="preserve">供应商准备和参加投标活动发生的费用自理。 </w:t>
      </w:r>
    </w:p>
    <w:p>
      <w:pPr>
        <w:spacing w:line="500" w:lineRule="exact"/>
        <w:ind w:firstLine="482" w:firstLineChars="200"/>
        <w:rPr>
          <w:rFonts w:ascii="宋体" w:hAnsi="宋体" w:cs="宋体"/>
          <w:b/>
          <w:bCs/>
          <w:sz w:val="24"/>
        </w:rPr>
      </w:pPr>
      <w:bookmarkStart w:id="41" w:name="_Toc426369485"/>
      <w:bookmarkStart w:id="42" w:name="_Toc403122497"/>
      <w:r>
        <w:rPr>
          <w:rFonts w:hint="eastAsia" w:ascii="宋体" w:hAnsi="宋体" w:cs="宋体"/>
          <w:b/>
          <w:bCs/>
          <w:sz w:val="24"/>
        </w:rPr>
        <w:t>1.6 保密</w:t>
      </w:r>
      <w:bookmarkEnd w:id="41"/>
      <w:bookmarkEnd w:id="42"/>
    </w:p>
    <w:p>
      <w:pPr>
        <w:spacing w:line="500" w:lineRule="exact"/>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spacing w:line="500" w:lineRule="exact"/>
        <w:ind w:firstLine="482" w:firstLineChars="200"/>
        <w:rPr>
          <w:rFonts w:ascii="宋体" w:hAnsi="宋体" w:cs="宋体"/>
          <w:b/>
          <w:bCs/>
          <w:sz w:val="24"/>
        </w:rPr>
      </w:pPr>
      <w:bookmarkStart w:id="43" w:name="_Toc426369486"/>
      <w:bookmarkStart w:id="44" w:name="_Toc403122498"/>
      <w:bookmarkStart w:id="45" w:name="_Toc279599777"/>
      <w:bookmarkStart w:id="46" w:name="_Toc274249581"/>
      <w:r>
        <w:rPr>
          <w:rFonts w:hint="eastAsia" w:ascii="宋体" w:hAnsi="宋体" w:cs="宋体"/>
          <w:b/>
          <w:bCs/>
          <w:sz w:val="24"/>
        </w:rPr>
        <w:t>1.7 语言文字</w:t>
      </w:r>
      <w:bookmarkEnd w:id="43"/>
      <w:bookmarkEnd w:id="44"/>
      <w:bookmarkEnd w:id="45"/>
      <w:bookmarkEnd w:id="46"/>
      <w:r>
        <w:rPr>
          <w:rFonts w:hint="eastAsia" w:ascii="宋体" w:hAnsi="宋体" w:cs="宋体"/>
          <w:b/>
          <w:bCs/>
          <w:sz w:val="24"/>
        </w:rPr>
        <w:t xml:space="preserve"> </w:t>
      </w:r>
    </w:p>
    <w:p>
      <w:pPr>
        <w:spacing w:line="500" w:lineRule="exact"/>
        <w:ind w:firstLine="480" w:firstLineChars="200"/>
        <w:rPr>
          <w:rFonts w:ascii="宋体" w:hAnsi="宋体" w:cs="宋体"/>
          <w:sz w:val="24"/>
        </w:rPr>
      </w:pPr>
      <w:r>
        <w:rPr>
          <w:rFonts w:hint="eastAsia" w:ascii="宋体" w:hAnsi="宋体" w:cs="宋体"/>
          <w:sz w:val="24"/>
        </w:rPr>
        <w:t>1.7.1 采购文件以及投标人与采购人、采购代理机构就有关投标事宜的所有来往函电均应使用简体中文书写。</w:t>
      </w:r>
    </w:p>
    <w:p>
      <w:pPr>
        <w:spacing w:line="500" w:lineRule="exact"/>
        <w:ind w:firstLine="480" w:firstLineChars="200"/>
        <w:rPr>
          <w:rFonts w:ascii="宋体" w:hAnsi="宋体" w:cs="宋体"/>
          <w:b/>
          <w:bCs/>
          <w:sz w:val="24"/>
        </w:rPr>
      </w:pPr>
      <w:r>
        <w:rPr>
          <w:rFonts w:hint="eastAsia" w:ascii="宋体" w:hAnsi="宋体" w:cs="宋体"/>
          <w:sz w:val="24"/>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7" w:name="_Toc403122499"/>
      <w:bookmarkStart w:id="48" w:name="_Toc426369487"/>
    </w:p>
    <w:p>
      <w:pPr>
        <w:spacing w:line="500" w:lineRule="exact"/>
        <w:ind w:firstLine="482" w:firstLineChars="200"/>
        <w:rPr>
          <w:rFonts w:ascii="宋体" w:hAnsi="宋体" w:cs="宋体"/>
          <w:b/>
          <w:bCs/>
          <w:sz w:val="24"/>
        </w:rPr>
      </w:pPr>
      <w:r>
        <w:rPr>
          <w:rFonts w:hint="eastAsia" w:ascii="宋体" w:hAnsi="宋体" w:cs="宋体"/>
          <w:b/>
          <w:bCs/>
          <w:sz w:val="24"/>
        </w:rPr>
        <w:t>1.8 计量单位</w:t>
      </w:r>
      <w:bookmarkEnd w:id="47"/>
      <w:bookmarkEnd w:id="48"/>
    </w:p>
    <w:p>
      <w:pPr>
        <w:spacing w:line="500" w:lineRule="exact"/>
        <w:ind w:firstLine="480" w:firstLineChars="200"/>
        <w:rPr>
          <w:rFonts w:ascii="宋体" w:hAnsi="宋体" w:cs="宋体"/>
          <w:sz w:val="24"/>
        </w:rPr>
      </w:pPr>
      <w:r>
        <w:rPr>
          <w:rFonts w:hint="eastAsia" w:ascii="宋体" w:hAnsi="宋体" w:cs="宋体"/>
          <w:sz w:val="24"/>
        </w:rPr>
        <w:t xml:space="preserve">1.8.1关于投标计量单位，采购文件已有明确规定的，使用采购文件规定的计量单位；采购文件没有规定的，应采用中华人民共和国法定计量单位。 </w:t>
      </w:r>
    </w:p>
    <w:p>
      <w:pPr>
        <w:spacing w:line="500" w:lineRule="exact"/>
        <w:ind w:firstLine="480" w:firstLineChars="200"/>
        <w:rPr>
          <w:rFonts w:ascii="宋体" w:hAnsi="宋体" w:cs="宋体"/>
          <w:sz w:val="24"/>
        </w:rPr>
      </w:pPr>
      <w:r>
        <w:rPr>
          <w:rFonts w:hint="eastAsia" w:ascii="宋体" w:hAnsi="宋体" w:cs="宋体"/>
          <w:sz w:val="24"/>
        </w:rPr>
        <w:t>1.8.2本响应性文件所表述的时间均为北京时间。</w:t>
      </w:r>
    </w:p>
    <w:p>
      <w:pPr>
        <w:spacing w:line="500" w:lineRule="exact"/>
        <w:ind w:firstLine="482" w:firstLineChars="200"/>
        <w:rPr>
          <w:rFonts w:ascii="宋体" w:hAnsi="宋体" w:cs="宋体"/>
          <w:b/>
          <w:bCs/>
          <w:sz w:val="24"/>
        </w:rPr>
      </w:pPr>
      <w:bookmarkStart w:id="49" w:name="_Toc274249583"/>
      <w:bookmarkStart w:id="50" w:name="_Toc279599779"/>
      <w:bookmarkStart w:id="51" w:name="_Toc403122500"/>
      <w:bookmarkStart w:id="52" w:name="_Toc426369488"/>
      <w:r>
        <w:rPr>
          <w:rFonts w:hint="eastAsia" w:ascii="宋体" w:hAnsi="宋体" w:cs="宋体"/>
          <w:b/>
          <w:bCs/>
          <w:sz w:val="24"/>
        </w:rPr>
        <w:t>1.9 踏勘现场</w:t>
      </w:r>
      <w:bookmarkEnd w:id="49"/>
      <w:bookmarkEnd w:id="50"/>
      <w:bookmarkEnd w:id="51"/>
      <w:bookmarkEnd w:id="52"/>
    </w:p>
    <w:p>
      <w:pPr>
        <w:spacing w:line="500" w:lineRule="exact"/>
        <w:ind w:firstLine="480" w:firstLineChars="200"/>
        <w:rPr>
          <w:rFonts w:ascii="宋体" w:hAnsi="宋体" w:cs="宋体"/>
          <w:sz w:val="24"/>
        </w:rPr>
      </w:pPr>
      <w:r>
        <w:rPr>
          <w:rFonts w:hint="eastAsia" w:ascii="宋体" w:hAnsi="宋体" w:cs="宋体"/>
          <w:sz w:val="24"/>
        </w:rPr>
        <w:t xml:space="preserve">1.9.1  由于项目特殊性，本次招标需供应商自行勘查。 </w:t>
      </w:r>
    </w:p>
    <w:p>
      <w:pPr>
        <w:spacing w:line="500" w:lineRule="exact"/>
        <w:ind w:firstLine="482" w:firstLineChars="200"/>
        <w:rPr>
          <w:rFonts w:ascii="宋体" w:hAnsi="宋体" w:cs="宋体"/>
          <w:b/>
          <w:bCs/>
          <w:sz w:val="24"/>
        </w:rPr>
      </w:pPr>
      <w:bookmarkStart w:id="53" w:name="_Toc279599780"/>
      <w:bookmarkStart w:id="54" w:name="_Toc274249584"/>
      <w:bookmarkStart w:id="55" w:name="_Toc426369489"/>
      <w:bookmarkStart w:id="56" w:name="_Toc403122501"/>
      <w:r>
        <w:rPr>
          <w:rFonts w:hint="eastAsia" w:ascii="宋体" w:hAnsi="宋体" w:cs="宋体"/>
          <w:b/>
          <w:bCs/>
          <w:sz w:val="24"/>
        </w:rPr>
        <w:t>1.10 投标预备会</w:t>
      </w:r>
      <w:bookmarkEnd w:id="53"/>
      <w:bookmarkEnd w:id="54"/>
      <w:bookmarkEnd w:id="55"/>
      <w:bookmarkEnd w:id="56"/>
    </w:p>
    <w:p>
      <w:pPr>
        <w:spacing w:line="500" w:lineRule="exact"/>
        <w:ind w:firstLine="480" w:firstLineChars="200"/>
        <w:rPr>
          <w:rFonts w:ascii="宋体" w:hAnsi="宋体" w:cs="宋体"/>
          <w:sz w:val="24"/>
        </w:rPr>
      </w:pPr>
      <w:r>
        <w:rPr>
          <w:rFonts w:hint="eastAsia" w:ascii="宋体" w:hAnsi="宋体" w:cs="宋体"/>
          <w:sz w:val="24"/>
        </w:rPr>
        <w:t xml:space="preserve">1.10.1 本次招标不召开投标预备会。 </w:t>
      </w:r>
    </w:p>
    <w:p>
      <w:pPr>
        <w:spacing w:line="500" w:lineRule="exact"/>
        <w:ind w:firstLine="480" w:firstLineChars="200"/>
        <w:rPr>
          <w:rFonts w:ascii="宋体" w:hAnsi="宋体" w:cs="宋体"/>
          <w:sz w:val="24"/>
        </w:rPr>
      </w:pPr>
      <w:r>
        <w:rPr>
          <w:rFonts w:hint="eastAsia" w:ascii="宋体" w:hAnsi="宋体" w:cs="宋体"/>
          <w:sz w:val="24"/>
        </w:rPr>
        <w:t xml:space="preserve">1.10.2 供应商应在供应商须知前附表规定的时间前，以书面形式将提出的问题送达招标代理人。 </w:t>
      </w:r>
    </w:p>
    <w:p>
      <w:pPr>
        <w:spacing w:line="500" w:lineRule="exact"/>
        <w:ind w:firstLine="480" w:firstLineChars="200"/>
        <w:rPr>
          <w:rFonts w:ascii="宋体" w:hAnsi="宋体" w:cs="宋体"/>
          <w:sz w:val="24"/>
        </w:rPr>
      </w:pPr>
      <w:r>
        <w:rPr>
          <w:rFonts w:hint="eastAsia" w:ascii="宋体" w:hAnsi="宋体" w:cs="宋体"/>
          <w:sz w:val="24"/>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宋体" w:hAnsi="宋体" w:cs="宋体"/>
          <w:b/>
          <w:bCs/>
          <w:sz w:val="24"/>
        </w:rPr>
      </w:pPr>
      <w:bookmarkStart w:id="57" w:name="_Toc279599781"/>
      <w:bookmarkStart w:id="58" w:name="_Toc403122502"/>
      <w:bookmarkStart w:id="59" w:name="_Toc274249585"/>
      <w:bookmarkStart w:id="60" w:name="_Toc426369490"/>
      <w:r>
        <w:rPr>
          <w:rFonts w:hint="eastAsia" w:ascii="宋体" w:hAnsi="宋体" w:cs="宋体"/>
          <w:b/>
          <w:bCs/>
          <w:sz w:val="24"/>
        </w:rPr>
        <w:t>1.11 分包</w:t>
      </w:r>
      <w:bookmarkEnd w:id="57"/>
      <w:bookmarkEnd w:id="58"/>
      <w:bookmarkEnd w:id="59"/>
      <w:bookmarkEnd w:id="60"/>
    </w:p>
    <w:p>
      <w:pPr>
        <w:spacing w:line="500" w:lineRule="exact"/>
        <w:ind w:firstLine="480" w:firstLineChars="200"/>
        <w:rPr>
          <w:rFonts w:ascii="宋体" w:hAnsi="宋体" w:cs="宋体"/>
          <w:sz w:val="24"/>
        </w:rPr>
      </w:pPr>
      <w:r>
        <w:rPr>
          <w:rFonts w:hint="eastAsia" w:ascii="宋体" w:hAnsi="宋体" w:cs="宋体"/>
          <w:sz w:val="24"/>
        </w:rPr>
        <w:t xml:space="preserve">本次招标项目不允许分包。 </w:t>
      </w:r>
    </w:p>
    <w:p>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61" w:name="_Toc28663"/>
      <w:bookmarkStart w:id="62" w:name="_Toc9121"/>
      <w:bookmarkStart w:id="63" w:name="_Toc27006"/>
      <w:r>
        <w:rPr>
          <w:rFonts w:hint="eastAsia" w:ascii="宋体" w:hAnsi="宋体" w:eastAsia="宋体" w:cs="宋体"/>
          <w:sz w:val="24"/>
          <w:szCs w:val="24"/>
        </w:rPr>
        <w:t>2. 招标文件</w:t>
      </w:r>
      <w:bookmarkEnd w:id="18"/>
      <w:bookmarkEnd w:id="19"/>
      <w:bookmarkEnd w:id="20"/>
      <w:bookmarkEnd w:id="61"/>
      <w:bookmarkEnd w:id="62"/>
      <w:bookmarkEnd w:id="63"/>
    </w:p>
    <w:p>
      <w:pPr>
        <w:spacing w:line="500" w:lineRule="exact"/>
        <w:ind w:firstLine="482" w:firstLineChars="200"/>
        <w:rPr>
          <w:rFonts w:ascii="宋体" w:hAnsi="宋体" w:cs="宋体"/>
          <w:b/>
          <w:bCs/>
          <w:sz w:val="24"/>
        </w:rPr>
      </w:pPr>
      <w:bookmarkStart w:id="64" w:name="_Toc426369492"/>
      <w:bookmarkStart w:id="65" w:name="_Toc403122504"/>
      <w:bookmarkStart w:id="66" w:name="_Toc279599783"/>
      <w:bookmarkStart w:id="67" w:name="_Toc274249587"/>
      <w:r>
        <w:rPr>
          <w:rFonts w:hint="eastAsia" w:ascii="宋体" w:hAnsi="宋体" w:cs="宋体"/>
          <w:b/>
          <w:bCs/>
          <w:sz w:val="24"/>
        </w:rPr>
        <w:t>2.1 招标文件的组成</w:t>
      </w:r>
      <w:bookmarkEnd w:id="64"/>
      <w:bookmarkEnd w:id="65"/>
      <w:bookmarkEnd w:id="66"/>
      <w:bookmarkEnd w:id="67"/>
    </w:p>
    <w:p>
      <w:pPr>
        <w:spacing w:line="500" w:lineRule="exact"/>
        <w:ind w:firstLine="480" w:firstLineChars="200"/>
        <w:rPr>
          <w:rFonts w:ascii="宋体" w:hAnsi="宋体" w:cs="宋体"/>
          <w:sz w:val="24"/>
        </w:rPr>
      </w:pPr>
      <w:r>
        <w:rPr>
          <w:rFonts w:hint="eastAsia" w:ascii="宋体" w:hAnsi="宋体" w:cs="宋体"/>
          <w:sz w:val="24"/>
        </w:rPr>
        <w:t xml:space="preserve">本招标文件包括： </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招标公告；</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供应商须知； </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评标办法（综合评分法）； </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合同条款及格式； </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采购需求及参数；</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投标文件格式； </w:t>
      </w:r>
    </w:p>
    <w:p>
      <w:pPr>
        <w:spacing w:line="500" w:lineRule="exact"/>
        <w:ind w:firstLine="480" w:firstLineChars="200"/>
        <w:rPr>
          <w:rFonts w:ascii="宋体" w:hAnsi="宋体" w:cs="宋体"/>
          <w:sz w:val="24"/>
        </w:rPr>
      </w:pPr>
      <w:r>
        <w:rPr>
          <w:rFonts w:hint="eastAsia" w:ascii="宋体" w:hAnsi="宋体" w:cs="宋体"/>
          <w:sz w:val="24"/>
        </w:rPr>
        <w:t xml:space="preserve">根据本章第 1.10 款、第 2.2 款和第2.3款对招标文件所作的澄清、修改，构成招标文件的组成部分。 </w:t>
      </w:r>
    </w:p>
    <w:p>
      <w:pPr>
        <w:spacing w:line="500" w:lineRule="exact"/>
        <w:ind w:firstLine="482" w:firstLineChars="200"/>
        <w:rPr>
          <w:rFonts w:ascii="宋体" w:hAnsi="宋体" w:cs="宋体"/>
          <w:b/>
          <w:bCs/>
          <w:sz w:val="24"/>
        </w:rPr>
      </w:pPr>
      <w:bookmarkStart w:id="68" w:name="_Toc279599784"/>
      <w:bookmarkStart w:id="69" w:name="_Toc426369493"/>
      <w:bookmarkStart w:id="70" w:name="_Toc274249588"/>
      <w:bookmarkStart w:id="71" w:name="_Toc403122505"/>
      <w:r>
        <w:rPr>
          <w:rFonts w:hint="eastAsia" w:ascii="宋体" w:hAnsi="宋体" w:cs="宋体"/>
          <w:b/>
          <w:bCs/>
          <w:sz w:val="24"/>
        </w:rPr>
        <w:t>2.2 招标文件的澄清</w:t>
      </w:r>
      <w:bookmarkEnd w:id="68"/>
      <w:bookmarkEnd w:id="69"/>
      <w:bookmarkEnd w:id="70"/>
      <w:bookmarkEnd w:id="71"/>
    </w:p>
    <w:p>
      <w:pPr>
        <w:spacing w:line="500" w:lineRule="exact"/>
        <w:ind w:firstLine="480" w:firstLineChars="200"/>
        <w:rPr>
          <w:rFonts w:ascii="宋体" w:hAnsi="宋体" w:cs="宋体"/>
          <w:sz w:val="24"/>
        </w:rPr>
      </w:pPr>
      <w:r>
        <w:rPr>
          <w:rFonts w:hint="eastAsia" w:ascii="宋体" w:hAnsi="宋体" w:cs="宋体"/>
          <w:sz w:val="24"/>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500" w:lineRule="exact"/>
        <w:ind w:firstLine="480" w:firstLineChars="200"/>
        <w:rPr>
          <w:rFonts w:ascii="宋体" w:hAnsi="宋体" w:cs="宋体"/>
          <w:sz w:val="24"/>
        </w:rPr>
      </w:pPr>
      <w:r>
        <w:rPr>
          <w:rFonts w:hint="eastAsia" w:ascii="宋体" w:hAnsi="宋体" w:cs="宋体"/>
          <w:sz w:val="24"/>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500" w:lineRule="exact"/>
        <w:ind w:firstLine="480" w:firstLineChars="200"/>
        <w:rPr>
          <w:rFonts w:ascii="宋体" w:hAnsi="宋体" w:cs="宋体"/>
          <w:sz w:val="24"/>
        </w:rPr>
      </w:pPr>
      <w:r>
        <w:rPr>
          <w:rFonts w:hint="eastAsia" w:ascii="宋体" w:hAnsi="宋体" w:cs="宋体"/>
          <w:sz w:val="24"/>
        </w:rPr>
        <w:t xml:space="preserve">2.2.3 供应商在收到澄清后，应在供应商须知前附表规定的时间内以书面形式通知采购人，确认已收到该澄清。 </w:t>
      </w:r>
    </w:p>
    <w:p>
      <w:pPr>
        <w:spacing w:line="500" w:lineRule="exact"/>
        <w:ind w:firstLine="482" w:firstLineChars="200"/>
        <w:rPr>
          <w:rFonts w:ascii="宋体" w:hAnsi="宋体" w:cs="宋体"/>
          <w:b/>
          <w:bCs/>
          <w:sz w:val="24"/>
        </w:rPr>
      </w:pPr>
      <w:bookmarkStart w:id="72" w:name="_Toc274249589"/>
      <w:bookmarkStart w:id="73" w:name="_Toc426369494"/>
      <w:bookmarkStart w:id="74" w:name="_Toc403122506"/>
      <w:bookmarkStart w:id="75" w:name="_Toc279599785"/>
      <w:r>
        <w:rPr>
          <w:rFonts w:hint="eastAsia" w:ascii="宋体" w:hAnsi="宋体" w:cs="宋体"/>
          <w:b/>
          <w:bCs/>
          <w:sz w:val="24"/>
        </w:rPr>
        <w:t>2.3 招标文件的修改</w:t>
      </w:r>
      <w:bookmarkEnd w:id="72"/>
      <w:bookmarkEnd w:id="73"/>
      <w:bookmarkEnd w:id="74"/>
      <w:bookmarkEnd w:id="75"/>
    </w:p>
    <w:p>
      <w:pPr>
        <w:spacing w:line="500" w:lineRule="exact"/>
        <w:ind w:firstLine="480" w:firstLineChars="200"/>
        <w:rPr>
          <w:rFonts w:ascii="宋体" w:hAnsi="宋体" w:cs="宋体"/>
          <w:sz w:val="24"/>
        </w:rPr>
      </w:pPr>
      <w:r>
        <w:rPr>
          <w:rFonts w:hint="eastAsia" w:ascii="宋体" w:hAnsi="宋体" w:cs="宋体"/>
          <w:sz w:val="24"/>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500" w:lineRule="exact"/>
        <w:ind w:firstLine="480" w:firstLineChars="200"/>
        <w:rPr>
          <w:rFonts w:ascii="宋体" w:hAnsi="宋体" w:cs="宋体"/>
          <w:sz w:val="24"/>
        </w:rPr>
      </w:pPr>
      <w:r>
        <w:rPr>
          <w:rFonts w:hint="eastAsia" w:ascii="宋体" w:hAnsi="宋体" w:cs="宋体"/>
          <w:sz w:val="24"/>
        </w:rPr>
        <w:t xml:space="preserve">2.3.2  供应商收到修改内容后，应在供应商须知前附表规定的时间内以书面形式通知采购人，确认已收到该修改。 </w:t>
      </w:r>
      <w:bookmarkStart w:id="76" w:name="_Toc23265"/>
      <w:bookmarkStart w:id="77" w:name="_Toc403122507"/>
      <w:bookmarkStart w:id="78" w:name="_Toc426369495"/>
    </w:p>
    <w:p>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79" w:name="_Toc22914"/>
      <w:bookmarkStart w:id="80" w:name="_Toc226"/>
      <w:bookmarkStart w:id="81" w:name="_Toc13865"/>
      <w:r>
        <w:rPr>
          <w:rFonts w:hint="eastAsia" w:ascii="宋体" w:hAnsi="宋体" w:eastAsia="宋体" w:cs="宋体"/>
          <w:sz w:val="24"/>
          <w:szCs w:val="24"/>
        </w:rPr>
        <w:t>3. 投标文件</w:t>
      </w:r>
      <w:bookmarkEnd w:id="76"/>
      <w:bookmarkEnd w:id="77"/>
      <w:bookmarkEnd w:id="78"/>
      <w:bookmarkEnd w:id="79"/>
      <w:bookmarkEnd w:id="80"/>
      <w:bookmarkEnd w:id="81"/>
    </w:p>
    <w:p>
      <w:pPr>
        <w:spacing w:line="500" w:lineRule="exact"/>
        <w:ind w:firstLine="482" w:firstLineChars="200"/>
        <w:rPr>
          <w:rFonts w:ascii="宋体" w:hAnsi="宋体" w:cs="宋体"/>
          <w:b/>
          <w:bCs/>
          <w:sz w:val="24"/>
        </w:rPr>
      </w:pPr>
      <w:bookmarkStart w:id="82" w:name="_Toc279599787"/>
      <w:bookmarkStart w:id="83" w:name="_Toc274249591"/>
      <w:bookmarkStart w:id="84" w:name="_Toc403122508"/>
      <w:bookmarkStart w:id="85" w:name="_Toc426369496"/>
      <w:r>
        <w:rPr>
          <w:rFonts w:hint="eastAsia" w:ascii="宋体" w:hAnsi="宋体" w:cs="宋体"/>
          <w:b/>
          <w:bCs/>
          <w:sz w:val="24"/>
        </w:rPr>
        <w:t>3.1 投标文件的组成</w:t>
      </w:r>
      <w:bookmarkEnd w:id="82"/>
      <w:bookmarkEnd w:id="83"/>
      <w:bookmarkEnd w:id="84"/>
      <w:bookmarkEnd w:id="85"/>
    </w:p>
    <w:p>
      <w:pPr>
        <w:spacing w:line="500" w:lineRule="exact"/>
        <w:ind w:firstLine="480" w:firstLineChars="200"/>
        <w:rPr>
          <w:rFonts w:ascii="宋体" w:hAnsi="宋体" w:cs="宋体"/>
          <w:sz w:val="24"/>
        </w:rPr>
      </w:pPr>
      <w:r>
        <w:rPr>
          <w:rFonts w:hint="eastAsia" w:ascii="宋体" w:hAnsi="宋体" w:cs="宋体"/>
          <w:sz w:val="24"/>
        </w:rPr>
        <w:t xml:space="preserve">3.1.1 投标文件应包括下列内容： </w:t>
      </w:r>
    </w:p>
    <w:p>
      <w:pPr>
        <w:spacing w:line="500" w:lineRule="exact"/>
        <w:ind w:firstLine="480" w:firstLineChars="200"/>
        <w:rPr>
          <w:rFonts w:ascii="宋体" w:hAnsi="宋体" w:cs="宋体"/>
          <w:sz w:val="24"/>
        </w:rPr>
      </w:pPr>
      <w:bookmarkStart w:id="86" w:name="_Toc426369497"/>
      <w:bookmarkStart w:id="87" w:name="_Toc403122509"/>
      <w:bookmarkStart w:id="88" w:name="_Toc279599788"/>
      <w:bookmarkStart w:id="89" w:name="_Toc274249592"/>
      <w:r>
        <w:rPr>
          <w:rFonts w:hint="eastAsia" w:ascii="宋体" w:hAnsi="宋体" w:cs="宋体"/>
          <w:sz w:val="24"/>
        </w:rPr>
        <w:t>一、投标函及开标一览表</w:t>
      </w:r>
    </w:p>
    <w:p>
      <w:pPr>
        <w:spacing w:line="500" w:lineRule="exact"/>
        <w:ind w:firstLine="480" w:firstLineChars="200"/>
        <w:rPr>
          <w:rFonts w:ascii="宋体" w:hAnsi="宋体" w:cs="宋体"/>
          <w:sz w:val="24"/>
        </w:rPr>
      </w:pPr>
      <w:r>
        <w:rPr>
          <w:rFonts w:hint="eastAsia" w:ascii="宋体" w:hAnsi="宋体" w:cs="宋体"/>
          <w:sz w:val="24"/>
        </w:rPr>
        <w:t>（一）投标函</w:t>
      </w:r>
    </w:p>
    <w:p>
      <w:pPr>
        <w:spacing w:line="500" w:lineRule="exact"/>
        <w:ind w:firstLine="480" w:firstLineChars="200"/>
        <w:rPr>
          <w:rFonts w:ascii="宋体" w:hAnsi="宋体" w:cs="宋体"/>
          <w:sz w:val="24"/>
        </w:rPr>
      </w:pPr>
      <w:r>
        <w:rPr>
          <w:rFonts w:hint="eastAsia" w:ascii="宋体" w:hAnsi="宋体" w:cs="宋体"/>
          <w:sz w:val="24"/>
        </w:rPr>
        <w:t>（二）开标一览表</w:t>
      </w:r>
    </w:p>
    <w:p>
      <w:pPr>
        <w:spacing w:line="500" w:lineRule="exact"/>
        <w:ind w:firstLine="480" w:firstLineChars="200"/>
        <w:rPr>
          <w:rFonts w:ascii="宋体" w:hAnsi="宋体" w:cs="宋体"/>
          <w:sz w:val="24"/>
        </w:rPr>
      </w:pPr>
      <w:r>
        <w:rPr>
          <w:rFonts w:hint="eastAsia" w:ascii="宋体" w:hAnsi="宋体" w:cs="宋体"/>
          <w:sz w:val="24"/>
        </w:rPr>
        <w:t>（三）报价明细表</w:t>
      </w:r>
    </w:p>
    <w:p>
      <w:pPr>
        <w:spacing w:line="500" w:lineRule="exact"/>
        <w:ind w:firstLine="480" w:firstLineChars="200"/>
        <w:rPr>
          <w:rFonts w:ascii="宋体" w:hAnsi="宋体" w:cs="宋体"/>
          <w:sz w:val="24"/>
        </w:rPr>
      </w:pPr>
      <w:r>
        <w:rPr>
          <w:rFonts w:hint="eastAsia" w:ascii="宋体" w:hAnsi="宋体" w:cs="宋体"/>
          <w:sz w:val="24"/>
        </w:rPr>
        <w:t>二、法定代表人身份证明书</w:t>
      </w:r>
    </w:p>
    <w:p>
      <w:pPr>
        <w:spacing w:line="500" w:lineRule="exact"/>
        <w:ind w:firstLine="480" w:firstLineChars="200"/>
        <w:rPr>
          <w:rFonts w:ascii="宋体" w:hAnsi="宋体" w:cs="宋体"/>
          <w:sz w:val="24"/>
        </w:rPr>
      </w:pPr>
      <w:r>
        <w:rPr>
          <w:rFonts w:hint="eastAsia" w:ascii="宋体" w:hAnsi="宋体" w:cs="宋体"/>
          <w:sz w:val="24"/>
        </w:rPr>
        <w:t>三、授权委托书</w:t>
      </w:r>
    </w:p>
    <w:p>
      <w:pPr>
        <w:spacing w:line="500" w:lineRule="exact"/>
        <w:ind w:firstLine="480" w:firstLineChars="200"/>
        <w:rPr>
          <w:rFonts w:ascii="宋体" w:hAnsi="宋体" w:cs="宋体"/>
          <w:sz w:val="24"/>
        </w:rPr>
      </w:pPr>
      <w:r>
        <w:rPr>
          <w:rFonts w:hint="eastAsia" w:ascii="宋体" w:hAnsi="宋体" w:cs="宋体"/>
          <w:sz w:val="24"/>
        </w:rPr>
        <w:t>四、项目实施方案等</w:t>
      </w:r>
    </w:p>
    <w:p>
      <w:pPr>
        <w:spacing w:line="500" w:lineRule="exact"/>
        <w:ind w:firstLine="480" w:firstLineChars="200"/>
        <w:rPr>
          <w:rFonts w:ascii="宋体" w:hAnsi="宋体" w:cs="宋体"/>
          <w:sz w:val="24"/>
        </w:rPr>
      </w:pPr>
      <w:r>
        <w:rPr>
          <w:rFonts w:hint="eastAsia" w:ascii="宋体" w:hAnsi="宋体" w:cs="宋体"/>
          <w:sz w:val="24"/>
        </w:rPr>
        <w:t>五、资格证明文件；</w:t>
      </w:r>
    </w:p>
    <w:p>
      <w:pPr>
        <w:spacing w:line="500" w:lineRule="exact"/>
        <w:ind w:firstLine="480" w:firstLineChars="200"/>
        <w:rPr>
          <w:rFonts w:ascii="宋体" w:hAnsi="宋体" w:cs="宋体"/>
          <w:sz w:val="24"/>
        </w:rPr>
      </w:pPr>
      <w:r>
        <w:rPr>
          <w:rFonts w:hint="eastAsia" w:ascii="宋体" w:hAnsi="宋体" w:cs="宋体"/>
          <w:sz w:val="24"/>
        </w:rPr>
        <w:t>六、供应商服务承诺和优惠承诺</w:t>
      </w:r>
    </w:p>
    <w:p>
      <w:pPr>
        <w:spacing w:line="500" w:lineRule="exact"/>
        <w:ind w:firstLine="480" w:firstLineChars="200"/>
        <w:rPr>
          <w:rFonts w:ascii="宋体" w:hAnsi="宋体" w:cs="宋体"/>
          <w:sz w:val="24"/>
        </w:rPr>
      </w:pPr>
      <w:r>
        <w:rPr>
          <w:rFonts w:hint="eastAsia" w:ascii="宋体" w:hAnsi="宋体" w:cs="宋体"/>
          <w:sz w:val="24"/>
        </w:rPr>
        <w:t>七、供应商所投产品属于当期政府采购清单规定的节能环保产品的证明材料；</w:t>
      </w:r>
    </w:p>
    <w:p>
      <w:pPr>
        <w:spacing w:line="500" w:lineRule="exact"/>
        <w:ind w:firstLine="480" w:firstLineChars="200"/>
        <w:rPr>
          <w:rFonts w:ascii="宋体" w:hAnsi="宋体" w:cs="宋体"/>
          <w:sz w:val="24"/>
        </w:rPr>
      </w:pPr>
      <w:r>
        <w:rPr>
          <w:rFonts w:hint="eastAsia" w:ascii="宋体" w:hAnsi="宋体" w:cs="宋体"/>
          <w:sz w:val="24"/>
        </w:rPr>
        <w:t>八、中小企业声明函；</w:t>
      </w:r>
    </w:p>
    <w:p>
      <w:pPr>
        <w:spacing w:line="500" w:lineRule="exact"/>
        <w:ind w:firstLine="480" w:firstLineChars="200"/>
        <w:rPr>
          <w:rFonts w:ascii="宋体" w:hAnsi="宋体" w:cs="宋体"/>
          <w:sz w:val="24"/>
        </w:rPr>
      </w:pPr>
      <w:r>
        <w:rPr>
          <w:rFonts w:hint="eastAsia" w:ascii="宋体" w:hAnsi="宋体" w:cs="宋体"/>
          <w:sz w:val="24"/>
        </w:rPr>
        <w:t>九、残疾人福利性单位声明函（如有）；</w:t>
      </w:r>
    </w:p>
    <w:p>
      <w:pPr>
        <w:spacing w:line="500" w:lineRule="exact"/>
        <w:ind w:firstLine="480" w:firstLineChars="200"/>
        <w:rPr>
          <w:rFonts w:ascii="宋体" w:hAnsi="宋体" w:cs="宋体"/>
          <w:sz w:val="24"/>
          <w:highlight w:val="yellow"/>
        </w:rPr>
      </w:pPr>
      <w:r>
        <w:rPr>
          <w:rFonts w:hint="eastAsia" w:ascii="宋体" w:hAnsi="宋体" w:cs="宋体"/>
          <w:sz w:val="24"/>
        </w:rPr>
        <w:t>十、招标文件要求的或投标人认为需要加以说明的其他内容。</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宋体" w:hAnsi="宋体" w:cs="宋体"/>
          <w:b/>
          <w:bCs/>
          <w:sz w:val="24"/>
        </w:rPr>
      </w:pPr>
      <w:r>
        <w:rPr>
          <w:rFonts w:hint="eastAsia" w:ascii="宋体" w:hAnsi="宋体" w:cs="宋体"/>
          <w:b/>
          <w:bCs/>
          <w:sz w:val="24"/>
        </w:rPr>
        <w:t>3.2 投标报价</w:t>
      </w:r>
      <w:bookmarkEnd w:id="86"/>
      <w:bookmarkEnd w:id="87"/>
      <w:bookmarkEnd w:id="88"/>
      <w:bookmarkEnd w:id="89"/>
    </w:p>
    <w:p>
      <w:pPr>
        <w:spacing w:line="500" w:lineRule="exact"/>
        <w:ind w:firstLine="480" w:firstLineChars="200"/>
        <w:rPr>
          <w:rFonts w:ascii="宋体" w:hAnsi="宋体" w:cs="宋体"/>
          <w:sz w:val="24"/>
        </w:rPr>
      </w:pPr>
      <w:r>
        <w:rPr>
          <w:rFonts w:hint="eastAsia" w:ascii="宋体" w:hAnsi="宋体" w:cs="宋体"/>
          <w:sz w:val="24"/>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投标文件将被作为非响应性投标而予以拒绝。</w:t>
      </w:r>
    </w:p>
    <w:p>
      <w:pPr>
        <w:spacing w:line="500" w:lineRule="exact"/>
        <w:ind w:firstLine="480" w:firstLineChars="200"/>
        <w:rPr>
          <w:rFonts w:ascii="宋体" w:hAnsi="宋体" w:cs="宋体"/>
          <w:sz w:val="24"/>
        </w:rPr>
      </w:pPr>
      <w:r>
        <w:rPr>
          <w:rFonts w:hint="eastAsia" w:ascii="宋体" w:hAnsi="宋体" w:cs="宋体"/>
          <w:sz w:val="24"/>
        </w:rPr>
        <w:t>3.2.2投标报价在中标后不得修改。</w:t>
      </w:r>
    </w:p>
    <w:p>
      <w:pPr>
        <w:spacing w:line="500" w:lineRule="exact"/>
        <w:ind w:firstLine="480" w:firstLineChars="200"/>
        <w:rPr>
          <w:rFonts w:ascii="宋体" w:hAnsi="宋体" w:cs="宋体"/>
          <w:sz w:val="24"/>
        </w:rPr>
      </w:pPr>
      <w:r>
        <w:rPr>
          <w:rFonts w:hint="eastAsia" w:ascii="宋体" w:hAnsi="宋体" w:cs="宋体"/>
          <w:sz w:val="24"/>
        </w:rPr>
        <w:t>3.2.3供应商只能提出一个不变价格，采购人不接受任何选择价。</w:t>
      </w:r>
    </w:p>
    <w:p>
      <w:pPr>
        <w:spacing w:line="500" w:lineRule="exact"/>
        <w:ind w:firstLine="480" w:firstLineChars="200"/>
        <w:rPr>
          <w:rFonts w:ascii="宋体" w:hAnsi="宋体" w:cs="宋体"/>
          <w:sz w:val="24"/>
        </w:rPr>
      </w:pPr>
      <w:r>
        <w:rPr>
          <w:rFonts w:hint="eastAsia" w:ascii="宋体" w:hAnsi="宋体" w:cs="宋体"/>
          <w:sz w:val="24"/>
        </w:rPr>
        <w:t>3.2.4供应商必须对招标范围内的所有货物投标，不允许只对其中一种或几种货物投标。</w:t>
      </w:r>
    </w:p>
    <w:p>
      <w:pPr>
        <w:spacing w:line="500" w:lineRule="exact"/>
        <w:ind w:firstLine="480" w:firstLineChars="200"/>
        <w:rPr>
          <w:rFonts w:ascii="宋体" w:hAnsi="宋体" w:cs="宋体"/>
          <w:sz w:val="24"/>
        </w:rPr>
      </w:pPr>
      <w:r>
        <w:rPr>
          <w:rFonts w:hint="eastAsia" w:ascii="宋体" w:hAnsi="宋体" w:cs="宋体"/>
          <w:sz w:val="24"/>
        </w:rPr>
        <w:t>3.2.5全部报价均应以人民币为计量币种，并以人民币进行结算。</w:t>
      </w:r>
    </w:p>
    <w:p>
      <w:pPr>
        <w:spacing w:line="500" w:lineRule="exact"/>
        <w:ind w:firstLine="480" w:firstLineChars="200"/>
        <w:rPr>
          <w:rFonts w:ascii="宋体" w:hAnsi="宋体" w:cs="宋体"/>
          <w:sz w:val="24"/>
        </w:rPr>
      </w:pPr>
      <w:r>
        <w:rPr>
          <w:rFonts w:hint="eastAsia" w:ascii="宋体" w:hAnsi="宋体" w:cs="宋体"/>
          <w:sz w:val="24"/>
        </w:rPr>
        <w:t>3.2.6投标报价原则是各供应商依据自身实力、管理水平，结合企业所在地区的人工工资标准，在确保项目质量，确保项目成本的基础上，自主报价、自负盈亏。</w:t>
      </w:r>
    </w:p>
    <w:p>
      <w:pPr>
        <w:widowControl/>
        <w:spacing w:line="500" w:lineRule="exact"/>
        <w:ind w:firstLine="480" w:firstLineChars="200"/>
        <w:jc w:val="left"/>
        <w:rPr>
          <w:rFonts w:ascii="宋体" w:hAnsi="宋体" w:cs="宋体"/>
          <w:sz w:val="24"/>
        </w:rPr>
      </w:pPr>
      <w:r>
        <w:rPr>
          <w:rFonts w:hint="eastAsia" w:ascii="宋体" w:hAnsi="宋体" w:cs="宋体"/>
          <w:sz w:val="24"/>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宋体" w:hAnsi="宋体" w:cs="宋体"/>
          <w:b/>
          <w:bCs/>
          <w:sz w:val="24"/>
        </w:rPr>
      </w:pPr>
      <w:bookmarkStart w:id="90" w:name="_Toc403122510"/>
      <w:bookmarkStart w:id="91" w:name="_Toc426369498"/>
      <w:bookmarkStart w:id="92" w:name="_Toc274249593"/>
      <w:bookmarkStart w:id="93" w:name="_Toc279599789"/>
      <w:r>
        <w:rPr>
          <w:rFonts w:hint="eastAsia" w:ascii="宋体" w:hAnsi="宋体" w:cs="宋体"/>
          <w:b/>
          <w:bCs/>
          <w:sz w:val="24"/>
        </w:rPr>
        <w:t>3.3 投标有效期</w:t>
      </w:r>
      <w:bookmarkEnd w:id="90"/>
      <w:bookmarkEnd w:id="91"/>
      <w:bookmarkEnd w:id="92"/>
      <w:bookmarkEnd w:id="93"/>
    </w:p>
    <w:p>
      <w:pPr>
        <w:spacing w:line="500" w:lineRule="exact"/>
        <w:ind w:firstLine="480" w:firstLineChars="200"/>
        <w:rPr>
          <w:rFonts w:ascii="宋体" w:hAnsi="宋体" w:cs="宋体"/>
          <w:sz w:val="24"/>
        </w:rPr>
      </w:pPr>
      <w:r>
        <w:rPr>
          <w:rFonts w:hint="eastAsia" w:ascii="宋体" w:hAnsi="宋体" w:cs="宋体"/>
          <w:sz w:val="24"/>
        </w:rPr>
        <w:t xml:space="preserve">3.3.1在供应商须知前附表规定的投标有效期内，供应商不得要求撤销或修改其投标文件。 </w:t>
      </w:r>
    </w:p>
    <w:p>
      <w:pPr>
        <w:spacing w:line="500" w:lineRule="exact"/>
        <w:ind w:firstLine="482" w:firstLineChars="200"/>
        <w:rPr>
          <w:rFonts w:ascii="宋体" w:hAnsi="宋体" w:cs="宋体"/>
          <w:b/>
          <w:bCs/>
          <w:sz w:val="24"/>
        </w:rPr>
      </w:pPr>
      <w:bookmarkStart w:id="94" w:name="_Toc274249595"/>
      <w:bookmarkStart w:id="95" w:name="_Toc426369501"/>
      <w:bookmarkStart w:id="96" w:name="_Toc279599791"/>
      <w:bookmarkStart w:id="97" w:name="_Toc403122512"/>
      <w:r>
        <w:rPr>
          <w:rFonts w:hint="eastAsia" w:ascii="宋体" w:hAnsi="宋体" w:cs="宋体"/>
          <w:b/>
          <w:bCs/>
          <w:sz w:val="24"/>
        </w:rPr>
        <w:t>3.5 资格审查资料</w:t>
      </w:r>
      <w:bookmarkEnd w:id="94"/>
      <w:bookmarkEnd w:id="95"/>
      <w:bookmarkEnd w:id="96"/>
      <w:bookmarkEnd w:id="97"/>
    </w:p>
    <w:p>
      <w:pPr>
        <w:spacing w:line="500" w:lineRule="exact"/>
        <w:ind w:firstLine="480" w:firstLineChars="200"/>
        <w:rPr>
          <w:rFonts w:ascii="宋体" w:hAnsi="宋体" w:cs="宋体"/>
          <w:sz w:val="24"/>
        </w:rPr>
      </w:pPr>
      <w:r>
        <w:rPr>
          <w:rFonts w:hint="eastAsia" w:ascii="宋体" w:hAnsi="宋体" w:cs="宋体"/>
          <w:sz w:val="24"/>
        </w:rPr>
        <w:t>3.5.1</w:t>
      </w:r>
      <w:r>
        <w:rPr>
          <w:rFonts w:hint="eastAsia" w:ascii="宋体" w:hAnsi="宋体" w:cs="宋体"/>
          <w:kern w:val="0"/>
          <w:sz w:val="24"/>
        </w:rPr>
        <w:t>依据“投标人须知”中的要求提交相应的资格证明文件，作为投标文件的一部分，以证明其有资格进行投标和有能力履行合同</w:t>
      </w:r>
      <w:r>
        <w:rPr>
          <w:rFonts w:hint="eastAsia" w:ascii="宋体" w:hAnsi="宋体" w:cs="宋体"/>
          <w:sz w:val="24"/>
        </w:rPr>
        <w:t xml:space="preserve">。 </w:t>
      </w:r>
    </w:p>
    <w:p>
      <w:pPr>
        <w:spacing w:line="500" w:lineRule="exact"/>
        <w:ind w:firstLine="480" w:firstLineChars="200"/>
        <w:rPr>
          <w:rFonts w:ascii="宋体" w:hAnsi="宋体" w:cs="宋体"/>
          <w:sz w:val="24"/>
        </w:rPr>
      </w:pPr>
      <w:r>
        <w:rPr>
          <w:rFonts w:hint="eastAsia" w:ascii="宋体" w:hAnsi="宋体" w:cs="宋体"/>
          <w:sz w:val="24"/>
        </w:rPr>
        <w:t>3.5.2招标文件规定的供应商资格条件。</w:t>
      </w:r>
    </w:p>
    <w:p>
      <w:pPr>
        <w:spacing w:line="500" w:lineRule="exact"/>
        <w:ind w:firstLine="482" w:firstLineChars="200"/>
        <w:rPr>
          <w:rFonts w:ascii="宋体" w:hAnsi="宋体" w:cs="宋体"/>
          <w:b/>
          <w:bCs/>
          <w:sz w:val="24"/>
        </w:rPr>
      </w:pPr>
      <w:bookmarkStart w:id="98" w:name="_Toc279599792"/>
      <w:bookmarkStart w:id="99" w:name="_Toc274249596"/>
      <w:bookmarkStart w:id="100" w:name="_Toc426369502"/>
      <w:bookmarkStart w:id="101" w:name="_Toc403122513"/>
      <w:r>
        <w:rPr>
          <w:rFonts w:hint="eastAsia" w:ascii="宋体" w:hAnsi="宋体" w:cs="宋体"/>
          <w:b/>
          <w:bCs/>
          <w:sz w:val="24"/>
        </w:rPr>
        <w:t>3.6 备选投标方案</w:t>
      </w:r>
      <w:bookmarkEnd w:id="98"/>
      <w:bookmarkEnd w:id="99"/>
      <w:bookmarkEnd w:id="100"/>
      <w:bookmarkEnd w:id="101"/>
    </w:p>
    <w:p>
      <w:pPr>
        <w:tabs>
          <w:tab w:val="left" w:pos="3570"/>
        </w:tabs>
        <w:spacing w:line="500" w:lineRule="exact"/>
        <w:ind w:firstLine="480" w:firstLineChars="200"/>
        <w:rPr>
          <w:rFonts w:ascii="宋体" w:hAnsi="宋体" w:cs="宋体"/>
          <w:sz w:val="24"/>
        </w:rPr>
      </w:pPr>
      <w:r>
        <w:rPr>
          <w:rFonts w:hint="eastAsia" w:ascii="宋体" w:hAnsi="宋体" w:cs="宋体"/>
          <w:sz w:val="24"/>
        </w:rPr>
        <w:t xml:space="preserve">供应商不得递交备选投标方案。 </w:t>
      </w:r>
    </w:p>
    <w:p>
      <w:pPr>
        <w:spacing w:line="500" w:lineRule="exact"/>
        <w:ind w:firstLine="482" w:firstLineChars="200"/>
        <w:rPr>
          <w:rFonts w:ascii="宋体" w:hAnsi="宋体" w:cs="宋体"/>
          <w:b/>
          <w:bCs/>
          <w:sz w:val="24"/>
        </w:rPr>
      </w:pPr>
      <w:bookmarkStart w:id="102" w:name="_Toc403122514"/>
      <w:bookmarkStart w:id="103" w:name="_Toc426369503"/>
      <w:bookmarkStart w:id="104" w:name="_Toc279599793"/>
      <w:bookmarkStart w:id="105" w:name="_Toc274249597"/>
      <w:r>
        <w:rPr>
          <w:rFonts w:hint="eastAsia" w:ascii="宋体" w:hAnsi="宋体" w:cs="宋体"/>
          <w:b/>
          <w:bCs/>
          <w:sz w:val="24"/>
        </w:rPr>
        <w:t>3.7 投标文件的编制</w:t>
      </w:r>
      <w:bookmarkEnd w:id="102"/>
      <w:bookmarkEnd w:id="103"/>
      <w:bookmarkEnd w:id="104"/>
      <w:bookmarkEnd w:id="105"/>
    </w:p>
    <w:p>
      <w:pPr>
        <w:spacing w:line="500" w:lineRule="exact"/>
        <w:ind w:firstLine="480" w:firstLineChars="200"/>
        <w:rPr>
          <w:rFonts w:ascii="宋体" w:hAnsi="宋体" w:cs="宋体"/>
          <w:sz w:val="24"/>
        </w:rPr>
      </w:pPr>
      <w:r>
        <w:rPr>
          <w:rFonts w:hint="eastAsia" w:ascii="宋体" w:hAnsi="宋体" w:cs="宋体"/>
          <w:sz w:val="24"/>
        </w:rPr>
        <w:t>3.7.1 投标文件应按招标文件中要求</w:t>
      </w:r>
      <w:r>
        <w:rPr>
          <w:rFonts w:hint="eastAsia" w:ascii="宋体" w:hAnsi="宋体" w:cs="宋体"/>
          <w:kern w:val="0"/>
          <w:sz w:val="24"/>
        </w:rPr>
        <w:t>使用焦作市公共资源交易系统投标文件制作专用工具软件编制</w:t>
      </w:r>
      <w:r>
        <w:rPr>
          <w:rFonts w:hint="eastAsia" w:ascii="宋体" w:hAnsi="宋体" w:cs="宋体"/>
          <w:sz w:val="24"/>
        </w:rPr>
        <w:t xml:space="preserve">。 </w:t>
      </w:r>
    </w:p>
    <w:p>
      <w:pPr>
        <w:spacing w:line="500" w:lineRule="exact"/>
        <w:ind w:firstLine="480" w:firstLineChars="200"/>
        <w:rPr>
          <w:rFonts w:ascii="宋体" w:hAnsi="宋体" w:cs="宋体"/>
          <w:sz w:val="24"/>
        </w:rPr>
      </w:pPr>
      <w:r>
        <w:rPr>
          <w:rFonts w:hint="eastAsia" w:ascii="宋体" w:hAnsi="宋体" w:cs="宋体"/>
          <w:sz w:val="24"/>
        </w:rPr>
        <w:t>3.7.2  投标文件应当对招标文件有关供货安装期、投标有效期、质量标准、采购要求及服务内容、等实质性内容作出响应。</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 xml:space="preserve">3.7.3 </w:t>
      </w:r>
      <w:r>
        <w:rPr>
          <w:rFonts w:hint="eastAsia" w:ascii="宋体" w:hAnsi="宋体" w:cs="宋体"/>
          <w:kern w:val="0"/>
          <w:sz w:val="24"/>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06" w:name="_Toc403122515"/>
      <w:bookmarkStart w:id="107" w:name="_Toc426369504"/>
      <w:bookmarkStart w:id="108" w:name="_Toc30100"/>
      <w:bookmarkStart w:id="109" w:name="_Toc31809"/>
      <w:bookmarkStart w:id="110" w:name="_Toc26998"/>
      <w:bookmarkStart w:id="111" w:name="_Toc12797"/>
      <w:r>
        <w:rPr>
          <w:rFonts w:hint="eastAsia" w:ascii="宋体" w:hAnsi="宋体" w:eastAsia="宋体" w:cs="宋体"/>
          <w:sz w:val="24"/>
          <w:szCs w:val="24"/>
        </w:rPr>
        <w:t>4. 投标</w:t>
      </w:r>
      <w:bookmarkEnd w:id="106"/>
      <w:bookmarkEnd w:id="107"/>
      <w:bookmarkEnd w:id="108"/>
      <w:bookmarkEnd w:id="109"/>
      <w:bookmarkEnd w:id="110"/>
      <w:bookmarkEnd w:id="111"/>
    </w:p>
    <w:p>
      <w:pPr>
        <w:spacing w:line="500" w:lineRule="exact"/>
        <w:ind w:firstLine="482" w:firstLineChars="200"/>
        <w:rPr>
          <w:rFonts w:ascii="宋体" w:hAnsi="宋体" w:cs="宋体"/>
          <w:b/>
          <w:bCs/>
          <w:sz w:val="24"/>
        </w:rPr>
      </w:pPr>
      <w:bookmarkStart w:id="112" w:name="_Toc426369505"/>
      <w:bookmarkStart w:id="113" w:name="_Toc274249599"/>
      <w:bookmarkStart w:id="114" w:name="_Toc403122516"/>
      <w:bookmarkStart w:id="115" w:name="_Toc279599795"/>
      <w:r>
        <w:rPr>
          <w:rFonts w:hint="eastAsia" w:ascii="宋体" w:hAnsi="宋体" w:cs="宋体"/>
          <w:b/>
          <w:bCs/>
          <w:sz w:val="24"/>
        </w:rPr>
        <w:t>4.1 投标文件的密封和标记</w:t>
      </w:r>
      <w:bookmarkEnd w:id="112"/>
      <w:bookmarkEnd w:id="113"/>
      <w:bookmarkEnd w:id="114"/>
      <w:bookmarkEnd w:id="115"/>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kern w:val="0"/>
          <w:sz w:val="24"/>
        </w:rPr>
        <w:t>4.1.1.本项目采用</w:t>
      </w:r>
      <w:r>
        <w:rPr>
          <w:rFonts w:hint="eastAsia" w:ascii="宋体" w:hAnsi="宋体" w:cs="宋体"/>
          <w:kern w:val="0"/>
          <w:sz w:val="24"/>
          <w:lang w:val="zh-CN"/>
        </w:rPr>
        <w:t>网上上传的电子投标文件</w:t>
      </w:r>
      <w:r>
        <w:rPr>
          <w:rFonts w:hint="eastAsia" w:ascii="宋体" w:hAnsi="宋体" w:cs="宋体"/>
          <w:kern w:val="0"/>
          <w:sz w:val="24"/>
        </w:rPr>
        <w:t>,</w:t>
      </w:r>
      <w:r>
        <w:rPr>
          <w:rFonts w:hint="eastAsia" w:ascii="宋体" w:hAnsi="宋体" w:cs="宋体"/>
          <w:kern w:val="0"/>
          <w:sz w:val="24"/>
          <w:lang w:val="zh-CN"/>
        </w:rPr>
        <w:t>应使用数字证书认证并加密。</w:t>
      </w:r>
    </w:p>
    <w:p>
      <w:pPr>
        <w:spacing w:line="500" w:lineRule="exact"/>
        <w:ind w:firstLine="482" w:firstLineChars="200"/>
        <w:rPr>
          <w:rFonts w:ascii="宋体" w:hAnsi="宋体" w:cs="宋体"/>
          <w:b/>
          <w:bCs/>
          <w:sz w:val="24"/>
        </w:rPr>
      </w:pPr>
      <w:bookmarkStart w:id="116" w:name="_Toc274249600"/>
      <w:bookmarkStart w:id="117" w:name="_Toc403122517"/>
      <w:bookmarkStart w:id="118" w:name="_Toc279599796"/>
      <w:bookmarkStart w:id="119" w:name="_Toc426369506"/>
      <w:r>
        <w:rPr>
          <w:rFonts w:hint="eastAsia" w:ascii="宋体" w:hAnsi="宋体" w:cs="宋体"/>
          <w:b/>
          <w:bCs/>
          <w:sz w:val="24"/>
        </w:rPr>
        <w:t>4.2 投标文件的递交</w:t>
      </w:r>
      <w:bookmarkEnd w:id="116"/>
      <w:bookmarkEnd w:id="117"/>
      <w:bookmarkEnd w:id="118"/>
      <w:bookmarkEnd w:id="119"/>
    </w:p>
    <w:p>
      <w:pPr>
        <w:autoSpaceDE w:val="0"/>
        <w:autoSpaceDN w:val="0"/>
        <w:adjustRightInd w:val="0"/>
        <w:spacing w:line="500" w:lineRule="exact"/>
        <w:ind w:firstLine="480" w:firstLineChars="200"/>
        <w:jc w:val="left"/>
        <w:rPr>
          <w:rFonts w:ascii="宋体" w:hAnsi="宋体" w:cs="宋体"/>
          <w:kern w:val="0"/>
          <w:sz w:val="24"/>
          <w:lang w:val="zh-CN"/>
        </w:rPr>
      </w:pPr>
      <w:r>
        <w:rPr>
          <w:rFonts w:hint="eastAsia" w:ascii="宋体" w:hAnsi="宋体" w:cs="宋体"/>
          <w:kern w:val="0"/>
          <w:sz w:val="24"/>
        </w:rPr>
        <w:t>4.2.1</w:t>
      </w:r>
      <w:r>
        <w:rPr>
          <w:rFonts w:hint="eastAsia" w:ascii="宋体" w:hAnsi="宋体" w:cs="宋体"/>
          <w:kern w:val="0"/>
          <w:sz w:val="24"/>
          <w:lang w:val="zh-CN"/>
        </w:rPr>
        <w:t>所有投标文件必须在本招标文件中规定的投标截止时间之前</w:t>
      </w:r>
      <w:r>
        <w:rPr>
          <w:rFonts w:hint="eastAsia" w:ascii="宋体" w:hAnsi="宋体" w:cs="宋体"/>
          <w:kern w:val="0"/>
          <w:sz w:val="24"/>
        </w:rPr>
        <w:t>提前上传，按要求</w:t>
      </w:r>
      <w:r>
        <w:rPr>
          <w:rFonts w:hint="eastAsia" w:ascii="宋体" w:hAnsi="宋体" w:cs="宋体"/>
          <w:sz w:val="24"/>
        </w:rPr>
        <w:t>在线签到、解密文件等，解密时间为投标截止时后30分钟内，</w:t>
      </w:r>
      <w:r>
        <w:rPr>
          <w:rFonts w:hint="eastAsia" w:ascii="宋体" w:hAnsi="宋体" w:cs="宋体"/>
          <w:kern w:val="0"/>
          <w:sz w:val="24"/>
        </w:rPr>
        <w:t>不能按时上传、解密者视为自动放弃投标。</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kern w:val="0"/>
          <w:sz w:val="24"/>
        </w:rPr>
        <w:t>4.2.</w:t>
      </w:r>
      <w:r>
        <w:rPr>
          <w:rFonts w:hint="eastAsia" w:ascii="宋体" w:hAnsi="宋体" w:cs="宋体"/>
          <w:kern w:val="0"/>
          <w:sz w:val="24"/>
          <w:lang w:val="zh-CN"/>
        </w:rPr>
        <w:t>2.采购人拒绝接收在投标文件递交截止时间后上传的投标文件。</w:t>
      </w:r>
      <w:bookmarkStart w:id="120" w:name="_Hlt26954862"/>
      <w:bookmarkEnd w:id="120"/>
      <w:bookmarkStart w:id="121" w:name="_Hlt26954754"/>
      <w:bookmarkEnd w:id="121"/>
    </w:p>
    <w:p>
      <w:pPr>
        <w:spacing w:line="500" w:lineRule="exact"/>
        <w:ind w:firstLine="482" w:firstLineChars="200"/>
        <w:rPr>
          <w:rFonts w:ascii="宋体" w:hAnsi="宋体" w:cs="宋体"/>
          <w:b/>
          <w:bCs/>
          <w:sz w:val="24"/>
        </w:rPr>
      </w:pPr>
      <w:bookmarkStart w:id="122" w:name="_Toc279599797"/>
      <w:bookmarkStart w:id="123" w:name="_Toc274249601"/>
      <w:bookmarkStart w:id="124" w:name="_Toc426369507"/>
      <w:bookmarkStart w:id="125" w:name="_Toc403122518"/>
      <w:r>
        <w:rPr>
          <w:rFonts w:hint="eastAsia" w:ascii="宋体" w:hAnsi="宋体" w:cs="宋体"/>
          <w:b/>
          <w:bCs/>
          <w:sz w:val="24"/>
        </w:rPr>
        <w:t>4.3 投标文件的修改与撤回</w:t>
      </w:r>
      <w:bookmarkEnd w:id="122"/>
      <w:bookmarkEnd w:id="123"/>
      <w:bookmarkEnd w:id="124"/>
      <w:bookmarkEnd w:id="125"/>
    </w:p>
    <w:p>
      <w:pPr>
        <w:spacing w:line="500" w:lineRule="exact"/>
        <w:ind w:firstLine="480" w:firstLineChars="200"/>
        <w:rPr>
          <w:rFonts w:ascii="宋体" w:hAnsi="宋体" w:cs="宋体"/>
          <w:sz w:val="24"/>
        </w:rPr>
      </w:pPr>
      <w:r>
        <w:rPr>
          <w:rFonts w:hint="eastAsia" w:ascii="宋体" w:hAnsi="宋体" w:cs="宋体"/>
          <w:sz w:val="24"/>
        </w:rPr>
        <w:t xml:space="preserve">4.3.1在本章第 2.2.2 项规定的投标截止时间前，供应商可以修改或撤回已递交的投标文件。 </w:t>
      </w:r>
    </w:p>
    <w:p>
      <w:pPr>
        <w:spacing w:line="500" w:lineRule="exact"/>
        <w:ind w:firstLine="480" w:firstLineChars="200"/>
        <w:rPr>
          <w:rFonts w:ascii="宋体" w:hAnsi="宋体" w:cs="宋体"/>
          <w:sz w:val="24"/>
        </w:rPr>
      </w:pPr>
      <w:r>
        <w:rPr>
          <w:rFonts w:hint="eastAsia" w:ascii="宋体" w:hAnsi="宋体" w:cs="宋体"/>
          <w:sz w:val="24"/>
        </w:rPr>
        <w:t xml:space="preserve">4.3.2供应商修改或撤回已递交投标文件的书面通知应按照本章第 3.7.3 项的要求签字盖章。 </w:t>
      </w:r>
    </w:p>
    <w:p>
      <w:pPr>
        <w:spacing w:line="500" w:lineRule="exact"/>
        <w:ind w:firstLine="480" w:firstLineChars="200"/>
        <w:rPr>
          <w:rFonts w:ascii="宋体" w:hAnsi="宋体" w:cs="宋体"/>
          <w:sz w:val="24"/>
        </w:rPr>
      </w:pPr>
      <w:r>
        <w:rPr>
          <w:rFonts w:hint="eastAsia" w:ascii="宋体" w:hAnsi="宋体" w:cs="宋体"/>
          <w:sz w:val="24"/>
        </w:rPr>
        <w:t xml:space="preserve">4.3.3修改的内容为投标文件的组成部分。修改的投标文件应按照本章第 3 条、第 4 条规定进行编制、密封、标记和递交，并标明“修改”字样。 </w:t>
      </w:r>
    </w:p>
    <w:p>
      <w:pPr>
        <w:pStyle w:val="24"/>
        <w:spacing w:before="120" w:after="120" w:line="500" w:lineRule="exact"/>
        <w:ind w:right="-1029" w:rightChars="-490" w:firstLine="482" w:firstLineChars="200"/>
        <w:jc w:val="left"/>
        <w:outlineLvl w:val="1"/>
        <w:rPr>
          <w:rFonts w:ascii="宋体" w:hAnsi="宋体" w:eastAsia="宋体" w:cs="宋体"/>
          <w:sz w:val="24"/>
          <w:szCs w:val="24"/>
        </w:rPr>
      </w:pPr>
      <w:bookmarkStart w:id="126" w:name="_Toc403122519"/>
      <w:bookmarkStart w:id="127" w:name="_Toc18170"/>
      <w:bookmarkStart w:id="128" w:name="_Toc5457"/>
      <w:bookmarkStart w:id="129" w:name="_Toc426369508"/>
      <w:bookmarkStart w:id="130" w:name="_Toc32449"/>
      <w:bookmarkStart w:id="131" w:name="_Toc11336"/>
      <w:r>
        <w:rPr>
          <w:rFonts w:hint="eastAsia" w:ascii="宋体" w:hAnsi="宋体" w:eastAsia="宋体" w:cs="宋体"/>
          <w:sz w:val="24"/>
          <w:szCs w:val="24"/>
        </w:rPr>
        <w:t>5. 开标</w:t>
      </w:r>
      <w:bookmarkEnd w:id="126"/>
      <w:bookmarkEnd w:id="127"/>
      <w:bookmarkEnd w:id="128"/>
      <w:bookmarkEnd w:id="129"/>
      <w:bookmarkEnd w:id="130"/>
      <w:bookmarkEnd w:id="131"/>
    </w:p>
    <w:p>
      <w:pPr>
        <w:spacing w:line="500" w:lineRule="exact"/>
        <w:ind w:firstLine="480" w:firstLineChars="200"/>
        <w:rPr>
          <w:rFonts w:ascii="宋体" w:hAnsi="宋体" w:cs="宋体"/>
          <w:sz w:val="24"/>
        </w:rPr>
      </w:pPr>
      <w:r>
        <w:rPr>
          <w:rFonts w:hint="eastAsia" w:ascii="宋体" w:hAnsi="宋体" w:cs="宋体"/>
          <w:sz w:val="24"/>
        </w:rPr>
        <w:t>5.1.1采购人在规定的投标截止时间（开标时间）和投标人须知前附表规定的地点公开开标。本项目采用“远程不见面”的开标方式,载明远程开标大厅网址（http://122.112.246.33/BidOpening/bidopeninghallaction/hall/login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spacing w:line="500" w:lineRule="exact"/>
        <w:ind w:firstLine="480" w:firstLineChars="200"/>
        <w:rPr>
          <w:rFonts w:ascii="宋体" w:hAnsi="宋体" w:cs="宋体"/>
          <w:sz w:val="24"/>
        </w:rPr>
      </w:pPr>
      <w:r>
        <w:rPr>
          <w:rFonts w:hint="eastAsia" w:ascii="宋体" w:hAnsi="宋体" w:cs="宋体"/>
          <w:sz w:val="24"/>
        </w:rPr>
        <w:t>所有投标文件必须在本招标文件中规定的投标截止时间之前提前上传投标文件，按要求解密投标文件，不能按时上传、解密者视为自动放弃投标。</w:t>
      </w:r>
    </w:p>
    <w:p>
      <w:pPr>
        <w:spacing w:line="500" w:lineRule="exact"/>
        <w:ind w:firstLine="480" w:firstLineChars="200"/>
        <w:rPr>
          <w:rFonts w:ascii="宋体" w:hAnsi="宋体" w:cs="宋体"/>
          <w:sz w:val="24"/>
        </w:rPr>
      </w:pPr>
      <w:r>
        <w:rPr>
          <w:rFonts w:hint="eastAsia" w:ascii="宋体" w:hAnsi="宋体" w:cs="宋体"/>
          <w:sz w:val="24"/>
        </w:rPr>
        <w:t xml:space="preserve">5.1.2投标人不足3家的，不得开标。  </w:t>
      </w:r>
    </w:p>
    <w:p>
      <w:pPr>
        <w:spacing w:line="500" w:lineRule="exact"/>
        <w:ind w:firstLine="482" w:firstLineChars="200"/>
        <w:rPr>
          <w:rFonts w:ascii="宋体" w:hAnsi="宋体" w:cs="宋体"/>
          <w:b/>
          <w:bCs/>
          <w:sz w:val="24"/>
        </w:rPr>
      </w:pPr>
      <w:bookmarkStart w:id="132" w:name="_Toc403122520"/>
      <w:bookmarkStart w:id="133" w:name="_Toc426369509"/>
      <w:bookmarkStart w:id="134" w:name="_Toc274249603"/>
      <w:bookmarkStart w:id="135" w:name="_Toc279599799"/>
      <w:r>
        <w:rPr>
          <w:rFonts w:hint="eastAsia" w:ascii="宋体" w:hAnsi="宋体" w:cs="宋体"/>
          <w:b/>
          <w:bCs/>
          <w:sz w:val="24"/>
        </w:rPr>
        <w:t>5.2 开标时间和地点</w:t>
      </w:r>
      <w:bookmarkEnd w:id="132"/>
      <w:bookmarkEnd w:id="133"/>
      <w:bookmarkEnd w:id="134"/>
      <w:bookmarkEnd w:id="135"/>
    </w:p>
    <w:p>
      <w:pPr>
        <w:spacing w:line="500" w:lineRule="exact"/>
        <w:ind w:firstLine="480" w:firstLineChars="200"/>
        <w:rPr>
          <w:rFonts w:ascii="宋体" w:hAnsi="宋体" w:cs="宋体"/>
          <w:sz w:val="24"/>
        </w:rPr>
      </w:pPr>
      <w:r>
        <w:rPr>
          <w:rFonts w:hint="eastAsia" w:ascii="宋体" w:hAnsi="宋体" w:cs="宋体"/>
          <w:sz w:val="24"/>
        </w:rPr>
        <w:t>采购人在本章第 2.2.2 项规定的投标截止时间（开标时间）和供应商须知前附表规定的地点公开开标。</w:t>
      </w:r>
    </w:p>
    <w:p>
      <w:pPr>
        <w:spacing w:line="500" w:lineRule="exact"/>
        <w:ind w:firstLine="482" w:firstLineChars="200"/>
        <w:rPr>
          <w:rFonts w:ascii="宋体" w:hAnsi="宋体" w:cs="宋体"/>
          <w:b/>
          <w:bCs/>
          <w:sz w:val="24"/>
        </w:rPr>
      </w:pPr>
      <w:bookmarkStart w:id="136" w:name="_Toc274249604"/>
      <w:bookmarkStart w:id="137" w:name="_Toc403122521"/>
      <w:bookmarkStart w:id="138" w:name="_Toc426369510"/>
      <w:bookmarkStart w:id="139" w:name="_Toc279599800"/>
      <w:r>
        <w:rPr>
          <w:rFonts w:hint="eastAsia" w:ascii="宋体" w:hAnsi="宋体" w:cs="宋体"/>
          <w:b/>
          <w:bCs/>
          <w:sz w:val="24"/>
        </w:rPr>
        <w:t>5.3开标程序</w:t>
      </w:r>
      <w:bookmarkEnd w:id="136"/>
      <w:bookmarkEnd w:id="137"/>
      <w:bookmarkEnd w:id="138"/>
      <w:bookmarkEnd w:id="139"/>
    </w:p>
    <w:p>
      <w:pPr>
        <w:spacing w:line="500" w:lineRule="exact"/>
        <w:ind w:firstLine="480" w:firstLineChars="200"/>
        <w:rPr>
          <w:rFonts w:ascii="宋体" w:hAnsi="宋体" w:cs="宋体"/>
          <w:sz w:val="24"/>
          <w:lang w:val="zh-CN"/>
        </w:rPr>
      </w:pPr>
      <w:bookmarkStart w:id="140" w:name="_Toc426369511"/>
      <w:r>
        <w:rPr>
          <w:rFonts w:hint="eastAsia" w:ascii="宋体" w:hAnsi="宋体" w:cs="宋体"/>
          <w:sz w:val="24"/>
        </w:rPr>
        <w:t>5.3</w:t>
      </w:r>
      <w:r>
        <w:rPr>
          <w:rFonts w:hint="eastAsia" w:ascii="宋体" w:hAnsi="宋体" w:cs="宋体"/>
          <w:sz w:val="24"/>
          <w:lang w:val="zh-CN"/>
        </w:rPr>
        <w:t>.1本</w:t>
      </w:r>
      <w:r>
        <w:rPr>
          <w:rFonts w:hint="eastAsia" w:ascii="宋体" w:hAnsi="宋体" w:cs="宋体"/>
          <w:sz w:val="24"/>
        </w:rPr>
        <w:t>项目</w:t>
      </w:r>
      <w:r>
        <w:rPr>
          <w:rFonts w:hint="eastAsia" w:ascii="宋体" w:hAnsi="宋体" w:cs="宋体"/>
          <w:sz w:val="24"/>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500" w:lineRule="exact"/>
        <w:ind w:firstLine="480" w:firstLineChars="200"/>
        <w:rPr>
          <w:rFonts w:ascii="宋体" w:hAnsi="宋体" w:cs="宋体"/>
          <w:sz w:val="24"/>
          <w:lang w:val="zh-CN"/>
        </w:rPr>
      </w:pPr>
      <w:r>
        <w:rPr>
          <w:rFonts w:hint="eastAsia" w:ascii="宋体" w:hAnsi="宋体" w:cs="宋体"/>
          <w:sz w:val="24"/>
          <w:lang w:val="zh-CN"/>
        </w:rPr>
        <w:t>主持人按下列程序进行开标：</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w:t>
      </w:r>
      <w:r>
        <w:rPr>
          <w:rFonts w:hint="eastAsia" w:ascii="宋体" w:hAnsi="宋体" w:cs="宋体"/>
          <w:sz w:val="24"/>
          <w:lang w:val="zh-CN"/>
        </w:rPr>
        <w:t>） 公布在投标截止时间前递交响应性文件的供应商名称；</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2</w:t>
      </w:r>
      <w:r>
        <w:rPr>
          <w:rFonts w:hint="eastAsia" w:ascii="宋体" w:hAnsi="宋体" w:cs="宋体"/>
          <w:sz w:val="24"/>
          <w:lang w:val="zh-CN"/>
        </w:rPr>
        <w:t>）供应商通过电子招标投标交易平台对已递交的电子响应性文件在规定</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时间内进行解密；</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3</w:t>
      </w:r>
      <w:r>
        <w:rPr>
          <w:rFonts w:hint="eastAsia" w:ascii="宋体" w:hAnsi="宋体" w:cs="宋体"/>
          <w:sz w:val="24"/>
          <w:lang w:val="zh-CN"/>
        </w:rPr>
        <w:t>） 批量导入文件；</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4</w:t>
      </w:r>
      <w:r>
        <w:rPr>
          <w:rFonts w:hint="eastAsia" w:ascii="宋体" w:hAnsi="宋体" w:cs="宋体"/>
          <w:sz w:val="24"/>
          <w:lang w:val="zh-CN"/>
        </w:rPr>
        <w:t>）代理机构将通过焦作市电子招投标交易平台进行唱标，并公布采购项</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目名称、供应商名称、</w:t>
      </w:r>
      <w:r>
        <w:rPr>
          <w:rFonts w:hint="eastAsia" w:ascii="宋体" w:hAnsi="宋体" w:cs="宋体"/>
          <w:sz w:val="24"/>
          <w:lang w:val="zh-CN" w:eastAsia="zh-CN"/>
        </w:rPr>
        <w:t>合同履行期限</w:t>
      </w:r>
      <w:r>
        <w:rPr>
          <w:rFonts w:hint="eastAsia" w:ascii="宋体" w:hAnsi="宋体" w:cs="宋体"/>
          <w:sz w:val="24"/>
          <w:lang w:val="zh-CN"/>
        </w:rPr>
        <w:t>等其他内容，并记录在案；</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5</w:t>
      </w:r>
      <w:r>
        <w:rPr>
          <w:rFonts w:hint="eastAsia" w:ascii="宋体" w:hAnsi="宋体" w:cs="宋体"/>
          <w:sz w:val="24"/>
          <w:lang w:val="zh-CN"/>
        </w:rPr>
        <w:t>）采购人代表、监督人等有关人员按具体现场系统情况在开标记录上签</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字确认；</w:t>
      </w:r>
    </w:p>
    <w:p>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）开标结束。</w:t>
      </w:r>
    </w:p>
    <w:p>
      <w:pPr>
        <w:spacing w:line="500" w:lineRule="exact"/>
        <w:ind w:firstLine="480" w:firstLineChars="200"/>
        <w:rPr>
          <w:rFonts w:ascii="宋体" w:hAnsi="宋体" w:cs="宋体"/>
          <w:sz w:val="24"/>
          <w:lang w:val="zh-CN"/>
        </w:rPr>
      </w:pPr>
      <w:r>
        <w:rPr>
          <w:rFonts w:hint="eastAsia" w:ascii="宋体" w:hAnsi="宋体" w:cs="宋体"/>
          <w:sz w:val="24"/>
          <w:lang w:val="zh-CN"/>
        </w:rPr>
        <w:t>5.3.</w:t>
      </w:r>
      <w:r>
        <w:rPr>
          <w:rFonts w:hint="eastAsia" w:ascii="宋体" w:hAnsi="宋体" w:cs="宋体"/>
          <w:sz w:val="24"/>
        </w:rPr>
        <w:t>2</w:t>
      </w:r>
      <w:r>
        <w:rPr>
          <w:rFonts w:hint="eastAsia" w:ascii="宋体" w:hAnsi="宋体" w:cs="宋体"/>
          <w:sz w:val="24"/>
          <w:lang w:val="zh-CN"/>
        </w:rPr>
        <w:t>开标时出现下列情况的，采购人将拒绝其投标文件：</w:t>
      </w:r>
    </w:p>
    <w:p>
      <w:pPr>
        <w:spacing w:line="500" w:lineRule="exact"/>
        <w:ind w:firstLine="480" w:firstLineChars="200"/>
        <w:rPr>
          <w:rFonts w:ascii="宋体" w:hAnsi="宋体" w:cs="宋体"/>
          <w:sz w:val="24"/>
          <w:lang w:val="zh-CN"/>
        </w:rPr>
      </w:pPr>
      <w:r>
        <w:rPr>
          <w:rFonts w:hint="eastAsia" w:ascii="宋体" w:hAnsi="宋体" w:cs="宋体"/>
          <w:sz w:val="24"/>
          <w:lang w:val="zh-CN"/>
        </w:rPr>
        <w:t>（1）经检查数字证书无效的投标文件；</w:t>
      </w:r>
    </w:p>
    <w:p>
      <w:pPr>
        <w:spacing w:line="500" w:lineRule="exact"/>
        <w:ind w:firstLine="480" w:firstLineChars="200"/>
        <w:rPr>
          <w:rFonts w:ascii="宋体" w:hAnsi="宋体" w:cs="宋体"/>
          <w:sz w:val="24"/>
          <w:lang w:val="zh-CN"/>
        </w:rPr>
      </w:pPr>
      <w:r>
        <w:rPr>
          <w:rFonts w:hint="eastAsia" w:ascii="宋体" w:hAnsi="宋体" w:cs="宋体"/>
          <w:sz w:val="24"/>
          <w:lang w:val="zh-CN"/>
        </w:rPr>
        <w:t>（2）投标人未按投标人须知前附表规定的时间内解密投标文件的。</w:t>
      </w:r>
    </w:p>
    <w:p>
      <w:pPr>
        <w:spacing w:line="500" w:lineRule="exact"/>
        <w:ind w:firstLine="482" w:firstLineChars="200"/>
        <w:rPr>
          <w:rFonts w:ascii="宋体" w:hAnsi="宋体" w:cs="宋体"/>
          <w:b/>
          <w:bCs/>
          <w:sz w:val="24"/>
        </w:rPr>
      </w:pPr>
      <w:r>
        <w:rPr>
          <w:rFonts w:hint="eastAsia" w:ascii="宋体" w:hAnsi="宋体" w:cs="宋体"/>
          <w:b/>
          <w:bCs/>
          <w:sz w:val="24"/>
        </w:rPr>
        <w:t>5.4开标异议</w:t>
      </w:r>
      <w:bookmarkEnd w:id="140"/>
    </w:p>
    <w:p>
      <w:pPr>
        <w:spacing w:line="500" w:lineRule="exact"/>
        <w:ind w:firstLine="480" w:firstLineChars="200"/>
        <w:rPr>
          <w:rFonts w:ascii="宋体" w:hAnsi="宋体" w:cs="宋体"/>
          <w:sz w:val="24"/>
          <w:lang w:val="zh-CN"/>
        </w:rPr>
      </w:pPr>
      <w:bookmarkStart w:id="141" w:name="_Toc403122522"/>
      <w:bookmarkStart w:id="142" w:name="_Toc21662"/>
      <w:bookmarkStart w:id="143" w:name="_Toc12881"/>
      <w:bookmarkStart w:id="144" w:name="_Toc426369512"/>
      <w:r>
        <w:rPr>
          <w:rFonts w:hint="eastAsia" w:ascii="宋体" w:hAnsi="宋体" w:cs="宋体"/>
          <w:sz w:val="24"/>
        </w:rPr>
        <w:t>5.4.1</w:t>
      </w:r>
      <w:r>
        <w:rPr>
          <w:rFonts w:hint="eastAsia" w:ascii="宋体" w:hAnsi="宋体" w:cs="宋体"/>
          <w:sz w:val="24"/>
          <w:lang w:val="zh-CN"/>
        </w:rPr>
        <w:t>投标人对开标有异议的，应当在开标现场提出（</w:t>
      </w:r>
      <w:bookmarkStart w:id="145" w:name="_Toc12998"/>
      <w:r>
        <w:rPr>
          <w:rFonts w:hint="eastAsia" w:ascii="宋体" w:hAnsi="宋体" w:cs="宋体"/>
          <w:sz w:val="24"/>
          <w:lang w:val="zh-CN"/>
        </w:rPr>
        <w:t>语音异议</w:t>
      </w:r>
      <w:bookmarkEnd w:id="145"/>
      <w:r>
        <w:rPr>
          <w:rFonts w:hint="eastAsia" w:ascii="宋体" w:hAnsi="宋体" w:cs="宋体"/>
          <w:sz w:val="24"/>
          <w:lang w:val="zh-CN"/>
        </w:rPr>
        <w:t>、</w:t>
      </w:r>
      <w:bookmarkStart w:id="146" w:name="_Toc20745"/>
      <w:r>
        <w:rPr>
          <w:rFonts w:hint="eastAsia" w:ascii="宋体" w:hAnsi="宋体" w:cs="宋体"/>
          <w:sz w:val="24"/>
          <w:lang w:val="zh-CN"/>
        </w:rPr>
        <w:t>文字异议</w:t>
      </w:r>
      <w:bookmarkEnd w:id="146"/>
      <w:r>
        <w:rPr>
          <w:rFonts w:hint="eastAsia" w:ascii="宋体" w:hAnsi="宋体" w:cs="宋体"/>
          <w:sz w:val="24"/>
          <w:lang w:val="zh-CN"/>
        </w:rPr>
        <w:t>），</w:t>
      </w:r>
      <w:r>
        <w:rPr>
          <w:rFonts w:hint="eastAsia" w:ascii="宋体" w:hAnsi="宋体" w:cs="宋体"/>
          <w:sz w:val="24"/>
        </w:rPr>
        <w:t>采购</w:t>
      </w:r>
      <w:r>
        <w:rPr>
          <w:rFonts w:hint="eastAsia" w:ascii="宋体" w:hAnsi="宋体" w:cs="宋体"/>
          <w:sz w:val="24"/>
          <w:lang w:val="zh-CN"/>
        </w:rPr>
        <w:t>人当场作出答复，并制作记录。</w:t>
      </w:r>
    </w:p>
    <w:p>
      <w:pPr>
        <w:spacing w:line="500" w:lineRule="exact"/>
        <w:ind w:firstLine="480" w:firstLineChars="200"/>
        <w:rPr>
          <w:rFonts w:ascii="宋体" w:hAnsi="宋体" w:cs="宋体"/>
          <w:sz w:val="24"/>
          <w:lang w:val="zh-CN"/>
        </w:rPr>
      </w:pPr>
      <w:r>
        <w:rPr>
          <w:rFonts w:hint="eastAsia" w:ascii="宋体" w:hAnsi="宋体" w:cs="宋体"/>
          <w:sz w:val="24"/>
        </w:rPr>
        <w:t>5.4.2</w:t>
      </w:r>
      <w:r>
        <w:rPr>
          <w:rFonts w:hint="eastAsia" w:ascii="宋体" w:hAnsi="宋体" w:cs="宋体"/>
          <w:sz w:val="24"/>
          <w:lang w:val="zh-CN"/>
        </w:rPr>
        <w:t>开标异常处理</w:t>
      </w:r>
    </w:p>
    <w:p>
      <w:pPr>
        <w:spacing w:line="500" w:lineRule="exact"/>
        <w:ind w:firstLine="480" w:firstLineChars="200"/>
        <w:rPr>
          <w:rFonts w:ascii="宋体" w:hAnsi="宋体" w:cs="宋体"/>
          <w:sz w:val="24"/>
          <w:lang w:val="zh-CN"/>
        </w:rPr>
      </w:pPr>
      <w:r>
        <w:rPr>
          <w:rFonts w:hint="eastAsia" w:ascii="宋体" w:hAnsi="宋体" w:cs="宋体"/>
          <w:sz w:val="24"/>
          <w:lang w:val="zh-CN"/>
        </w:rPr>
        <w:t>当出现以下情况时，应对未开标的项目中止电子开标，对原有资料及信息作出妥善保密处理，并在恢复正常后及时安排时间开标：</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）系统服务器发生故障，无法访问或无法使用系统；</w:t>
      </w:r>
    </w:p>
    <w:p>
      <w:pPr>
        <w:spacing w:line="5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系统的软件或数据库出现错误，不能进行正常操作；</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）系统发现有安全漏洞，有潜在的泄密危险；</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）出现断电事故且短时间内无法恢复供电；</w:t>
      </w:r>
    </w:p>
    <w:p>
      <w:pPr>
        <w:spacing w:line="500" w:lineRule="exact"/>
        <w:ind w:firstLine="480" w:firstLineChars="200"/>
        <w:rPr>
          <w:rFonts w:ascii="宋体" w:hAnsi="宋体" w:cs="宋体"/>
          <w:sz w:val="24"/>
          <w:lang w:val="zh-CN"/>
        </w:rPr>
      </w:pPr>
      <w:r>
        <w:rPr>
          <w:rFonts w:hint="eastAsia" w:ascii="宋体" w:hAnsi="宋体" w:cs="宋体"/>
          <w:sz w:val="24"/>
        </w:rPr>
        <w:t xml:space="preserve">（5） </w:t>
      </w:r>
      <w:r>
        <w:rPr>
          <w:rFonts w:hint="eastAsia" w:ascii="宋体" w:hAnsi="宋体" w:cs="宋体"/>
          <w:sz w:val="24"/>
          <w:lang w:val="zh-CN"/>
        </w:rPr>
        <w:t>其他无法保证招投标过程正常进行的情形。</w:t>
      </w:r>
    </w:p>
    <w:p>
      <w:pPr>
        <w:spacing w:line="500" w:lineRule="exact"/>
        <w:ind w:firstLine="482" w:firstLineChars="200"/>
        <w:rPr>
          <w:rFonts w:ascii="宋体" w:hAnsi="宋体" w:cs="宋体"/>
          <w:b/>
          <w:bCs/>
          <w:sz w:val="24"/>
        </w:rPr>
      </w:pPr>
      <w:r>
        <w:rPr>
          <w:rFonts w:hint="eastAsia" w:ascii="宋体" w:hAnsi="宋体" w:cs="宋体"/>
          <w:b/>
          <w:bCs/>
          <w:sz w:val="24"/>
        </w:rPr>
        <w:t>5.</w:t>
      </w:r>
      <w:bookmarkStart w:id="147" w:name="_Toc9927"/>
      <w:bookmarkStart w:id="148" w:name="_Toc13445"/>
      <w:r>
        <w:rPr>
          <w:rFonts w:hint="eastAsia" w:ascii="宋体" w:hAnsi="宋体" w:cs="宋体"/>
          <w:b/>
          <w:bCs/>
          <w:sz w:val="24"/>
        </w:rPr>
        <w:t>5 资格审查工作</w:t>
      </w:r>
      <w:bookmarkEnd w:id="147"/>
      <w:bookmarkEnd w:id="148"/>
    </w:p>
    <w:p>
      <w:pPr>
        <w:spacing w:line="500" w:lineRule="exact"/>
        <w:ind w:firstLine="480" w:firstLineChars="200"/>
        <w:rPr>
          <w:rFonts w:ascii="宋体" w:hAnsi="宋体" w:cs="宋体"/>
          <w:sz w:val="24"/>
        </w:rPr>
      </w:pPr>
      <w:bookmarkStart w:id="149" w:name="_Toc18888"/>
      <w:bookmarkStart w:id="150" w:name="_Toc18803"/>
      <w:bookmarkStart w:id="151" w:name="_Toc18806"/>
      <w:bookmarkStart w:id="152" w:name="_Toc25275"/>
      <w:bookmarkStart w:id="153" w:name="_Toc25448"/>
      <w:bookmarkStart w:id="154" w:name="_Toc15919"/>
      <w:bookmarkStart w:id="155" w:name="_Toc22488"/>
      <w:r>
        <w:rPr>
          <w:rFonts w:hint="eastAsia" w:ascii="宋体" w:hAnsi="宋体" w:cs="宋体"/>
          <w:sz w:val="24"/>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56" w:name="_Toc6889"/>
      <w:bookmarkStart w:id="157" w:name="_Toc31294"/>
      <w:r>
        <w:rPr>
          <w:rFonts w:hint="eastAsia" w:ascii="宋体" w:hAnsi="宋体" w:eastAsia="宋体" w:cs="宋体"/>
          <w:sz w:val="24"/>
          <w:szCs w:val="24"/>
        </w:rPr>
        <w:t>6.评标</w:t>
      </w:r>
      <w:bookmarkEnd w:id="141"/>
      <w:bookmarkEnd w:id="142"/>
      <w:bookmarkEnd w:id="143"/>
      <w:bookmarkEnd w:id="144"/>
      <w:bookmarkEnd w:id="156"/>
      <w:bookmarkEnd w:id="157"/>
    </w:p>
    <w:p>
      <w:pPr>
        <w:spacing w:line="500" w:lineRule="exact"/>
        <w:ind w:firstLine="482" w:firstLineChars="200"/>
        <w:rPr>
          <w:rFonts w:ascii="宋体" w:hAnsi="宋体" w:cs="宋体"/>
          <w:b/>
          <w:bCs/>
          <w:sz w:val="24"/>
        </w:rPr>
      </w:pPr>
      <w:bookmarkStart w:id="158" w:name="_Toc426369513"/>
      <w:bookmarkStart w:id="159" w:name="_Toc403122523"/>
      <w:bookmarkStart w:id="160" w:name="_Toc279599802"/>
      <w:bookmarkStart w:id="161" w:name="_Toc274249606"/>
      <w:r>
        <w:rPr>
          <w:rFonts w:hint="eastAsia" w:ascii="宋体" w:hAnsi="宋体" w:cs="宋体"/>
          <w:b/>
          <w:bCs/>
          <w:sz w:val="24"/>
        </w:rPr>
        <w:t>6.1 评标委员会</w:t>
      </w:r>
      <w:bookmarkEnd w:id="158"/>
      <w:bookmarkEnd w:id="159"/>
      <w:bookmarkEnd w:id="160"/>
      <w:bookmarkEnd w:id="161"/>
    </w:p>
    <w:p>
      <w:pPr>
        <w:spacing w:line="500" w:lineRule="exact"/>
        <w:ind w:firstLine="480" w:firstLineChars="200"/>
        <w:rPr>
          <w:rFonts w:ascii="宋体" w:hAnsi="宋体" w:cs="宋体"/>
          <w:sz w:val="24"/>
        </w:rPr>
      </w:pPr>
      <w:r>
        <w:rPr>
          <w:rFonts w:hint="eastAsia" w:ascii="宋体" w:hAnsi="宋体" w:cs="宋体"/>
          <w:sz w:val="24"/>
        </w:rPr>
        <w:t>6.1.1  评标由采购人依法组建的评标委员会负责。评标委员会由采购人代表和评审专家组成。评标委员会成员人数以及评审专家的确定方式见供应商须知前附表。</w:t>
      </w:r>
    </w:p>
    <w:p>
      <w:pPr>
        <w:spacing w:line="500" w:lineRule="exact"/>
        <w:ind w:firstLine="480" w:firstLineChars="200"/>
        <w:rPr>
          <w:rFonts w:ascii="宋体" w:hAnsi="宋体" w:cs="宋体"/>
          <w:sz w:val="24"/>
        </w:rPr>
      </w:pPr>
      <w:r>
        <w:rPr>
          <w:rFonts w:hint="eastAsia" w:ascii="宋体" w:hAnsi="宋体" w:cs="宋体"/>
          <w:sz w:val="24"/>
        </w:rPr>
        <w:t xml:space="preserve">6.1.2  评标委员会成员有下列情形之一的，应当回避： </w:t>
      </w:r>
    </w:p>
    <w:p>
      <w:pPr>
        <w:spacing w:line="500" w:lineRule="exact"/>
        <w:ind w:firstLine="480" w:firstLineChars="200"/>
        <w:rPr>
          <w:rFonts w:ascii="宋体" w:hAnsi="宋体" w:cs="宋体"/>
          <w:sz w:val="24"/>
        </w:rPr>
      </w:pPr>
      <w:r>
        <w:rPr>
          <w:rFonts w:hint="eastAsia" w:ascii="宋体" w:hAnsi="宋体" w:cs="宋体"/>
          <w:sz w:val="24"/>
        </w:rPr>
        <w:t xml:space="preserve">（1）供应商或供应商的主要负责人的近亲属； </w:t>
      </w:r>
    </w:p>
    <w:p>
      <w:pPr>
        <w:spacing w:line="500" w:lineRule="exact"/>
        <w:ind w:firstLine="480" w:firstLineChars="200"/>
        <w:rPr>
          <w:rFonts w:ascii="宋体" w:hAnsi="宋体" w:cs="宋体"/>
          <w:sz w:val="24"/>
        </w:rPr>
      </w:pPr>
      <w:r>
        <w:rPr>
          <w:rFonts w:hint="eastAsia" w:ascii="宋体" w:hAnsi="宋体" w:cs="宋体"/>
          <w:sz w:val="24"/>
        </w:rPr>
        <w:t xml:space="preserve">（2）项目主管部门或者行政监督部门的人员； </w:t>
      </w:r>
    </w:p>
    <w:p>
      <w:pPr>
        <w:spacing w:line="500" w:lineRule="exact"/>
        <w:ind w:firstLine="480" w:firstLineChars="200"/>
        <w:rPr>
          <w:rFonts w:ascii="宋体" w:hAnsi="宋体" w:cs="宋体"/>
          <w:sz w:val="24"/>
        </w:rPr>
      </w:pPr>
      <w:r>
        <w:rPr>
          <w:rFonts w:hint="eastAsia" w:ascii="宋体" w:hAnsi="宋体" w:cs="宋体"/>
          <w:sz w:val="24"/>
        </w:rPr>
        <w:t xml:space="preserve">（3）与供应商有经济利益关系，可能影响对投标公正评审的； </w:t>
      </w:r>
    </w:p>
    <w:p>
      <w:pPr>
        <w:spacing w:line="500" w:lineRule="exact"/>
        <w:ind w:firstLine="480" w:firstLineChars="200"/>
        <w:rPr>
          <w:rFonts w:ascii="宋体" w:hAnsi="宋体" w:cs="宋体"/>
          <w:sz w:val="24"/>
        </w:rPr>
      </w:pPr>
      <w:r>
        <w:rPr>
          <w:rFonts w:hint="eastAsia" w:ascii="宋体" w:hAnsi="宋体" w:cs="宋体"/>
          <w:sz w:val="24"/>
        </w:rPr>
        <w:t xml:space="preserve">（4）曾因在招标、评标以及其他与招标投标有关活动中从事违法行为而受过行政处罚或刑事处罚的。 </w:t>
      </w:r>
    </w:p>
    <w:p>
      <w:pPr>
        <w:spacing w:line="500" w:lineRule="exact"/>
        <w:ind w:firstLine="482" w:firstLineChars="200"/>
        <w:rPr>
          <w:rFonts w:ascii="宋体" w:hAnsi="宋体" w:cs="宋体"/>
          <w:b/>
          <w:bCs/>
          <w:sz w:val="24"/>
        </w:rPr>
      </w:pPr>
      <w:bookmarkStart w:id="162" w:name="_Toc403122524"/>
      <w:bookmarkStart w:id="163" w:name="_Toc274249607"/>
      <w:bookmarkStart w:id="164" w:name="_Toc426369514"/>
      <w:bookmarkStart w:id="165" w:name="_Toc279599803"/>
      <w:r>
        <w:rPr>
          <w:rFonts w:hint="eastAsia" w:ascii="宋体" w:hAnsi="宋体" w:cs="宋体"/>
          <w:b/>
          <w:bCs/>
          <w:sz w:val="24"/>
        </w:rPr>
        <w:t>6.2 评标原则</w:t>
      </w:r>
      <w:bookmarkEnd w:id="162"/>
      <w:bookmarkEnd w:id="163"/>
      <w:bookmarkEnd w:id="164"/>
      <w:bookmarkEnd w:id="165"/>
    </w:p>
    <w:p>
      <w:pPr>
        <w:spacing w:line="500" w:lineRule="exact"/>
        <w:ind w:firstLine="480" w:firstLineChars="200"/>
        <w:rPr>
          <w:rFonts w:ascii="宋体" w:hAnsi="宋体" w:cs="宋体"/>
          <w:sz w:val="24"/>
        </w:rPr>
      </w:pPr>
      <w:r>
        <w:rPr>
          <w:rFonts w:hint="eastAsia" w:ascii="宋体" w:hAnsi="宋体" w:cs="宋体"/>
          <w:sz w:val="24"/>
        </w:rPr>
        <w:t xml:space="preserve">评标活动遵循公平、公正、科学和择优的原则。 </w:t>
      </w:r>
    </w:p>
    <w:p>
      <w:pPr>
        <w:spacing w:line="500" w:lineRule="exact"/>
        <w:ind w:firstLine="482" w:firstLineChars="200"/>
        <w:rPr>
          <w:rFonts w:ascii="宋体" w:hAnsi="宋体" w:cs="宋体"/>
          <w:sz w:val="24"/>
        </w:rPr>
      </w:pPr>
      <w:bookmarkStart w:id="166" w:name="_Toc274249608"/>
      <w:bookmarkStart w:id="167" w:name="_Toc279599804"/>
      <w:bookmarkStart w:id="168" w:name="_Toc426369515"/>
      <w:bookmarkStart w:id="169" w:name="_Toc403122525"/>
      <w:r>
        <w:rPr>
          <w:rFonts w:hint="eastAsia" w:ascii="宋体" w:hAnsi="宋体" w:cs="宋体"/>
          <w:b/>
          <w:bCs/>
          <w:sz w:val="24"/>
        </w:rPr>
        <w:t>6.3 评标</w:t>
      </w:r>
      <w:bookmarkEnd w:id="166"/>
      <w:bookmarkEnd w:id="167"/>
      <w:bookmarkEnd w:id="168"/>
      <w:bookmarkEnd w:id="169"/>
    </w:p>
    <w:p>
      <w:pPr>
        <w:spacing w:line="500" w:lineRule="exact"/>
        <w:ind w:firstLine="480" w:firstLineChars="200"/>
        <w:rPr>
          <w:rFonts w:ascii="宋体" w:hAnsi="宋体" w:cs="宋体"/>
          <w:sz w:val="24"/>
        </w:rPr>
      </w:pPr>
      <w:r>
        <w:rPr>
          <w:rFonts w:hint="eastAsia" w:ascii="宋体" w:hAnsi="宋体" w:cs="宋体"/>
          <w:sz w:val="24"/>
        </w:rPr>
        <w:t>6.3.1在评审过程中，评标委员会发现投标人有下列情形之一的，视为投标人相互串通投标，按照无效投标处理并依据法律、法规追究其相关责任。具体表现形式如下：</w:t>
      </w:r>
    </w:p>
    <w:p>
      <w:pPr>
        <w:spacing w:line="500" w:lineRule="exact"/>
        <w:ind w:firstLine="480" w:firstLineChars="200"/>
        <w:rPr>
          <w:rFonts w:ascii="宋体" w:hAnsi="宋体" w:cs="宋体"/>
          <w:sz w:val="24"/>
        </w:rPr>
      </w:pPr>
      <w:r>
        <w:rPr>
          <w:rFonts w:hint="eastAsia" w:ascii="宋体" w:hAnsi="宋体" w:cs="宋体"/>
          <w:sz w:val="24"/>
        </w:rPr>
        <w:t>（1）不同投标人的投标文件由同一单位或者个人编制；</w:t>
      </w:r>
    </w:p>
    <w:p>
      <w:pPr>
        <w:spacing w:line="500" w:lineRule="exact"/>
        <w:ind w:firstLine="480" w:firstLineChars="200"/>
        <w:rPr>
          <w:rFonts w:ascii="宋体" w:hAnsi="宋体" w:cs="宋体"/>
          <w:sz w:val="24"/>
        </w:rPr>
      </w:pPr>
      <w:r>
        <w:rPr>
          <w:rFonts w:hint="eastAsia" w:ascii="宋体" w:hAnsi="宋体" w:cs="宋体"/>
          <w:sz w:val="24"/>
        </w:rPr>
        <w:t>（2）不同投标人委托同一单位或者个人办理投标事宜；</w:t>
      </w:r>
    </w:p>
    <w:p>
      <w:pPr>
        <w:spacing w:line="500" w:lineRule="exact"/>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pPr>
        <w:spacing w:line="500" w:lineRule="exact"/>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pPr>
        <w:spacing w:line="500" w:lineRule="exact"/>
        <w:ind w:firstLine="480" w:firstLineChars="200"/>
        <w:rPr>
          <w:rFonts w:ascii="宋体" w:hAnsi="宋体" w:cs="宋体"/>
          <w:sz w:val="24"/>
        </w:rPr>
      </w:pPr>
      <w:r>
        <w:rPr>
          <w:rFonts w:hint="eastAsia" w:ascii="宋体" w:hAnsi="宋体" w:cs="宋体"/>
          <w:sz w:val="24"/>
        </w:rPr>
        <w:t>（5）不同投标人的投标文件相互混装；</w:t>
      </w:r>
    </w:p>
    <w:p>
      <w:pPr>
        <w:spacing w:line="500" w:lineRule="exact"/>
        <w:ind w:firstLine="480" w:firstLineChars="200"/>
        <w:rPr>
          <w:rFonts w:ascii="宋体" w:hAnsi="宋体" w:cs="宋体"/>
          <w:sz w:val="24"/>
        </w:rPr>
      </w:pPr>
      <w:r>
        <w:rPr>
          <w:rFonts w:hint="eastAsia" w:ascii="宋体" w:hAnsi="宋体" w:cs="宋体"/>
          <w:sz w:val="24"/>
        </w:rPr>
        <w:t>（6）有证据证明投标人与采购人、采购代理机构或者其他投标人串通的其他情形；</w:t>
      </w:r>
    </w:p>
    <w:p>
      <w:pPr>
        <w:spacing w:line="500" w:lineRule="exact"/>
        <w:ind w:firstLine="480" w:firstLineChars="200"/>
        <w:rPr>
          <w:rFonts w:ascii="宋体" w:hAnsi="宋体" w:cs="宋体"/>
          <w:sz w:val="24"/>
        </w:rPr>
      </w:pPr>
      <w:r>
        <w:rPr>
          <w:rFonts w:hint="eastAsia" w:ascii="宋体" w:hAnsi="宋体" w:cs="宋体"/>
          <w:sz w:val="24"/>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500" w:lineRule="exact"/>
        <w:ind w:firstLine="480" w:firstLineChars="200"/>
        <w:rPr>
          <w:rFonts w:ascii="宋体" w:hAnsi="宋体" w:cs="宋体"/>
          <w:sz w:val="24"/>
        </w:rPr>
      </w:pPr>
      <w:r>
        <w:rPr>
          <w:rFonts w:hint="eastAsia" w:ascii="宋体" w:hAnsi="宋体" w:cs="宋体"/>
          <w:sz w:val="24"/>
        </w:rPr>
        <w:t>6.3.3评标时，评标委员会各成员应当独立对每个投标人的投标文件进行评价，并汇总每个投标人的得分。</w:t>
      </w:r>
    </w:p>
    <w:p>
      <w:pPr>
        <w:spacing w:line="500" w:lineRule="exact"/>
        <w:ind w:firstLine="480" w:firstLineChars="200"/>
        <w:rPr>
          <w:rFonts w:ascii="宋体" w:hAnsi="宋体" w:cs="宋体"/>
          <w:sz w:val="24"/>
        </w:rPr>
      </w:pPr>
      <w:r>
        <w:rPr>
          <w:rFonts w:hint="eastAsia" w:ascii="宋体" w:hAnsi="宋体" w:cs="宋体"/>
          <w:sz w:val="24"/>
        </w:rPr>
        <w:t>评标完成后，评标委员会应当向采购人提交书面评标报告和中标候选人名单。评标委员会推荐中标候选人的人数见投标人须知前附表。</w:t>
      </w:r>
    </w:p>
    <w:p>
      <w:pPr>
        <w:spacing w:line="500" w:lineRule="exact"/>
        <w:ind w:firstLine="480" w:firstLineChars="200"/>
        <w:rPr>
          <w:rFonts w:ascii="宋体" w:hAnsi="宋体" w:cs="宋体"/>
          <w:sz w:val="24"/>
        </w:rPr>
      </w:pPr>
      <w:r>
        <w:rPr>
          <w:rFonts w:hint="eastAsia" w:ascii="宋体" w:hAnsi="宋体" w:cs="宋体"/>
          <w:sz w:val="24"/>
        </w:rPr>
        <w:t>6.3.4 评标委员会负责具体评标事务，并独立履行下列职责：</w:t>
      </w:r>
    </w:p>
    <w:p>
      <w:pPr>
        <w:spacing w:line="500" w:lineRule="exact"/>
        <w:ind w:firstLine="480" w:firstLineChars="200"/>
        <w:rPr>
          <w:rFonts w:ascii="宋体" w:hAnsi="宋体" w:cs="宋体"/>
          <w:sz w:val="24"/>
        </w:rPr>
      </w:pPr>
      <w:r>
        <w:rPr>
          <w:rFonts w:hint="eastAsia" w:ascii="宋体" w:hAnsi="宋体" w:cs="宋体"/>
          <w:sz w:val="24"/>
        </w:rPr>
        <w:t>（1）审查、评价投标文件是否符合招标文件的实质性要求；</w:t>
      </w:r>
    </w:p>
    <w:p>
      <w:pPr>
        <w:spacing w:line="500" w:lineRule="exact"/>
        <w:ind w:firstLine="480" w:firstLineChars="200"/>
        <w:rPr>
          <w:rFonts w:ascii="宋体" w:hAnsi="宋体" w:cs="宋体"/>
          <w:sz w:val="24"/>
        </w:rPr>
      </w:pPr>
      <w:r>
        <w:rPr>
          <w:rFonts w:hint="eastAsia" w:ascii="宋体" w:hAnsi="宋体" w:cs="宋体"/>
          <w:sz w:val="24"/>
        </w:rPr>
        <w:t>（2）要求投标人对投标文件有关事项作出澄清或者说明；</w:t>
      </w:r>
    </w:p>
    <w:p>
      <w:pPr>
        <w:spacing w:line="500" w:lineRule="exact"/>
        <w:ind w:firstLine="480" w:firstLineChars="200"/>
        <w:rPr>
          <w:rFonts w:ascii="宋体" w:hAnsi="宋体" w:cs="宋体"/>
          <w:sz w:val="24"/>
        </w:rPr>
      </w:pPr>
      <w:r>
        <w:rPr>
          <w:rFonts w:hint="eastAsia" w:ascii="宋体" w:hAnsi="宋体" w:cs="宋体"/>
          <w:sz w:val="24"/>
        </w:rPr>
        <w:t>（3）对投标文件进行比较和评价；</w:t>
      </w:r>
    </w:p>
    <w:p>
      <w:pPr>
        <w:spacing w:line="500" w:lineRule="exact"/>
        <w:ind w:firstLine="480" w:firstLineChars="200"/>
        <w:rPr>
          <w:rFonts w:ascii="宋体" w:hAnsi="宋体" w:cs="宋体"/>
          <w:sz w:val="24"/>
        </w:rPr>
      </w:pPr>
      <w:r>
        <w:rPr>
          <w:rFonts w:hint="eastAsia" w:ascii="宋体" w:hAnsi="宋体" w:cs="宋体"/>
          <w:sz w:val="24"/>
        </w:rPr>
        <w:t>（4）确定中标候选人名单；</w:t>
      </w:r>
    </w:p>
    <w:p>
      <w:pPr>
        <w:spacing w:line="500" w:lineRule="exact"/>
        <w:ind w:firstLine="480" w:firstLineChars="200"/>
        <w:rPr>
          <w:rFonts w:ascii="宋体" w:hAnsi="宋体" w:cs="宋体"/>
          <w:sz w:val="24"/>
        </w:rPr>
      </w:pPr>
      <w:r>
        <w:rPr>
          <w:rFonts w:hint="eastAsia" w:ascii="宋体" w:hAnsi="宋体" w:cs="宋体"/>
          <w:sz w:val="24"/>
        </w:rPr>
        <w:t>（5）向采购人、采购代理机构或者有关部门报告评标中发现的违法行为。</w:t>
      </w:r>
    </w:p>
    <w:p>
      <w:pPr>
        <w:autoSpaceDE w:val="0"/>
        <w:autoSpaceDN w:val="0"/>
        <w:adjustRightInd w:val="0"/>
        <w:spacing w:line="500" w:lineRule="exact"/>
        <w:ind w:left="237" w:right="-20"/>
        <w:jc w:val="left"/>
        <w:rPr>
          <w:rFonts w:ascii="宋体" w:hAnsi="宋体" w:cs="宋体"/>
          <w:b/>
          <w:bCs/>
          <w:spacing w:val="1"/>
          <w:kern w:val="0"/>
          <w:sz w:val="24"/>
        </w:rPr>
      </w:pPr>
      <w:r>
        <w:rPr>
          <w:rFonts w:hint="eastAsia" w:ascii="宋体" w:hAnsi="宋体" w:cs="宋体"/>
          <w:b/>
          <w:bCs/>
          <w:spacing w:val="1"/>
          <w:kern w:val="0"/>
          <w:sz w:val="24"/>
        </w:rPr>
        <w:t>6.4 废标</w:t>
      </w:r>
    </w:p>
    <w:p>
      <w:pPr>
        <w:spacing w:line="500" w:lineRule="exact"/>
        <w:ind w:firstLine="480" w:firstLineChars="200"/>
        <w:rPr>
          <w:rFonts w:ascii="宋体" w:hAnsi="宋体" w:cs="宋体"/>
          <w:sz w:val="24"/>
        </w:rPr>
      </w:pPr>
      <w:r>
        <w:rPr>
          <w:rFonts w:hint="eastAsia" w:ascii="宋体" w:hAnsi="宋体" w:cs="宋体"/>
          <w:sz w:val="24"/>
        </w:rPr>
        <w:t>招标采购中，出现下列情形之一的，应予废标：</w:t>
      </w:r>
    </w:p>
    <w:p>
      <w:pPr>
        <w:spacing w:line="500" w:lineRule="exact"/>
        <w:ind w:firstLine="480" w:firstLineChars="200"/>
        <w:rPr>
          <w:rFonts w:ascii="宋体" w:hAnsi="宋体" w:cs="宋体"/>
          <w:sz w:val="24"/>
        </w:rPr>
      </w:pPr>
      <w:r>
        <w:rPr>
          <w:rFonts w:hint="eastAsia" w:ascii="宋体" w:hAnsi="宋体" w:cs="宋体"/>
          <w:sz w:val="24"/>
        </w:rPr>
        <w:t>（1）符合专业条件的投标人或者对招标文件作实质响应的投标人不足三家的；</w:t>
      </w:r>
    </w:p>
    <w:p>
      <w:pPr>
        <w:spacing w:line="500" w:lineRule="exact"/>
        <w:ind w:firstLine="480" w:firstLineChars="200"/>
        <w:rPr>
          <w:rFonts w:ascii="宋体" w:hAnsi="宋体" w:cs="宋体"/>
          <w:sz w:val="24"/>
        </w:rPr>
      </w:pPr>
      <w:r>
        <w:rPr>
          <w:rFonts w:hint="eastAsia" w:ascii="宋体" w:hAnsi="宋体" w:cs="宋体"/>
          <w:sz w:val="24"/>
        </w:rPr>
        <w:t>（2）出现影响采购公正的违法、违规行为的；</w:t>
      </w:r>
    </w:p>
    <w:p>
      <w:pPr>
        <w:spacing w:line="500" w:lineRule="exact"/>
        <w:ind w:firstLine="480" w:firstLineChars="200"/>
        <w:rPr>
          <w:rFonts w:ascii="宋体" w:hAnsi="宋体" w:cs="宋体"/>
          <w:sz w:val="24"/>
        </w:rPr>
      </w:pPr>
      <w:r>
        <w:rPr>
          <w:rFonts w:hint="eastAsia" w:ascii="宋体" w:hAnsi="宋体" w:cs="宋体"/>
          <w:sz w:val="24"/>
        </w:rPr>
        <w:t>（3）投标人的报价均超过了采购预算，采购人不能支付的；</w:t>
      </w:r>
    </w:p>
    <w:p>
      <w:pPr>
        <w:spacing w:line="500" w:lineRule="exact"/>
        <w:ind w:firstLine="480" w:firstLineChars="200"/>
        <w:rPr>
          <w:rFonts w:ascii="宋体" w:hAnsi="宋体" w:cs="宋体"/>
          <w:sz w:val="24"/>
        </w:rPr>
      </w:pPr>
      <w:r>
        <w:rPr>
          <w:rFonts w:hint="eastAsia" w:ascii="宋体" w:hAnsi="宋体" w:cs="宋体"/>
          <w:sz w:val="24"/>
        </w:rPr>
        <w:t>（4）因重大变故，采购任务取消的。废标后，采购人应当将废标理由通知所有投标人。</w:t>
      </w:r>
    </w:p>
    <w:p>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70" w:name="_Toc403122526"/>
      <w:bookmarkStart w:id="171" w:name="_Toc26823"/>
      <w:bookmarkStart w:id="172" w:name="_Toc26569"/>
      <w:bookmarkStart w:id="173" w:name="_Toc22968"/>
      <w:bookmarkStart w:id="174" w:name="_Toc17811"/>
      <w:bookmarkStart w:id="175" w:name="_Toc426369516"/>
      <w:r>
        <w:rPr>
          <w:rFonts w:hint="eastAsia" w:ascii="宋体" w:hAnsi="宋体" w:eastAsia="宋体" w:cs="宋体"/>
          <w:sz w:val="24"/>
          <w:szCs w:val="24"/>
        </w:rPr>
        <w:t>7. 合同授予</w:t>
      </w:r>
      <w:bookmarkEnd w:id="170"/>
      <w:bookmarkEnd w:id="171"/>
      <w:bookmarkEnd w:id="172"/>
      <w:bookmarkEnd w:id="173"/>
      <w:bookmarkEnd w:id="174"/>
      <w:bookmarkEnd w:id="175"/>
    </w:p>
    <w:p>
      <w:pPr>
        <w:spacing w:line="500" w:lineRule="exact"/>
        <w:ind w:firstLine="482" w:firstLineChars="200"/>
        <w:rPr>
          <w:rFonts w:ascii="宋体" w:hAnsi="宋体" w:cs="宋体"/>
          <w:b/>
          <w:bCs/>
          <w:sz w:val="24"/>
        </w:rPr>
      </w:pPr>
      <w:bookmarkStart w:id="176" w:name="_Toc426369517"/>
      <w:bookmarkStart w:id="177" w:name="_Toc403122527"/>
      <w:bookmarkStart w:id="178" w:name="_Toc279599806"/>
      <w:bookmarkStart w:id="179" w:name="_Toc274249610"/>
      <w:r>
        <w:rPr>
          <w:rFonts w:hint="eastAsia" w:ascii="宋体" w:hAnsi="宋体" w:cs="宋体"/>
          <w:b/>
          <w:bCs/>
          <w:sz w:val="24"/>
        </w:rPr>
        <w:t>7.1 定标方式</w:t>
      </w:r>
      <w:bookmarkEnd w:id="176"/>
      <w:bookmarkEnd w:id="177"/>
      <w:bookmarkEnd w:id="178"/>
      <w:bookmarkEnd w:id="179"/>
    </w:p>
    <w:p>
      <w:pPr>
        <w:spacing w:line="500" w:lineRule="exact"/>
        <w:ind w:firstLine="480" w:firstLineChars="200"/>
        <w:rPr>
          <w:rFonts w:ascii="宋体" w:hAnsi="宋体" w:cs="宋体"/>
          <w:sz w:val="24"/>
        </w:rPr>
      </w:pPr>
      <w:r>
        <w:rPr>
          <w:rFonts w:hint="eastAsia" w:ascii="宋体" w:hAnsi="宋体" w:cs="宋体"/>
          <w:sz w:val="24"/>
        </w:rPr>
        <w:t>7.1.1采购人依据评标委员会推荐的中标候选人确定中标人，评标委员会推荐中标人候选人的人数见供应商须知前附表。</w:t>
      </w:r>
    </w:p>
    <w:p>
      <w:pPr>
        <w:spacing w:line="500" w:lineRule="exact"/>
        <w:ind w:firstLine="480" w:firstLineChars="200"/>
        <w:rPr>
          <w:rFonts w:ascii="宋体" w:hAnsi="宋体" w:cs="宋体"/>
          <w:sz w:val="24"/>
        </w:rPr>
      </w:pPr>
      <w:r>
        <w:rPr>
          <w:rFonts w:hint="eastAsia" w:ascii="宋体" w:hAnsi="宋体" w:cs="宋体"/>
          <w:sz w:val="24"/>
        </w:rPr>
        <w:t>7.1.2 中标或者成交投标人拒绝与采购人签订合同的，采购人可以按照评标报告推荐的中标或者成交候选人名单排序，确定下一候选人为中标或者成交投标人，也可以重新开展政府采购活动。</w:t>
      </w:r>
    </w:p>
    <w:p>
      <w:pPr>
        <w:spacing w:line="500" w:lineRule="exact"/>
        <w:ind w:firstLine="482" w:firstLineChars="200"/>
        <w:rPr>
          <w:rFonts w:ascii="宋体" w:hAnsi="宋体" w:cs="宋体"/>
          <w:b/>
          <w:bCs/>
          <w:sz w:val="24"/>
        </w:rPr>
      </w:pPr>
      <w:bookmarkStart w:id="180" w:name="_Toc279599807"/>
      <w:bookmarkStart w:id="181" w:name="_Toc403122528"/>
      <w:bookmarkStart w:id="182" w:name="_Toc274249611"/>
      <w:bookmarkStart w:id="183" w:name="_Toc426369518"/>
      <w:r>
        <w:rPr>
          <w:rFonts w:hint="eastAsia" w:ascii="宋体" w:hAnsi="宋体" w:cs="宋体"/>
          <w:b/>
          <w:bCs/>
          <w:sz w:val="24"/>
        </w:rPr>
        <w:t>7.2 中标通知</w:t>
      </w:r>
      <w:bookmarkEnd w:id="180"/>
      <w:bookmarkEnd w:id="181"/>
      <w:bookmarkEnd w:id="182"/>
      <w:bookmarkEnd w:id="183"/>
    </w:p>
    <w:p>
      <w:pPr>
        <w:spacing w:line="500" w:lineRule="exact"/>
        <w:ind w:firstLine="480" w:firstLineChars="200"/>
        <w:rPr>
          <w:rFonts w:ascii="宋体" w:hAnsi="宋体" w:cs="宋体"/>
          <w:sz w:val="24"/>
        </w:rPr>
      </w:pPr>
      <w:r>
        <w:rPr>
          <w:rFonts w:hint="eastAsia" w:ascii="宋体" w:hAnsi="宋体" w:cs="宋体"/>
          <w:sz w:val="24"/>
        </w:rPr>
        <w:t xml:space="preserve">7.2.1 在本章第3.3款规定的投标有效期内，采购人以书面形式向中标人发出中标通知书，同时将中标结果通知未中标的投标人。 </w:t>
      </w:r>
    </w:p>
    <w:p>
      <w:pPr>
        <w:spacing w:line="500" w:lineRule="exact"/>
        <w:ind w:firstLine="480" w:firstLineChars="200"/>
        <w:rPr>
          <w:rFonts w:ascii="宋体" w:hAnsi="宋体" w:cs="宋体"/>
          <w:sz w:val="24"/>
        </w:rPr>
      </w:pPr>
      <w:r>
        <w:rPr>
          <w:rFonts w:hint="eastAsia" w:ascii="宋体" w:hAnsi="宋体" w:cs="宋体"/>
          <w:sz w:val="24"/>
        </w:rPr>
        <w:t>7.2.2中标人在领取中标通知书后应及时到相关部门办理中标后的备案手续。</w:t>
      </w:r>
    </w:p>
    <w:p>
      <w:pPr>
        <w:spacing w:line="500" w:lineRule="exact"/>
        <w:ind w:firstLine="482" w:firstLineChars="200"/>
        <w:rPr>
          <w:rFonts w:ascii="宋体" w:hAnsi="宋体" w:cs="宋体"/>
          <w:b/>
          <w:bCs/>
          <w:sz w:val="24"/>
        </w:rPr>
      </w:pPr>
      <w:bookmarkStart w:id="184" w:name="_Toc279599808"/>
      <w:bookmarkStart w:id="185" w:name="_Toc311550376"/>
      <w:bookmarkStart w:id="186" w:name="_Toc274249612"/>
      <w:bookmarkStart w:id="187" w:name="_Toc403122529"/>
      <w:bookmarkStart w:id="188" w:name="_Toc426369519"/>
      <w:r>
        <w:rPr>
          <w:rFonts w:hint="eastAsia" w:ascii="宋体" w:hAnsi="宋体" w:cs="宋体"/>
          <w:b/>
          <w:bCs/>
          <w:sz w:val="24"/>
        </w:rPr>
        <w:t>7.3履约</w:t>
      </w:r>
      <w:bookmarkEnd w:id="184"/>
      <w:bookmarkEnd w:id="185"/>
      <w:bookmarkEnd w:id="186"/>
      <w:r>
        <w:rPr>
          <w:rFonts w:hint="eastAsia" w:ascii="宋体" w:hAnsi="宋体" w:cs="宋体"/>
          <w:b/>
          <w:bCs/>
          <w:sz w:val="24"/>
        </w:rPr>
        <w:t>保证金</w:t>
      </w:r>
      <w:bookmarkEnd w:id="187"/>
      <w:bookmarkEnd w:id="188"/>
    </w:p>
    <w:p>
      <w:pPr>
        <w:spacing w:line="500" w:lineRule="exact"/>
        <w:ind w:firstLine="480" w:firstLineChars="200"/>
        <w:rPr>
          <w:rFonts w:ascii="宋体" w:hAnsi="宋体" w:cs="宋体"/>
          <w:sz w:val="24"/>
        </w:rPr>
      </w:pPr>
      <w:r>
        <w:rPr>
          <w:rFonts w:hint="eastAsia" w:ascii="宋体" w:hAnsi="宋体" w:cs="宋体"/>
          <w:sz w:val="24"/>
        </w:rPr>
        <w:t>7.3.1履约保证金：无</w:t>
      </w:r>
    </w:p>
    <w:p>
      <w:pPr>
        <w:spacing w:line="500" w:lineRule="exact"/>
        <w:ind w:firstLine="480" w:firstLineChars="200"/>
        <w:rPr>
          <w:rFonts w:ascii="宋体" w:hAnsi="宋体" w:cs="宋体"/>
          <w:sz w:val="24"/>
        </w:rPr>
      </w:pPr>
      <w:r>
        <w:rPr>
          <w:rFonts w:hint="eastAsia" w:ascii="宋体" w:hAnsi="宋体" w:cs="宋体"/>
          <w:sz w:val="24"/>
        </w:rPr>
        <w:t>7.3.2投标保证金：无</w:t>
      </w:r>
    </w:p>
    <w:p>
      <w:pPr>
        <w:spacing w:line="500" w:lineRule="exact"/>
        <w:ind w:firstLine="482" w:firstLineChars="200"/>
        <w:rPr>
          <w:rFonts w:ascii="宋体" w:hAnsi="宋体" w:cs="宋体"/>
          <w:b/>
          <w:bCs/>
          <w:sz w:val="24"/>
        </w:rPr>
      </w:pPr>
      <w:bookmarkStart w:id="189" w:name="_Toc279599809"/>
      <w:bookmarkStart w:id="190" w:name="_Toc426369520"/>
      <w:bookmarkStart w:id="191" w:name="_Toc403122530"/>
      <w:bookmarkStart w:id="192" w:name="_Toc274249613"/>
      <w:r>
        <w:rPr>
          <w:rFonts w:hint="eastAsia" w:ascii="宋体" w:hAnsi="宋体" w:cs="宋体"/>
          <w:b/>
          <w:bCs/>
          <w:sz w:val="24"/>
        </w:rPr>
        <w:t>7.4 签订合同</w:t>
      </w:r>
      <w:bookmarkEnd w:id="189"/>
      <w:bookmarkEnd w:id="190"/>
      <w:bookmarkEnd w:id="191"/>
      <w:bookmarkEnd w:id="192"/>
    </w:p>
    <w:p>
      <w:pPr>
        <w:spacing w:line="500" w:lineRule="exact"/>
        <w:ind w:firstLine="480" w:firstLineChars="200"/>
        <w:rPr>
          <w:rFonts w:ascii="宋体" w:hAnsi="宋体" w:cs="宋体"/>
          <w:sz w:val="24"/>
        </w:rPr>
      </w:pPr>
      <w:r>
        <w:rPr>
          <w:rFonts w:hint="eastAsia" w:ascii="宋体" w:hAnsi="宋体" w:cs="宋体"/>
          <w:sz w:val="24"/>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500" w:lineRule="exact"/>
        <w:ind w:firstLine="480" w:firstLineChars="200"/>
        <w:rPr>
          <w:rFonts w:ascii="宋体" w:hAnsi="宋体" w:cs="宋体"/>
          <w:sz w:val="24"/>
        </w:rPr>
      </w:pPr>
      <w:r>
        <w:rPr>
          <w:rFonts w:hint="eastAsia" w:ascii="宋体" w:hAnsi="宋体" w:cs="宋体"/>
          <w:sz w:val="24"/>
        </w:rPr>
        <w:t>7.4.2 发出中标通知书后，采购人无正当理由拒签合同的，给中标人造成损失的，还应当赔偿损失。</w:t>
      </w:r>
    </w:p>
    <w:p>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93" w:name="_Toc10541"/>
      <w:bookmarkStart w:id="194" w:name="_Toc10417"/>
      <w:bookmarkStart w:id="195" w:name="_Toc10012"/>
      <w:bookmarkStart w:id="196" w:name="_Toc426369521"/>
      <w:bookmarkStart w:id="197" w:name="_Toc403122531"/>
      <w:bookmarkStart w:id="198" w:name="_Toc30009"/>
      <w:r>
        <w:rPr>
          <w:rFonts w:hint="eastAsia" w:ascii="宋体" w:hAnsi="宋体" w:eastAsia="宋体" w:cs="宋体"/>
          <w:sz w:val="24"/>
          <w:szCs w:val="24"/>
        </w:rPr>
        <w:t>8. 重新招标</w:t>
      </w:r>
      <w:bookmarkEnd w:id="193"/>
      <w:bookmarkEnd w:id="194"/>
      <w:bookmarkEnd w:id="195"/>
      <w:bookmarkEnd w:id="196"/>
      <w:bookmarkEnd w:id="197"/>
      <w:bookmarkEnd w:id="198"/>
    </w:p>
    <w:p>
      <w:pPr>
        <w:spacing w:line="500" w:lineRule="exact"/>
        <w:ind w:firstLine="482" w:firstLineChars="200"/>
        <w:rPr>
          <w:rFonts w:ascii="宋体" w:hAnsi="宋体" w:cs="宋体"/>
          <w:b/>
          <w:bCs/>
          <w:sz w:val="24"/>
        </w:rPr>
      </w:pPr>
      <w:bookmarkStart w:id="199" w:name="_Toc403122532"/>
      <w:bookmarkStart w:id="200" w:name="_Toc426369522"/>
      <w:bookmarkStart w:id="201" w:name="_Toc279599811"/>
      <w:bookmarkStart w:id="202" w:name="_Toc274249615"/>
      <w:r>
        <w:rPr>
          <w:rFonts w:hint="eastAsia" w:ascii="宋体" w:hAnsi="宋体" w:cs="宋体"/>
          <w:b/>
          <w:bCs/>
          <w:sz w:val="24"/>
        </w:rPr>
        <w:t>8.1 重新招标</w:t>
      </w:r>
      <w:bookmarkEnd w:id="199"/>
      <w:bookmarkEnd w:id="200"/>
      <w:bookmarkEnd w:id="201"/>
      <w:bookmarkEnd w:id="202"/>
    </w:p>
    <w:p>
      <w:pPr>
        <w:spacing w:line="500" w:lineRule="exact"/>
        <w:ind w:firstLine="480" w:firstLineChars="200"/>
        <w:rPr>
          <w:rFonts w:ascii="宋体" w:hAnsi="宋体" w:cs="宋体"/>
          <w:sz w:val="24"/>
        </w:rPr>
      </w:pPr>
      <w:r>
        <w:rPr>
          <w:rFonts w:hint="eastAsia" w:ascii="宋体" w:hAnsi="宋体" w:cs="宋体"/>
          <w:sz w:val="24"/>
        </w:rPr>
        <w:t xml:space="preserve">有下列情形之一的，采购人将重新招标： </w:t>
      </w:r>
    </w:p>
    <w:p>
      <w:pPr>
        <w:spacing w:line="500" w:lineRule="exact"/>
        <w:ind w:firstLine="480" w:firstLineChars="200"/>
        <w:rPr>
          <w:rFonts w:ascii="宋体" w:hAnsi="宋体" w:cs="宋体"/>
          <w:sz w:val="24"/>
        </w:rPr>
      </w:pPr>
      <w:r>
        <w:rPr>
          <w:rFonts w:hint="eastAsia" w:ascii="宋体" w:hAnsi="宋体" w:cs="宋体"/>
          <w:sz w:val="24"/>
        </w:rPr>
        <w:t xml:space="preserve">（1）投标截止时间止，供应商少于3个的； </w:t>
      </w:r>
    </w:p>
    <w:p>
      <w:pPr>
        <w:spacing w:line="500" w:lineRule="exact"/>
        <w:ind w:firstLine="480" w:firstLineChars="200"/>
        <w:rPr>
          <w:rFonts w:ascii="宋体" w:hAnsi="宋体" w:cs="宋体"/>
          <w:sz w:val="24"/>
        </w:rPr>
      </w:pPr>
      <w:r>
        <w:rPr>
          <w:rFonts w:hint="eastAsia" w:ascii="宋体" w:hAnsi="宋体" w:cs="宋体"/>
          <w:sz w:val="24"/>
        </w:rPr>
        <w:t xml:space="preserve">（2）经评标委员会评审后否决所有投标的。 </w:t>
      </w:r>
    </w:p>
    <w:p>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203" w:name="_Toc27398"/>
      <w:bookmarkStart w:id="204" w:name="_Toc3760"/>
      <w:bookmarkStart w:id="205" w:name="_Toc403122533"/>
      <w:bookmarkStart w:id="206" w:name="_Toc426369523"/>
      <w:bookmarkStart w:id="207" w:name="_Toc10372"/>
      <w:bookmarkStart w:id="208" w:name="_Toc21696"/>
      <w:r>
        <w:rPr>
          <w:rFonts w:hint="eastAsia" w:ascii="宋体" w:hAnsi="宋体" w:eastAsia="宋体" w:cs="宋体"/>
          <w:sz w:val="24"/>
          <w:szCs w:val="24"/>
        </w:rPr>
        <w:t>9. 纪律和监督</w:t>
      </w:r>
      <w:bookmarkEnd w:id="203"/>
      <w:bookmarkEnd w:id="204"/>
      <w:bookmarkEnd w:id="205"/>
      <w:bookmarkEnd w:id="206"/>
      <w:bookmarkEnd w:id="207"/>
      <w:bookmarkEnd w:id="208"/>
    </w:p>
    <w:p>
      <w:pPr>
        <w:spacing w:line="500" w:lineRule="exact"/>
        <w:ind w:firstLine="482" w:firstLineChars="200"/>
        <w:rPr>
          <w:rFonts w:ascii="宋体" w:hAnsi="宋体" w:cs="宋体"/>
          <w:b/>
          <w:bCs/>
          <w:sz w:val="24"/>
        </w:rPr>
      </w:pPr>
      <w:bookmarkStart w:id="209" w:name="_Toc274249618"/>
      <w:bookmarkStart w:id="210" w:name="_Toc403122534"/>
      <w:bookmarkStart w:id="211" w:name="_Toc426369524"/>
      <w:bookmarkStart w:id="212" w:name="_Toc279599814"/>
      <w:r>
        <w:rPr>
          <w:rFonts w:hint="eastAsia" w:ascii="宋体" w:hAnsi="宋体" w:cs="宋体"/>
          <w:b/>
          <w:bCs/>
          <w:sz w:val="24"/>
        </w:rPr>
        <w:t>9.1 对采购人的纪律要求</w:t>
      </w:r>
      <w:bookmarkEnd w:id="209"/>
      <w:bookmarkEnd w:id="210"/>
      <w:bookmarkEnd w:id="211"/>
      <w:bookmarkEnd w:id="212"/>
    </w:p>
    <w:p>
      <w:pPr>
        <w:spacing w:line="500" w:lineRule="exact"/>
        <w:ind w:firstLine="480" w:firstLineChars="200"/>
        <w:rPr>
          <w:rFonts w:ascii="宋体" w:hAnsi="宋体" w:cs="宋体"/>
          <w:sz w:val="24"/>
        </w:rPr>
      </w:pPr>
      <w:r>
        <w:rPr>
          <w:rFonts w:hint="eastAsia" w:ascii="宋体" w:hAnsi="宋体" w:cs="宋体"/>
          <w:sz w:val="24"/>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宋体" w:hAnsi="宋体" w:cs="宋体"/>
          <w:b/>
          <w:bCs/>
          <w:sz w:val="24"/>
        </w:rPr>
      </w:pPr>
      <w:bookmarkStart w:id="213" w:name="_Toc274249619"/>
      <w:bookmarkStart w:id="214" w:name="_Toc279599815"/>
      <w:bookmarkStart w:id="215" w:name="_Toc426369525"/>
      <w:bookmarkStart w:id="216" w:name="_Toc403122535"/>
      <w:r>
        <w:rPr>
          <w:rFonts w:hint="eastAsia" w:ascii="宋体" w:hAnsi="宋体" w:cs="宋体"/>
          <w:b/>
          <w:bCs/>
          <w:sz w:val="24"/>
        </w:rPr>
        <w:t>9.2 对投标人的纪律要求</w:t>
      </w:r>
      <w:bookmarkEnd w:id="213"/>
      <w:bookmarkEnd w:id="214"/>
      <w:bookmarkEnd w:id="215"/>
      <w:bookmarkEnd w:id="216"/>
    </w:p>
    <w:p>
      <w:pPr>
        <w:spacing w:line="500" w:lineRule="exact"/>
        <w:ind w:firstLine="480" w:firstLineChars="200"/>
        <w:rPr>
          <w:rFonts w:ascii="宋体" w:hAnsi="宋体" w:cs="宋体"/>
          <w:sz w:val="24"/>
        </w:rPr>
      </w:pPr>
      <w:r>
        <w:rPr>
          <w:rFonts w:hint="eastAsia" w:ascii="宋体" w:hAnsi="宋体" w:cs="宋体"/>
          <w:sz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宋体" w:hAnsi="宋体" w:cs="宋体"/>
          <w:b/>
          <w:bCs/>
          <w:sz w:val="24"/>
        </w:rPr>
      </w:pPr>
      <w:bookmarkStart w:id="217" w:name="_Toc274249620"/>
      <w:bookmarkStart w:id="218" w:name="_Toc279599816"/>
      <w:bookmarkStart w:id="219" w:name="_Toc426369526"/>
      <w:bookmarkStart w:id="220" w:name="_Toc403122536"/>
      <w:r>
        <w:rPr>
          <w:rFonts w:hint="eastAsia" w:ascii="宋体" w:hAnsi="宋体" w:cs="宋体"/>
          <w:b/>
          <w:bCs/>
          <w:sz w:val="24"/>
        </w:rPr>
        <w:t>9.3 对评标委员会成员的纪律要求</w:t>
      </w:r>
      <w:bookmarkEnd w:id="217"/>
      <w:bookmarkEnd w:id="218"/>
      <w:bookmarkEnd w:id="219"/>
      <w:bookmarkEnd w:id="220"/>
    </w:p>
    <w:p>
      <w:pPr>
        <w:spacing w:line="500" w:lineRule="exact"/>
        <w:ind w:firstLine="480" w:firstLineChars="200"/>
        <w:rPr>
          <w:rFonts w:ascii="宋体" w:hAnsi="宋体" w:cs="宋体"/>
          <w:sz w:val="24"/>
        </w:rPr>
      </w:pPr>
      <w:r>
        <w:rPr>
          <w:rFonts w:hint="eastAsia" w:ascii="宋体" w:hAnsi="宋体" w:cs="宋体"/>
          <w:sz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宋体" w:hAnsi="宋体" w:cs="宋体"/>
          <w:b/>
          <w:bCs/>
          <w:sz w:val="24"/>
        </w:rPr>
      </w:pPr>
      <w:bookmarkStart w:id="221" w:name="_Toc274249621"/>
      <w:bookmarkStart w:id="222" w:name="_Toc279599817"/>
      <w:bookmarkStart w:id="223" w:name="_Toc426369527"/>
      <w:bookmarkStart w:id="224" w:name="_Toc403122537"/>
      <w:r>
        <w:rPr>
          <w:rFonts w:hint="eastAsia" w:ascii="宋体" w:hAnsi="宋体" w:cs="宋体"/>
          <w:b/>
          <w:bCs/>
          <w:sz w:val="24"/>
        </w:rPr>
        <w:t>9.4 对与评标活动有关的工作人员的纪律要求</w:t>
      </w:r>
      <w:bookmarkEnd w:id="221"/>
      <w:bookmarkEnd w:id="222"/>
      <w:bookmarkEnd w:id="223"/>
      <w:bookmarkEnd w:id="224"/>
    </w:p>
    <w:p>
      <w:pPr>
        <w:spacing w:line="500" w:lineRule="exact"/>
        <w:ind w:firstLine="480" w:firstLineChars="200"/>
        <w:rPr>
          <w:rFonts w:ascii="宋体" w:hAnsi="宋体" w:cs="宋体"/>
          <w:sz w:val="24"/>
        </w:rPr>
      </w:pPr>
      <w:r>
        <w:rPr>
          <w:rFonts w:hint="eastAsia" w:ascii="宋体" w:hAnsi="宋体" w:cs="宋体"/>
          <w:sz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宋体" w:hAnsi="宋体" w:cs="宋体"/>
          <w:b/>
          <w:bCs/>
          <w:sz w:val="24"/>
        </w:rPr>
      </w:pPr>
      <w:bookmarkStart w:id="225" w:name="_Toc403122538"/>
      <w:bookmarkStart w:id="226" w:name="_Toc426369528"/>
      <w:bookmarkStart w:id="227" w:name="_Toc274249622"/>
      <w:bookmarkStart w:id="228" w:name="_Toc279599818"/>
      <w:r>
        <w:rPr>
          <w:rFonts w:hint="eastAsia" w:ascii="宋体" w:hAnsi="宋体" w:cs="宋体"/>
          <w:b/>
          <w:bCs/>
          <w:sz w:val="24"/>
        </w:rPr>
        <w:t>9.5 投诉</w:t>
      </w:r>
      <w:bookmarkEnd w:id="225"/>
      <w:bookmarkEnd w:id="226"/>
      <w:bookmarkEnd w:id="227"/>
      <w:bookmarkEnd w:id="228"/>
    </w:p>
    <w:p>
      <w:pPr>
        <w:spacing w:line="500" w:lineRule="exact"/>
        <w:ind w:firstLine="480" w:firstLineChars="200"/>
        <w:rPr>
          <w:rFonts w:ascii="宋体" w:hAnsi="宋体" w:cs="宋体"/>
          <w:sz w:val="24"/>
        </w:rPr>
      </w:pPr>
      <w:r>
        <w:rPr>
          <w:rFonts w:hint="eastAsia" w:ascii="宋体" w:hAnsi="宋体" w:cs="宋体"/>
          <w:sz w:val="24"/>
        </w:rPr>
        <w:t xml:space="preserve">供应商和其他利害关系人认为本次招标活动违反法律、法规和规章规定的，有权向有关行政监督部门投诉。 </w:t>
      </w:r>
    </w:p>
    <w:p>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229" w:name="_Toc16026"/>
      <w:bookmarkStart w:id="230" w:name="_Toc25080"/>
      <w:bookmarkStart w:id="231" w:name="_Toc13281"/>
      <w:bookmarkStart w:id="232" w:name="_Toc10880"/>
      <w:bookmarkStart w:id="233" w:name="_Toc426369529"/>
      <w:bookmarkStart w:id="234" w:name="_Toc403122539"/>
      <w:r>
        <w:rPr>
          <w:rFonts w:hint="eastAsia" w:ascii="宋体" w:hAnsi="宋体" w:eastAsia="宋体" w:cs="宋体"/>
          <w:sz w:val="24"/>
          <w:szCs w:val="24"/>
        </w:rPr>
        <w:t>10. 需要补充的其他内容</w:t>
      </w:r>
      <w:bookmarkEnd w:id="229"/>
      <w:bookmarkEnd w:id="230"/>
      <w:bookmarkEnd w:id="231"/>
      <w:bookmarkEnd w:id="232"/>
      <w:bookmarkEnd w:id="233"/>
      <w:bookmarkEnd w:id="234"/>
    </w:p>
    <w:p>
      <w:pPr>
        <w:autoSpaceDE w:val="0"/>
        <w:autoSpaceDN w:val="0"/>
        <w:adjustRightInd w:val="0"/>
        <w:spacing w:line="50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500" w:lineRule="exact"/>
        <w:ind w:left="17" w:leftChars="8" w:firstLine="480" w:firstLineChars="200"/>
        <w:jc w:val="left"/>
        <w:rPr>
          <w:rFonts w:ascii="宋体" w:hAnsi="宋体" w:cs="宋体"/>
          <w:sz w:val="24"/>
        </w:rPr>
      </w:pPr>
      <w:r>
        <w:rPr>
          <w:rFonts w:hint="eastAsia" w:ascii="宋体" w:hAnsi="宋体" w:cs="宋体"/>
          <w:sz w:val="24"/>
        </w:rPr>
        <w:t>（1）无论投标结果如何，投标人应自行承担所有参与投标的全部费用，采购人和采购代理机构在任何情况下均无义务和责任承担上述费用。</w:t>
      </w:r>
    </w:p>
    <w:p>
      <w:pPr>
        <w:autoSpaceDE w:val="0"/>
        <w:autoSpaceDN w:val="0"/>
        <w:adjustRightInd w:val="0"/>
        <w:spacing w:line="500" w:lineRule="exact"/>
        <w:ind w:firstLine="420"/>
        <w:jc w:val="left"/>
        <w:rPr>
          <w:rFonts w:ascii="宋体" w:hAnsi="宋体" w:cs="宋体"/>
          <w:sz w:val="24"/>
        </w:rPr>
      </w:pPr>
      <w:r>
        <w:rPr>
          <w:rFonts w:hint="eastAsia" w:ascii="宋体" w:hAnsi="宋体" w:cs="宋体"/>
          <w:sz w:val="24"/>
        </w:rPr>
        <w:t>（2）招标代理服务费由中标人支付。</w:t>
      </w:r>
    </w:p>
    <w:p>
      <w:pPr>
        <w:autoSpaceDE w:val="0"/>
        <w:autoSpaceDN w:val="0"/>
        <w:adjustRightInd w:val="0"/>
        <w:spacing w:line="500" w:lineRule="exact"/>
        <w:ind w:firstLine="420"/>
        <w:jc w:val="left"/>
        <w:rPr>
          <w:rFonts w:ascii="宋体" w:hAnsi="宋体" w:cs="宋体"/>
          <w:sz w:val="24"/>
        </w:rPr>
      </w:pPr>
      <w:r>
        <w:rPr>
          <w:rFonts w:hint="eastAsia" w:ascii="宋体" w:hAnsi="宋体" w:cs="宋体"/>
          <w:sz w:val="24"/>
        </w:rPr>
        <w:t>（3）供应商与采购人签订合同后，将合同报采购代理机构备案。</w:t>
      </w:r>
    </w:p>
    <w:p>
      <w:pPr>
        <w:pStyle w:val="36"/>
        <w:spacing w:line="500" w:lineRule="exact"/>
        <w:ind w:firstLine="482" w:firstLineChars="200"/>
        <w:rPr>
          <w:rFonts w:ascii="宋体" w:hAnsi="宋体" w:cs="宋体"/>
          <w:b/>
          <w:bCs/>
          <w:kern w:val="2"/>
          <w:sz w:val="24"/>
        </w:rPr>
      </w:pPr>
      <w:r>
        <w:rPr>
          <w:rFonts w:hint="eastAsia" w:ascii="宋体" w:hAnsi="宋体" w:cs="宋体"/>
          <w:b/>
          <w:bCs/>
          <w:kern w:val="2"/>
          <w:sz w:val="24"/>
        </w:rPr>
        <w:t>10.2本招标文件未尽事宜，按《中华人民共和国政府采购法》等法律法规的有关规定执行。</w:t>
      </w:r>
    </w:p>
    <w:p>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
        <w:numPr>
          <w:ilvl w:val="0"/>
          <w:numId w:val="5"/>
        </w:numPr>
        <w:spacing w:line="500" w:lineRule="exact"/>
        <w:rPr>
          <w:sz w:val="32"/>
          <w:szCs w:val="32"/>
        </w:rPr>
      </w:pPr>
      <w:bookmarkStart w:id="235" w:name="_Toc28433"/>
      <w:bookmarkStart w:id="236" w:name="_Toc426369530"/>
      <w:bookmarkStart w:id="237" w:name="_Toc403122540"/>
      <w:bookmarkStart w:id="238" w:name="_Toc8251"/>
      <w:bookmarkStart w:id="239" w:name="_Toc25260"/>
      <w:r>
        <w:rPr>
          <w:rFonts w:hint="eastAsia"/>
          <w:sz w:val="32"/>
          <w:szCs w:val="32"/>
        </w:rPr>
        <w:t>评标办法</w:t>
      </w:r>
      <w:bookmarkEnd w:id="235"/>
      <w:bookmarkEnd w:id="236"/>
      <w:bookmarkEnd w:id="237"/>
      <w:r>
        <w:rPr>
          <w:rFonts w:hint="eastAsia"/>
          <w:sz w:val="32"/>
          <w:szCs w:val="32"/>
        </w:rPr>
        <w:t>（综合评分法）</w:t>
      </w:r>
      <w:bookmarkEnd w:id="238"/>
      <w:bookmarkEnd w:id="239"/>
    </w:p>
    <w:p>
      <w:pPr>
        <w:pStyle w:val="45"/>
        <w:spacing w:line="500" w:lineRule="exact"/>
        <w:jc w:val="center"/>
        <w:outlineLvl w:val="1"/>
        <w:rPr>
          <w:rFonts w:asciiTheme="minorEastAsia" w:hAnsiTheme="minorEastAsia" w:eastAsiaTheme="minorEastAsia" w:cstheme="minorEastAsia"/>
          <w:b/>
          <w:bCs/>
          <w:sz w:val="28"/>
          <w:szCs w:val="28"/>
        </w:rPr>
      </w:pPr>
      <w:bookmarkStart w:id="240" w:name="_Toc30933"/>
      <w:bookmarkStart w:id="241" w:name="_Toc29947"/>
      <w:bookmarkStart w:id="242" w:name="_Toc17859"/>
      <w:bookmarkStart w:id="243" w:name="_Toc9561"/>
      <w:bookmarkStart w:id="244" w:name="_Toc21885"/>
      <w:bookmarkStart w:id="245" w:name="_Toc16529"/>
      <w:bookmarkStart w:id="246" w:name="_Toc2761070"/>
      <w:r>
        <w:rPr>
          <w:rFonts w:hint="eastAsia" w:asciiTheme="minorEastAsia" w:hAnsiTheme="minorEastAsia" w:eastAsiaTheme="minorEastAsia" w:cstheme="minorEastAsia"/>
          <w:b/>
          <w:bCs/>
          <w:sz w:val="28"/>
          <w:szCs w:val="28"/>
        </w:rPr>
        <w:t>评分办法前附表</w:t>
      </w:r>
      <w:bookmarkEnd w:id="240"/>
      <w:bookmarkEnd w:id="241"/>
      <w:bookmarkEnd w:id="242"/>
      <w:bookmarkEnd w:id="243"/>
      <w:bookmarkEnd w:id="244"/>
    </w:p>
    <w:bookmarkEnd w:id="245"/>
    <w:tbl>
      <w:tblPr>
        <w:tblStyle w:val="28"/>
        <w:tblpPr w:leftFromText="180" w:rightFromText="180" w:vertAnchor="text" w:horzAnchor="page" w:tblpX="1063" w:tblpY="363"/>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8"/>
        <w:gridCol w:w="2833"/>
        <w:gridCol w:w="4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pPr>
              <w:spacing w:line="500" w:lineRule="exact"/>
              <w:jc w:val="center"/>
              <w:rPr>
                <w:rFonts w:ascii="宋体" w:hAnsi="宋体" w:cs="宋体"/>
                <w:b/>
                <w:sz w:val="24"/>
              </w:rPr>
            </w:pPr>
            <w:bookmarkStart w:id="247" w:name="_Toc426369531"/>
            <w:bookmarkStart w:id="248" w:name="_Toc403122541"/>
            <w:bookmarkStart w:id="249" w:name="_Toc31084"/>
            <w:r>
              <w:rPr>
                <w:rFonts w:hint="eastAsia" w:ascii="宋体" w:hAnsi="宋体" w:cs="宋体"/>
                <w:b/>
                <w:bCs/>
                <w:sz w:val="24"/>
              </w:rPr>
              <w:t>审查主体</w:t>
            </w:r>
          </w:p>
        </w:tc>
        <w:tc>
          <w:tcPr>
            <w:tcW w:w="3871" w:type="dxa"/>
            <w:gridSpan w:val="2"/>
            <w:vAlign w:val="center"/>
          </w:tcPr>
          <w:p>
            <w:pPr>
              <w:spacing w:line="500" w:lineRule="exact"/>
              <w:ind w:firstLine="562"/>
              <w:jc w:val="center"/>
              <w:rPr>
                <w:rFonts w:ascii="宋体" w:hAnsi="宋体" w:cs="宋体"/>
                <w:b/>
                <w:sz w:val="24"/>
              </w:rPr>
            </w:pPr>
            <w:r>
              <w:rPr>
                <w:rFonts w:hint="eastAsia" w:ascii="宋体" w:hAnsi="宋体" w:cs="宋体"/>
                <w:b/>
                <w:sz w:val="24"/>
              </w:rPr>
              <w:t>评审因素</w:t>
            </w:r>
          </w:p>
        </w:tc>
        <w:tc>
          <w:tcPr>
            <w:tcW w:w="4910" w:type="dxa"/>
            <w:vAlign w:val="center"/>
          </w:tcPr>
          <w:p>
            <w:pPr>
              <w:tabs>
                <w:tab w:val="left" w:pos="417"/>
                <w:tab w:val="center" w:pos="2999"/>
              </w:tabs>
              <w:spacing w:line="500" w:lineRule="exact"/>
              <w:ind w:firstLine="562"/>
              <w:jc w:val="center"/>
              <w:rPr>
                <w:rFonts w:ascii="宋体" w:hAnsi="宋体" w:cs="宋体"/>
                <w:b/>
                <w:sz w:val="24"/>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资格审查小组</w:t>
            </w:r>
          </w:p>
        </w:tc>
        <w:tc>
          <w:tcPr>
            <w:tcW w:w="1038"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一、资格评审标准</w:t>
            </w:r>
          </w:p>
        </w:tc>
        <w:tc>
          <w:tcPr>
            <w:tcW w:w="283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营业执照、税务登记证、组织机构代码证</w:t>
            </w:r>
          </w:p>
        </w:tc>
        <w:tc>
          <w:tcPr>
            <w:tcW w:w="491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p>
        </w:tc>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p>
        </w:tc>
        <w:tc>
          <w:tcPr>
            <w:tcW w:w="283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《中华人民共和国政府采购法》第二十二条规定</w:t>
            </w:r>
          </w:p>
        </w:tc>
        <w:tc>
          <w:tcPr>
            <w:tcW w:w="491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p>
        </w:tc>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p>
        </w:tc>
        <w:tc>
          <w:tcPr>
            <w:tcW w:w="28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法定代表人证明或法定代表人授权委托书</w:t>
            </w:r>
          </w:p>
        </w:tc>
        <w:tc>
          <w:tcPr>
            <w:tcW w:w="491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法定代表人（负责人）证明或法定代表人授权委托书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信誉要求</w:t>
            </w:r>
          </w:p>
        </w:tc>
        <w:tc>
          <w:tcPr>
            <w:tcW w:w="49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其他要求</w:t>
            </w:r>
          </w:p>
        </w:tc>
        <w:tc>
          <w:tcPr>
            <w:tcW w:w="491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bookmarkStart w:id="321" w:name="_GoBack" w:colFirst="1" w:colLast="2"/>
            <w:r>
              <w:rPr>
                <w:rFonts w:hint="eastAsia" w:ascii="宋体" w:hAnsi="宋体" w:cs="宋体"/>
                <w:sz w:val="24"/>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二、形式评审标准</w:t>
            </w: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供应商名称</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投标函签字盖章</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投标文件格式</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报价唯一</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三、响应性评审标准</w:t>
            </w: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采购内容</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合同履行期限</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（供货安装期）</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质量标准</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质保期</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yellow"/>
              </w:rPr>
            </w:pPr>
            <w:r>
              <w:rPr>
                <w:rFonts w:hint="eastAsia" w:ascii="宋体" w:hAnsi="宋体" w:cs="宋体"/>
                <w:sz w:val="24"/>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投标有效期</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权利义务</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采购内容及技术要求</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符合第五章“采购内容及技术要求”规定，若不符合采购内容及技术要求规定，将不再进行评审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投标文件的其他响应</w:t>
            </w:r>
          </w:p>
        </w:tc>
        <w:tc>
          <w:tcPr>
            <w:tcW w:w="4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符合法律、法规和招标文件中规定的其他实质性要求的</w:t>
            </w:r>
          </w:p>
        </w:tc>
      </w:tr>
      <w:bookmarkEnd w:id="321"/>
    </w:tbl>
    <w:p>
      <w:pPr>
        <w:pStyle w:val="45"/>
        <w:spacing w:line="500" w:lineRule="exact"/>
        <w:jc w:val="center"/>
        <w:outlineLvl w:val="1"/>
        <w:rPr>
          <w:rFonts w:hint="eastAsia" w:asciiTheme="minorEastAsia" w:hAnsiTheme="minorEastAsia" w:eastAsiaTheme="minorEastAsia" w:cstheme="minorEastAsia"/>
          <w:b/>
          <w:bCs/>
          <w:sz w:val="28"/>
          <w:szCs w:val="28"/>
          <w:lang w:val="en-US" w:eastAsia="zh-CN"/>
        </w:rPr>
      </w:pPr>
      <w:bookmarkStart w:id="250" w:name="_Toc7325"/>
      <w:bookmarkStart w:id="251" w:name="_Toc25544"/>
      <w:r>
        <w:rPr>
          <w:rFonts w:hint="eastAsia" w:asciiTheme="minorEastAsia" w:hAnsiTheme="minorEastAsia" w:eastAsiaTheme="minorEastAsia" w:cstheme="minorEastAsia"/>
          <w:b/>
          <w:bCs/>
          <w:sz w:val="28"/>
          <w:szCs w:val="28"/>
          <w:lang w:val="en-US" w:eastAsia="zh-CN"/>
        </w:rPr>
        <w:t>评分办法</w:t>
      </w:r>
    </w:p>
    <w:p>
      <w:pPr>
        <w:pStyle w:val="45"/>
        <w:spacing w:line="500" w:lineRule="exact"/>
        <w:jc w:val="center"/>
        <w:outlineLvl w:val="9"/>
        <w:rPr>
          <w:rFonts w:hint="eastAsia" w:asciiTheme="minorEastAsia" w:hAnsiTheme="minorEastAsia" w:eastAsiaTheme="minorEastAsia" w:cstheme="minorEastAsia"/>
          <w:b/>
          <w:bCs/>
          <w:sz w:val="28"/>
          <w:szCs w:val="28"/>
          <w:lang w:val="en-US" w:eastAsia="zh-CN"/>
        </w:rPr>
      </w:pPr>
    </w:p>
    <w:tbl>
      <w:tblPr>
        <w:tblStyle w:val="28"/>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741"/>
        <w:gridCol w:w="1984"/>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613" w:type="dxa"/>
            <w:tcMar>
              <w:top w:w="0" w:type="dxa"/>
              <w:left w:w="80" w:type="dxa"/>
              <w:bottom w:w="0" w:type="dxa"/>
              <w:right w:w="0" w:type="dxa"/>
            </w:tcMar>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741" w:type="dxa"/>
            <w:tcMar>
              <w:top w:w="0" w:type="dxa"/>
              <w:left w:w="80" w:type="dxa"/>
              <w:bottom w:w="0" w:type="dxa"/>
              <w:right w:w="0" w:type="dxa"/>
            </w:tcMar>
            <w:vAlign w:val="center"/>
          </w:tcPr>
          <w:p>
            <w:pPr>
              <w:spacing w:line="360" w:lineRule="auto"/>
              <w:jc w:val="center"/>
              <w:rPr>
                <w:rFonts w:ascii="宋体" w:hAnsi="宋体" w:cs="宋体"/>
                <w:b/>
                <w:bCs/>
                <w:szCs w:val="21"/>
              </w:rPr>
            </w:pPr>
            <w:r>
              <w:rPr>
                <w:rFonts w:hint="eastAsia" w:ascii="宋体" w:hAnsi="宋体" w:cs="宋体"/>
                <w:b/>
                <w:bCs/>
                <w:szCs w:val="21"/>
              </w:rPr>
              <w:t>评分项目</w:t>
            </w:r>
          </w:p>
        </w:tc>
        <w:tc>
          <w:tcPr>
            <w:tcW w:w="1984" w:type="dxa"/>
            <w:tcMar>
              <w:top w:w="0" w:type="dxa"/>
              <w:left w:w="80" w:type="dxa"/>
              <w:bottom w:w="0" w:type="dxa"/>
              <w:right w:w="0" w:type="dxa"/>
            </w:tcMar>
            <w:vAlign w:val="center"/>
          </w:tcPr>
          <w:p>
            <w:pPr>
              <w:spacing w:line="360" w:lineRule="auto"/>
              <w:jc w:val="center"/>
              <w:rPr>
                <w:rFonts w:ascii="宋体" w:hAnsi="宋体" w:cs="宋体"/>
                <w:b/>
                <w:bCs/>
                <w:szCs w:val="21"/>
              </w:rPr>
            </w:pPr>
            <w:r>
              <w:rPr>
                <w:rFonts w:hint="eastAsia" w:ascii="宋体" w:hAnsi="宋体" w:cs="宋体"/>
                <w:b/>
                <w:bCs/>
                <w:szCs w:val="21"/>
              </w:rPr>
              <w:t>分值</w:t>
            </w:r>
          </w:p>
        </w:tc>
        <w:tc>
          <w:tcPr>
            <w:tcW w:w="5601" w:type="dxa"/>
            <w:tcMar>
              <w:top w:w="0" w:type="dxa"/>
              <w:left w:w="80" w:type="dxa"/>
              <w:bottom w:w="0" w:type="dxa"/>
              <w:right w:w="0" w:type="dxa"/>
            </w:tcMar>
            <w:vAlign w:val="center"/>
          </w:tcPr>
          <w:p>
            <w:pPr>
              <w:spacing w:line="360" w:lineRule="auto"/>
              <w:jc w:val="center"/>
              <w:rPr>
                <w:rFonts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613" w:type="dxa"/>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1</w:t>
            </w:r>
          </w:p>
        </w:tc>
        <w:tc>
          <w:tcPr>
            <w:tcW w:w="1741" w:type="dxa"/>
            <w:tcMar>
              <w:top w:w="0" w:type="dxa"/>
              <w:left w:w="80" w:type="dxa"/>
              <w:bottom w:w="0" w:type="dxa"/>
              <w:right w:w="0" w:type="dxa"/>
            </w:tcMar>
            <w:vAlign w:val="center"/>
          </w:tcPr>
          <w:p>
            <w:pPr>
              <w:spacing w:line="500" w:lineRule="exact"/>
              <w:jc w:val="center"/>
              <w:rPr>
                <w:rFonts w:hint="eastAsia" w:ascii="宋体" w:hAnsi="宋体" w:cs="宋体"/>
                <w:sz w:val="24"/>
              </w:rPr>
            </w:pPr>
            <w:r>
              <w:rPr>
                <w:rFonts w:hint="eastAsia" w:ascii="宋体" w:hAnsi="宋体" w:cs="宋体"/>
                <w:sz w:val="24"/>
              </w:rPr>
              <w:t>报价部分</w:t>
            </w:r>
          </w:p>
          <w:p>
            <w:pPr>
              <w:spacing w:line="500" w:lineRule="exact"/>
              <w:jc w:val="center"/>
              <w:rPr>
                <w:rFonts w:ascii="宋体" w:hAnsi="宋体" w:cs="宋体"/>
                <w:sz w:val="24"/>
              </w:rPr>
            </w:pPr>
            <w:r>
              <w:rPr>
                <w:rFonts w:hint="eastAsia" w:ascii="宋体" w:hAnsi="宋体" w:cs="宋体"/>
                <w:sz w:val="24"/>
              </w:rPr>
              <w:t>（30分）</w:t>
            </w:r>
          </w:p>
        </w:tc>
        <w:tc>
          <w:tcPr>
            <w:tcW w:w="1984" w:type="dxa"/>
            <w:tcMar>
              <w:top w:w="0" w:type="dxa"/>
              <w:left w:w="80" w:type="dxa"/>
              <w:bottom w:w="0" w:type="dxa"/>
              <w:right w:w="0" w:type="dxa"/>
            </w:tcMar>
            <w:vAlign w:val="center"/>
          </w:tcPr>
          <w:p>
            <w:pPr>
              <w:spacing w:line="500" w:lineRule="exact"/>
              <w:jc w:val="center"/>
              <w:rPr>
                <w:rFonts w:hint="eastAsia" w:ascii="宋体" w:hAnsi="宋体" w:cs="宋体"/>
                <w:sz w:val="24"/>
              </w:rPr>
            </w:pPr>
            <w:r>
              <w:rPr>
                <w:rFonts w:hint="eastAsia" w:ascii="宋体" w:hAnsi="宋体" w:cs="宋体"/>
                <w:sz w:val="24"/>
              </w:rPr>
              <w:t>投标报价</w:t>
            </w:r>
          </w:p>
          <w:p>
            <w:pPr>
              <w:spacing w:line="500" w:lineRule="exact"/>
              <w:jc w:val="center"/>
              <w:rPr>
                <w:rFonts w:ascii="宋体" w:hAnsi="宋体" w:cs="宋体"/>
                <w:sz w:val="24"/>
              </w:rPr>
            </w:pPr>
            <w:r>
              <w:rPr>
                <w:rFonts w:hint="eastAsia" w:ascii="宋体" w:hAnsi="宋体" w:cs="宋体"/>
                <w:sz w:val="24"/>
              </w:rPr>
              <w:t>（30分）</w:t>
            </w:r>
          </w:p>
        </w:tc>
        <w:tc>
          <w:tcPr>
            <w:tcW w:w="5601" w:type="dxa"/>
            <w:tcMar>
              <w:top w:w="0" w:type="dxa"/>
              <w:left w:w="80" w:type="dxa"/>
              <w:bottom w:w="0" w:type="dxa"/>
              <w:right w:w="0" w:type="dxa"/>
            </w:tcMar>
          </w:tcPr>
          <w:p>
            <w:pPr>
              <w:spacing w:line="500" w:lineRule="exact"/>
              <w:rPr>
                <w:rFonts w:ascii="宋体" w:hAnsi="宋体" w:cs="宋体"/>
                <w:sz w:val="24"/>
              </w:rPr>
            </w:pPr>
            <w:r>
              <w:rPr>
                <w:rFonts w:hint="eastAsia" w:ascii="宋体" w:hAnsi="宋体" w:cs="宋体"/>
                <w:sz w:val="24"/>
              </w:rPr>
              <w:t>投标报价分统一采用低价优先法计算，即满足招标文件要求且投标价格最低的投标报价为评标基准价，其价格分为满分。其他投标人的价格分统一按照下列公式计算：投标报价得分=（评标基准价/投标报价）×30计算过程按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3" w:type="dxa"/>
            <w:vMerge w:val="restart"/>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2</w:t>
            </w:r>
          </w:p>
        </w:tc>
        <w:tc>
          <w:tcPr>
            <w:tcW w:w="1741" w:type="dxa"/>
            <w:vMerge w:val="restart"/>
            <w:tcMar>
              <w:top w:w="0" w:type="dxa"/>
              <w:left w:w="80" w:type="dxa"/>
              <w:bottom w:w="0" w:type="dxa"/>
              <w:right w:w="0" w:type="dxa"/>
            </w:tcMar>
            <w:vAlign w:val="center"/>
          </w:tcPr>
          <w:p>
            <w:pPr>
              <w:spacing w:line="500" w:lineRule="exact"/>
              <w:jc w:val="center"/>
              <w:rPr>
                <w:rFonts w:hint="eastAsia" w:ascii="宋体" w:hAnsi="宋体" w:cs="宋体"/>
                <w:sz w:val="24"/>
              </w:rPr>
            </w:pPr>
            <w:r>
              <w:rPr>
                <w:rFonts w:hint="eastAsia" w:ascii="宋体" w:hAnsi="宋体" w:cs="宋体"/>
                <w:sz w:val="24"/>
              </w:rPr>
              <w:t>技术部分</w:t>
            </w:r>
          </w:p>
          <w:p>
            <w:pPr>
              <w:spacing w:line="500" w:lineRule="exact"/>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45</w:t>
            </w:r>
            <w:r>
              <w:rPr>
                <w:rFonts w:hint="eastAsia" w:ascii="宋体" w:hAnsi="宋体" w:cs="宋体"/>
                <w:sz w:val="24"/>
              </w:rPr>
              <w:t>分）</w:t>
            </w:r>
          </w:p>
        </w:tc>
        <w:tc>
          <w:tcPr>
            <w:tcW w:w="1984" w:type="dxa"/>
            <w:tcMar>
              <w:top w:w="0" w:type="dxa"/>
              <w:left w:w="80" w:type="dxa"/>
              <w:bottom w:w="0" w:type="dxa"/>
              <w:right w:w="0" w:type="dxa"/>
            </w:tcMar>
            <w:vAlign w:val="center"/>
          </w:tcPr>
          <w:p>
            <w:pPr>
              <w:spacing w:line="500" w:lineRule="exact"/>
              <w:rPr>
                <w:rFonts w:hint="eastAsia" w:ascii="宋体" w:hAnsi="宋体" w:eastAsia="宋体" w:cs="宋体"/>
                <w:sz w:val="24"/>
                <w:lang w:val="zh-CN"/>
              </w:rPr>
            </w:pPr>
            <w:r>
              <w:rPr>
                <w:rFonts w:hint="eastAsia" w:ascii="宋体" w:hAnsi="宋体" w:eastAsia="宋体" w:cs="宋体"/>
                <w:sz w:val="24"/>
              </w:rPr>
              <w:t>技术参数</w:t>
            </w:r>
            <w:r>
              <w:rPr>
                <w:rFonts w:hint="eastAsia" w:ascii="宋体" w:hAnsi="宋体" w:eastAsia="宋体" w:cs="宋体"/>
                <w:sz w:val="24"/>
                <w:lang w:val="zh-CN"/>
              </w:rPr>
              <w:t>响应性</w:t>
            </w:r>
          </w:p>
          <w:p>
            <w:pPr>
              <w:spacing w:line="500" w:lineRule="exact"/>
              <w:rPr>
                <w:rFonts w:hint="eastAsia" w:ascii="宋体" w:hAnsi="宋体" w:eastAsia="宋体" w:cs="宋体"/>
                <w:sz w:val="24"/>
              </w:rPr>
            </w:pPr>
            <w:r>
              <w:rPr>
                <w:rFonts w:hint="eastAsia" w:ascii="宋体" w:hAnsi="宋体" w:eastAsia="宋体" w:cs="宋体"/>
                <w:sz w:val="24"/>
                <w:lang w:val="zh-CN"/>
              </w:rPr>
              <w:t>（</w:t>
            </w:r>
            <w:r>
              <w:rPr>
                <w:rFonts w:hint="eastAsia" w:ascii="宋体" w:hAnsi="宋体" w:cs="宋体"/>
                <w:sz w:val="24"/>
                <w:lang w:val="en-US" w:eastAsia="zh-CN"/>
              </w:rPr>
              <w:t>30</w:t>
            </w:r>
            <w:r>
              <w:rPr>
                <w:rFonts w:hint="eastAsia" w:ascii="宋体" w:hAnsi="宋体" w:eastAsia="宋体" w:cs="宋体"/>
                <w:sz w:val="24"/>
                <w:lang w:val="en-US" w:eastAsia="zh-CN"/>
              </w:rPr>
              <w:t>分</w:t>
            </w:r>
            <w:r>
              <w:rPr>
                <w:rFonts w:hint="eastAsia" w:ascii="宋体" w:hAnsi="宋体" w:eastAsia="宋体" w:cs="宋体"/>
                <w:sz w:val="24"/>
                <w:lang w:val="zh-CN"/>
              </w:rPr>
              <w:t>）</w:t>
            </w:r>
          </w:p>
        </w:tc>
        <w:tc>
          <w:tcPr>
            <w:tcW w:w="5601" w:type="dxa"/>
            <w:tcMar>
              <w:top w:w="0" w:type="dxa"/>
              <w:left w:w="80" w:type="dxa"/>
              <w:bottom w:w="0" w:type="dxa"/>
              <w:right w:w="0" w:type="dxa"/>
            </w:tcMar>
            <w:vAlign w:val="top"/>
          </w:tcPr>
          <w:p>
            <w:pPr>
              <w:spacing w:line="500" w:lineRule="exact"/>
              <w:rPr>
                <w:rFonts w:hint="default" w:ascii="宋体" w:hAnsi="宋体" w:eastAsia="宋体" w:cs="宋体"/>
                <w:sz w:val="24"/>
                <w:lang w:val="en-US" w:eastAsia="zh-CN"/>
              </w:rPr>
            </w:pPr>
            <w:r>
              <w:rPr>
                <w:rFonts w:hint="eastAsia" w:ascii="宋体" w:hAnsi="宋体" w:eastAsia="宋体" w:cs="宋体"/>
                <w:sz w:val="24"/>
              </w:rPr>
              <w:t>投标产品参数必须完全满足招标文件参数，完全满足的得</w:t>
            </w:r>
            <w:r>
              <w:rPr>
                <w:rFonts w:hint="eastAsia" w:ascii="宋体" w:hAnsi="宋体" w:cs="宋体"/>
                <w:sz w:val="24"/>
                <w:lang w:val="en-US" w:eastAsia="zh-CN"/>
              </w:rPr>
              <w:t>30</w:t>
            </w:r>
            <w:r>
              <w:rPr>
                <w:rFonts w:hint="eastAsia" w:ascii="宋体" w:hAnsi="宋体" w:eastAsia="宋体" w:cs="宋体"/>
                <w:sz w:val="24"/>
              </w:rPr>
              <w:t>分。</w:t>
            </w:r>
            <w:r>
              <w:rPr>
                <w:rFonts w:hint="eastAsia" w:ascii="宋体" w:hAnsi="宋体" w:eastAsia="宋体" w:cs="宋体"/>
                <w:sz w:val="24"/>
                <w:lang w:val="en-US"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741" w:type="dxa"/>
            <w:vMerge w:val="continue"/>
            <w:tcMar>
              <w:top w:w="0" w:type="dxa"/>
              <w:left w:w="80" w:type="dxa"/>
              <w:bottom w:w="0" w:type="dxa"/>
              <w:right w:w="0" w:type="dxa"/>
            </w:tcMar>
            <w:vAlign w:val="center"/>
          </w:tcPr>
          <w:p>
            <w:pPr>
              <w:spacing w:line="500" w:lineRule="exact"/>
              <w:jc w:val="center"/>
              <w:rPr>
                <w:rFonts w:hint="eastAsia" w:ascii="宋体" w:hAnsi="宋体" w:cs="宋体"/>
                <w:sz w:val="24"/>
              </w:rPr>
            </w:pPr>
          </w:p>
        </w:tc>
        <w:tc>
          <w:tcPr>
            <w:tcW w:w="1984" w:type="dxa"/>
            <w:tcMar>
              <w:top w:w="0" w:type="dxa"/>
              <w:left w:w="80" w:type="dxa"/>
              <w:bottom w:w="0" w:type="dxa"/>
              <w:right w:w="0" w:type="dxa"/>
            </w:tcMar>
            <w:vAlign w:val="center"/>
          </w:tcPr>
          <w:p>
            <w:pPr>
              <w:spacing w:line="500" w:lineRule="exact"/>
              <w:jc w:val="center"/>
              <w:rPr>
                <w:rFonts w:hint="eastAsia" w:ascii="宋体" w:hAnsi="宋体" w:eastAsia="宋体" w:cs="宋体"/>
                <w:sz w:val="24"/>
                <w:lang w:eastAsia="zh-CN"/>
              </w:rPr>
            </w:pPr>
            <w:r>
              <w:rPr>
                <w:rFonts w:hint="eastAsia" w:ascii="宋体" w:hAnsi="宋体" w:eastAsia="宋体" w:cs="宋体"/>
                <w:sz w:val="24"/>
              </w:rPr>
              <w:t>供货方案</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lang w:eastAsia="zh-CN"/>
              </w:rPr>
              <w:t>）</w:t>
            </w:r>
          </w:p>
        </w:tc>
        <w:tc>
          <w:tcPr>
            <w:tcW w:w="5601" w:type="dxa"/>
            <w:tcMar>
              <w:top w:w="0" w:type="dxa"/>
              <w:left w:w="80" w:type="dxa"/>
              <w:bottom w:w="0" w:type="dxa"/>
              <w:right w:w="0" w:type="dxa"/>
            </w:tcMar>
            <w:vAlign w:val="top"/>
          </w:tcPr>
          <w:p>
            <w:pPr>
              <w:spacing w:line="500" w:lineRule="exact"/>
              <w:rPr>
                <w:rFonts w:hint="eastAsia" w:ascii="宋体" w:hAnsi="宋体" w:eastAsia="宋体" w:cs="宋体"/>
                <w:sz w:val="24"/>
              </w:rPr>
            </w:pPr>
            <w:r>
              <w:rPr>
                <w:rFonts w:hint="eastAsia" w:ascii="宋体" w:hAnsi="宋体" w:eastAsia="宋体" w:cs="宋体"/>
                <w:sz w:val="24"/>
              </w:rPr>
              <w:t>供货方案及措施：</w:t>
            </w:r>
          </w:p>
          <w:p>
            <w:pPr>
              <w:spacing w:line="500" w:lineRule="exact"/>
              <w:rPr>
                <w:rFonts w:hint="eastAsia" w:ascii="宋体" w:hAnsi="宋体" w:eastAsia="宋体" w:cs="宋体"/>
                <w:sz w:val="24"/>
              </w:rPr>
            </w:pPr>
            <w:r>
              <w:rPr>
                <w:rFonts w:hint="eastAsia" w:ascii="宋体" w:hAnsi="宋体" w:eastAsia="宋体" w:cs="宋体"/>
                <w:sz w:val="24"/>
              </w:rPr>
              <w:t>（1）供货时间计划安排科学合理，措施切实可行，方案对项目实施的准备工作、材料和质量保障措施等内容做出详细、合理的阐述的得</w:t>
            </w:r>
            <w:r>
              <w:rPr>
                <w:rFonts w:hint="eastAsia" w:ascii="宋体" w:hAnsi="宋体" w:cs="宋体"/>
                <w:sz w:val="24"/>
                <w:lang w:val="en-US" w:eastAsia="zh-CN"/>
              </w:rPr>
              <w:t>5</w:t>
            </w:r>
            <w:r>
              <w:rPr>
                <w:rFonts w:hint="eastAsia" w:ascii="宋体" w:hAnsi="宋体" w:eastAsia="宋体" w:cs="宋体"/>
                <w:sz w:val="24"/>
                <w:lang w:val="zh-CN"/>
              </w:rPr>
              <w:t>分</w:t>
            </w:r>
            <w:r>
              <w:rPr>
                <w:rFonts w:hint="eastAsia" w:ascii="宋体" w:hAnsi="宋体" w:eastAsia="宋体" w:cs="宋体"/>
                <w:sz w:val="24"/>
              </w:rPr>
              <w:t xml:space="preserve">； </w:t>
            </w:r>
          </w:p>
          <w:p>
            <w:pPr>
              <w:spacing w:line="500" w:lineRule="exac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）供货时间计划</w:t>
            </w:r>
            <w:r>
              <w:rPr>
                <w:rFonts w:hint="eastAsia" w:ascii="宋体" w:hAnsi="宋体" w:eastAsia="宋体" w:cs="宋体"/>
                <w:sz w:val="24"/>
                <w:lang w:val="en-US" w:eastAsia="zh-CN"/>
              </w:rPr>
              <w:t>较好</w:t>
            </w:r>
            <w:r>
              <w:rPr>
                <w:rFonts w:hint="eastAsia" w:ascii="宋体" w:hAnsi="宋体" w:eastAsia="宋体" w:cs="宋体"/>
                <w:sz w:val="24"/>
              </w:rPr>
              <w:t>，方案对项目实施的准备工作、材料和质量保障措施等内容描述</w:t>
            </w:r>
            <w:r>
              <w:rPr>
                <w:rFonts w:hint="eastAsia" w:ascii="宋体" w:hAnsi="宋体" w:eastAsia="宋体" w:cs="宋体"/>
                <w:sz w:val="24"/>
                <w:lang w:val="en-US" w:eastAsia="zh-CN"/>
              </w:rPr>
              <w:t>较好</w:t>
            </w:r>
            <w:r>
              <w:rPr>
                <w:rFonts w:hint="eastAsia" w:ascii="宋体" w:hAnsi="宋体" w:eastAsia="宋体" w:cs="宋体"/>
                <w:sz w:val="24"/>
              </w:rPr>
              <w:t>，保证措施</w:t>
            </w:r>
            <w:r>
              <w:rPr>
                <w:rFonts w:hint="eastAsia" w:ascii="宋体" w:hAnsi="宋体" w:eastAsia="宋体" w:cs="宋体"/>
                <w:sz w:val="24"/>
                <w:lang w:val="en-US" w:eastAsia="zh-CN"/>
              </w:rPr>
              <w:t>较好</w:t>
            </w:r>
            <w:r>
              <w:rPr>
                <w:rFonts w:hint="eastAsia" w:ascii="宋体" w:hAnsi="宋体" w:eastAsia="宋体" w:cs="宋体"/>
                <w:sz w:val="24"/>
              </w:rPr>
              <w:t>，针对性</w:t>
            </w:r>
            <w:r>
              <w:rPr>
                <w:rFonts w:hint="eastAsia" w:ascii="宋体" w:hAnsi="宋体" w:eastAsia="宋体" w:cs="宋体"/>
                <w:sz w:val="24"/>
                <w:lang w:val="en-US" w:eastAsia="zh-CN"/>
              </w:rPr>
              <w:t>较好</w:t>
            </w:r>
            <w:r>
              <w:rPr>
                <w:rFonts w:hint="eastAsia" w:ascii="宋体" w:hAnsi="宋体" w:eastAsia="宋体" w:cs="宋体"/>
                <w:sz w:val="24"/>
              </w:rPr>
              <w:t>，执行性</w:t>
            </w:r>
            <w:r>
              <w:rPr>
                <w:rFonts w:hint="eastAsia" w:ascii="宋体" w:hAnsi="宋体" w:eastAsia="宋体" w:cs="宋体"/>
                <w:sz w:val="24"/>
                <w:lang w:val="en-US" w:eastAsia="zh-CN"/>
              </w:rPr>
              <w:t>较好</w:t>
            </w:r>
            <w:r>
              <w:rPr>
                <w:rFonts w:hint="eastAsia" w:ascii="宋体" w:hAnsi="宋体" w:eastAsia="宋体" w:cs="宋体"/>
                <w:sz w:val="24"/>
              </w:rPr>
              <w:t>，需进一步完善得</w:t>
            </w:r>
            <w:r>
              <w:rPr>
                <w:rFonts w:hint="eastAsia" w:ascii="宋体" w:hAnsi="宋体" w:cs="宋体"/>
                <w:sz w:val="24"/>
                <w:lang w:val="en-US" w:eastAsia="zh-CN"/>
              </w:rPr>
              <w:t>3</w:t>
            </w:r>
            <w:r>
              <w:rPr>
                <w:rFonts w:hint="eastAsia" w:ascii="宋体" w:hAnsi="宋体" w:eastAsia="宋体" w:cs="宋体"/>
                <w:sz w:val="24"/>
              </w:rPr>
              <w:t>分；</w:t>
            </w:r>
          </w:p>
          <w:p>
            <w:pPr>
              <w:spacing w:line="500" w:lineRule="exact"/>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 供货时间计划</w:t>
            </w:r>
            <w:r>
              <w:rPr>
                <w:rFonts w:hint="eastAsia" w:ascii="宋体" w:hAnsi="宋体" w:eastAsia="宋体" w:cs="宋体"/>
                <w:sz w:val="24"/>
                <w:lang w:val="en-US" w:eastAsia="zh-CN"/>
              </w:rPr>
              <w:t>较差</w:t>
            </w:r>
            <w:r>
              <w:rPr>
                <w:rFonts w:hint="eastAsia" w:ascii="宋体" w:hAnsi="宋体" w:eastAsia="宋体" w:cs="宋体"/>
                <w:sz w:val="24"/>
              </w:rPr>
              <w:t>，方案对项目实施的准备工作、材料和质量保障措施等内容描述</w:t>
            </w:r>
            <w:r>
              <w:rPr>
                <w:rFonts w:hint="eastAsia" w:ascii="宋体" w:hAnsi="宋体" w:eastAsia="宋体" w:cs="宋体"/>
                <w:sz w:val="24"/>
                <w:lang w:val="en-US" w:eastAsia="zh-CN"/>
              </w:rPr>
              <w:t>较差</w:t>
            </w:r>
            <w:r>
              <w:rPr>
                <w:rFonts w:hint="eastAsia" w:ascii="宋体" w:hAnsi="宋体" w:eastAsia="宋体" w:cs="宋体"/>
                <w:sz w:val="24"/>
              </w:rPr>
              <w:t>，保证措施</w:t>
            </w:r>
            <w:r>
              <w:rPr>
                <w:rFonts w:hint="eastAsia" w:ascii="宋体" w:hAnsi="宋体" w:eastAsia="宋体" w:cs="宋体"/>
                <w:sz w:val="24"/>
                <w:lang w:val="en-US" w:eastAsia="zh-CN"/>
              </w:rPr>
              <w:t>较差</w:t>
            </w:r>
            <w:r>
              <w:rPr>
                <w:rFonts w:hint="eastAsia" w:ascii="宋体" w:hAnsi="宋体" w:eastAsia="宋体" w:cs="宋体"/>
                <w:sz w:val="24"/>
              </w:rPr>
              <w:t>得</w:t>
            </w:r>
            <w:r>
              <w:rPr>
                <w:rFonts w:hint="eastAsia" w:ascii="宋体" w:hAnsi="宋体" w:cs="宋体"/>
                <w:sz w:val="24"/>
                <w:lang w:val="en-US" w:eastAsia="zh-CN"/>
              </w:rPr>
              <w:t>1</w:t>
            </w:r>
            <w:r>
              <w:rPr>
                <w:rFonts w:hint="eastAsia" w:ascii="宋体" w:hAnsi="宋体" w:eastAsia="宋体" w:cs="宋体"/>
                <w:sz w:val="24"/>
              </w:rPr>
              <w:t>分；此项未提供不得分</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741" w:type="dxa"/>
            <w:vMerge w:val="continue"/>
            <w:tcMar>
              <w:top w:w="0" w:type="dxa"/>
              <w:left w:w="80" w:type="dxa"/>
              <w:bottom w:w="0" w:type="dxa"/>
              <w:right w:w="0" w:type="dxa"/>
            </w:tcMar>
            <w:vAlign w:val="center"/>
          </w:tcPr>
          <w:p>
            <w:pPr>
              <w:spacing w:line="500" w:lineRule="exact"/>
              <w:jc w:val="center"/>
              <w:rPr>
                <w:rFonts w:hint="eastAsia" w:ascii="宋体" w:hAnsi="宋体" w:cs="宋体"/>
                <w:sz w:val="24"/>
              </w:rPr>
            </w:pPr>
          </w:p>
        </w:tc>
        <w:tc>
          <w:tcPr>
            <w:tcW w:w="1984" w:type="dxa"/>
            <w:tcMar>
              <w:top w:w="0" w:type="dxa"/>
              <w:left w:w="80" w:type="dxa"/>
              <w:bottom w:w="0" w:type="dxa"/>
              <w:right w:w="0" w:type="dxa"/>
            </w:tcMar>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安装调试方案</w:t>
            </w:r>
          </w:p>
          <w:p>
            <w:pPr>
              <w:spacing w:line="500" w:lineRule="exact"/>
              <w:jc w:val="center"/>
              <w:rPr>
                <w:rFonts w:hint="eastAsia" w:ascii="宋体" w:hAnsi="宋体" w:eastAsia="宋体" w:cs="宋体"/>
                <w:sz w:val="24"/>
                <w:lang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eastAsia="zh-CN"/>
              </w:rPr>
              <w:t>）</w:t>
            </w:r>
          </w:p>
        </w:tc>
        <w:tc>
          <w:tcPr>
            <w:tcW w:w="5601" w:type="dxa"/>
            <w:tcMar>
              <w:top w:w="0" w:type="dxa"/>
              <w:left w:w="80" w:type="dxa"/>
              <w:bottom w:w="0" w:type="dxa"/>
              <w:right w:w="0" w:type="dxa"/>
            </w:tcMar>
            <w:vAlign w:val="top"/>
          </w:tcPr>
          <w:p>
            <w:pPr>
              <w:spacing w:line="500" w:lineRule="exact"/>
              <w:rPr>
                <w:rFonts w:hint="eastAsia" w:ascii="宋体" w:hAnsi="宋体" w:eastAsia="宋体" w:cs="宋体"/>
                <w:sz w:val="24"/>
              </w:rPr>
            </w:pPr>
            <w:r>
              <w:rPr>
                <w:rFonts w:hint="eastAsia" w:ascii="宋体" w:hAnsi="宋体" w:eastAsia="宋体" w:cs="宋体"/>
                <w:sz w:val="24"/>
              </w:rPr>
              <w:t>根据采购人实际需求，针对项目实际情况，供应商对所供货品安装调试制定详细计划方案和措施，根据供应商提供的方案进行打分：</w:t>
            </w:r>
          </w:p>
          <w:p>
            <w:pPr>
              <w:spacing w:line="500" w:lineRule="exact"/>
              <w:rPr>
                <w:rFonts w:hint="eastAsia" w:ascii="宋体" w:hAnsi="宋体" w:eastAsia="宋体" w:cs="宋体"/>
                <w:sz w:val="24"/>
              </w:rPr>
            </w:pPr>
            <w:r>
              <w:rPr>
                <w:rFonts w:hint="eastAsia" w:ascii="宋体" w:hAnsi="宋体" w:eastAsia="宋体" w:cs="宋体"/>
                <w:sz w:val="24"/>
              </w:rPr>
              <w:t>方案全面、详尽、合理、措施有保障，技术质量有保障、完全满足项目需求的得</w:t>
            </w:r>
            <w:r>
              <w:rPr>
                <w:rFonts w:hint="eastAsia" w:ascii="宋体" w:hAnsi="宋体" w:cs="宋体"/>
                <w:sz w:val="24"/>
                <w:lang w:val="en-US" w:eastAsia="zh-CN"/>
              </w:rPr>
              <w:t>5</w:t>
            </w:r>
            <w:r>
              <w:rPr>
                <w:rFonts w:hint="eastAsia" w:ascii="宋体" w:hAnsi="宋体" w:eastAsia="宋体" w:cs="宋体"/>
                <w:sz w:val="24"/>
              </w:rPr>
              <w:t>分；方案</w:t>
            </w:r>
            <w:r>
              <w:rPr>
                <w:rFonts w:hint="eastAsia" w:ascii="宋体" w:hAnsi="宋体" w:eastAsia="宋体" w:cs="宋体"/>
                <w:sz w:val="24"/>
                <w:lang w:val="en-US" w:eastAsia="zh-CN"/>
              </w:rPr>
              <w:t>较好</w:t>
            </w:r>
            <w:r>
              <w:rPr>
                <w:rFonts w:hint="eastAsia" w:ascii="宋体" w:hAnsi="宋体" w:eastAsia="宋体" w:cs="宋体"/>
                <w:sz w:val="24"/>
              </w:rPr>
              <w:t>基本满足招标要求的，得</w:t>
            </w:r>
            <w:r>
              <w:rPr>
                <w:rFonts w:hint="eastAsia" w:ascii="宋体" w:hAnsi="宋体" w:cs="宋体"/>
                <w:sz w:val="24"/>
                <w:lang w:val="en-US" w:eastAsia="zh-CN"/>
              </w:rPr>
              <w:t>3</w:t>
            </w:r>
            <w:r>
              <w:rPr>
                <w:rFonts w:hint="eastAsia" w:ascii="宋体" w:hAnsi="宋体" w:eastAsia="宋体" w:cs="宋体"/>
                <w:sz w:val="24"/>
              </w:rPr>
              <w:t>分；方案较差的得</w:t>
            </w:r>
            <w:r>
              <w:rPr>
                <w:rFonts w:hint="eastAsia" w:ascii="宋体" w:hAnsi="宋体" w:cs="宋体"/>
                <w:sz w:val="24"/>
                <w:lang w:val="en-US" w:eastAsia="zh-CN"/>
              </w:rPr>
              <w:t>1</w:t>
            </w:r>
            <w:r>
              <w:rPr>
                <w:rFonts w:hint="eastAsia" w:ascii="宋体" w:hAnsi="宋体" w:eastAsia="宋体" w:cs="宋体"/>
                <w:sz w:val="24"/>
              </w:rPr>
              <w:t>分；此项未提供不得分。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741" w:type="dxa"/>
            <w:vMerge w:val="continue"/>
            <w:tcMar>
              <w:top w:w="0" w:type="dxa"/>
              <w:left w:w="80" w:type="dxa"/>
              <w:bottom w:w="0" w:type="dxa"/>
              <w:right w:w="0" w:type="dxa"/>
            </w:tcMar>
            <w:vAlign w:val="center"/>
          </w:tcPr>
          <w:p>
            <w:pPr>
              <w:spacing w:line="500" w:lineRule="exact"/>
              <w:jc w:val="center"/>
              <w:rPr>
                <w:rFonts w:hint="eastAsia" w:ascii="宋体" w:hAnsi="宋体" w:cs="宋体"/>
                <w:sz w:val="24"/>
              </w:rPr>
            </w:pPr>
          </w:p>
        </w:tc>
        <w:tc>
          <w:tcPr>
            <w:tcW w:w="1984" w:type="dxa"/>
            <w:tcMar>
              <w:top w:w="0" w:type="dxa"/>
              <w:left w:w="80" w:type="dxa"/>
              <w:bottom w:w="0" w:type="dxa"/>
              <w:right w:w="0" w:type="dxa"/>
            </w:tcMar>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质量保证措施</w:t>
            </w:r>
          </w:p>
          <w:p>
            <w:pPr>
              <w:spacing w:line="500" w:lineRule="exact"/>
              <w:jc w:val="center"/>
              <w:rPr>
                <w:rFonts w:hint="eastAsia" w:ascii="宋体" w:hAnsi="宋体" w:eastAsia="宋体" w:cs="宋体"/>
                <w:szCs w:val="21"/>
                <w:highlight w:val="none"/>
                <w:lang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eastAsia="zh-CN"/>
              </w:rPr>
              <w:t>）</w:t>
            </w:r>
          </w:p>
        </w:tc>
        <w:tc>
          <w:tcPr>
            <w:tcW w:w="5601" w:type="dxa"/>
            <w:tcMar>
              <w:top w:w="0" w:type="dxa"/>
              <w:left w:w="80" w:type="dxa"/>
              <w:bottom w:w="0" w:type="dxa"/>
              <w:right w:w="0" w:type="dxa"/>
            </w:tcMar>
            <w:vAlign w:val="top"/>
          </w:tcPr>
          <w:p>
            <w:pPr>
              <w:spacing w:line="500" w:lineRule="exact"/>
              <w:rPr>
                <w:rFonts w:hint="eastAsia" w:ascii="宋体" w:hAnsi="宋体" w:eastAsia="宋体" w:cs="宋体"/>
                <w:sz w:val="24"/>
              </w:rPr>
            </w:pPr>
            <w:r>
              <w:rPr>
                <w:rFonts w:hint="eastAsia" w:ascii="宋体" w:hAnsi="宋体" w:eastAsia="宋体" w:cs="宋体"/>
                <w:sz w:val="24"/>
              </w:rPr>
              <w:t>根据供应商制定的质量保证措施的严谨度、全面性等进行综合评价，优秀的得</w:t>
            </w:r>
            <w:r>
              <w:rPr>
                <w:rFonts w:hint="eastAsia" w:ascii="宋体" w:hAnsi="宋体" w:cs="宋体"/>
                <w:sz w:val="24"/>
                <w:lang w:val="en-US" w:eastAsia="zh-CN"/>
              </w:rPr>
              <w:t>5</w:t>
            </w:r>
            <w:r>
              <w:rPr>
                <w:rFonts w:hint="eastAsia" w:ascii="宋体" w:hAnsi="宋体" w:eastAsia="宋体" w:cs="宋体"/>
                <w:sz w:val="24"/>
              </w:rPr>
              <w:t>分，较好的得</w:t>
            </w:r>
            <w:r>
              <w:rPr>
                <w:rFonts w:hint="eastAsia" w:ascii="宋体" w:hAnsi="宋体" w:cs="宋体"/>
                <w:sz w:val="24"/>
                <w:lang w:val="en-US" w:eastAsia="zh-CN"/>
              </w:rPr>
              <w:t>3</w:t>
            </w:r>
            <w:r>
              <w:rPr>
                <w:rFonts w:hint="eastAsia" w:ascii="宋体" w:hAnsi="宋体" w:eastAsia="宋体" w:cs="宋体"/>
                <w:sz w:val="24"/>
              </w:rPr>
              <w:t>分，一般得</w:t>
            </w:r>
            <w:r>
              <w:rPr>
                <w:rFonts w:hint="eastAsia" w:ascii="宋体" w:hAnsi="宋体" w:cs="宋体"/>
                <w:sz w:val="24"/>
                <w:lang w:val="en-US" w:eastAsia="zh-CN"/>
              </w:rPr>
              <w:t>1</w:t>
            </w:r>
            <w:r>
              <w:rPr>
                <w:rFonts w:hint="eastAsia" w:ascii="宋体" w:hAnsi="宋体" w:eastAsia="宋体" w:cs="宋体"/>
                <w:sz w:val="24"/>
              </w:rPr>
              <w:t>分，此项未提供不得分。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restart"/>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3</w:t>
            </w:r>
          </w:p>
        </w:tc>
        <w:tc>
          <w:tcPr>
            <w:tcW w:w="1741" w:type="dxa"/>
            <w:vMerge w:val="restart"/>
            <w:tcMar>
              <w:top w:w="0" w:type="dxa"/>
              <w:left w:w="80" w:type="dxa"/>
              <w:bottom w:w="0" w:type="dxa"/>
              <w:right w:w="0" w:type="dxa"/>
            </w:tcMar>
            <w:vAlign w:val="center"/>
          </w:tcPr>
          <w:p>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综合部分</w:t>
            </w:r>
          </w:p>
          <w:p>
            <w:pPr>
              <w:spacing w:line="500" w:lineRule="exact"/>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25</w:t>
            </w:r>
            <w:r>
              <w:rPr>
                <w:rFonts w:hint="eastAsia" w:ascii="宋体" w:hAnsi="宋体" w:cs="宋体"/>
                <w:sz w:val="24"/>
              </w:rPr>
              <w:t>分）</w:t>
            </w:r>
          </w:p>
        </w:tc>
        <w:tc>
          <w:tcPr>
            <w:tcW w:w="1984" w:type="dxa"/>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业绩（</w:t>
            </w:r>
            <w:r>
              <w:rPr>
                <w:rFonts w:hint="eastAsia" w:ascii="宋体" w:hAnsi="宋体" w:cs="宋体"/>
                <w:sz w:val="24"/>
                <w:lang w:val="en-US" w:eastAsia="zh-CN"/>
              </w:rPr>
              <w:t>12</w:t>
            </w:r>
            <w:r>
              <w:rPr>
                <w:rFonts w:hint="eastAsia" w:ascii="宋体" w:hAnsi="宋体" w:cs="宋体"/>
                <w:sz w:val="24"/>
              </w:rPr>
              <w:t>分）</w:t>
            </w:r>
          </w:p>
        </w:tc>
        <w:tc>
          <w:tcPr>
            <w:tcW w:w="5601" w:type="dxa"/>
            <w:tcMar>
              <w:top w:w="0" w:type="dxa"/>
              <w:left w:w="80" w:type="dxa"/>
              <w:bottom w:w="0" w:type="dxa"/>
              <w:right w:w="0" w:type="dxa"/>
            </w:tcMar>
            <w:vAlign w:val="center"/>
          </w:tcPr>
          <w:p>
            <w:pPr>
              <w:spacing w:line="500" w:lineRule="exact"/>
              <w:rPr>
                <w:rFonts w:hint="eastAsia" w:ascii="宋体" w:hAnsi="宋体" w:eastAsia="宋体" w:cs="宋体"/>
                <w:sz w:val="24"/>
                <w:lang w:val="en-US" w:eastAsia="zh-CN"/>
              </w:rPr>
            </w:pPr>
            <w:r>
              <w:rPr>
                <w:rFonts w:hint="eastAsia" w:ascii="宋体" w:hAnsi="宋体" w:cs="宋体"/>
                <w:sz w:val="24"/>
                <w:lang w:val="zh-CN"/>
              </w:rPr>
              <w:t>要求投标人提供 2021 年 1 月 1 日以来类似合同业绩，合同业绩应包含中标通知书、合同，每提供一份完全符合要求的</w:t>
            </w:r>
            <w:r>
              <w:rPr>
                <w:rFonts w:hint="eastAsia" w:ascii="宋体" w:hAnsi="宋体" w:cs="宋体"/>
                <w:sz w:val="24"/>
                <w:highlight w:val="none"/>
                <w:lang w:val="zh-CN"/>
              </w:rPr>
              <w:t>业绩</w:t>
            </w:r>
            <w:r>
              <w:rPr>
                <w:rFonts w:hint="eastAsia" w:ascii="宋体" w:hAnsi="宋体" w:cs="宋体"/>
                <w:sz w:val="24"/>
                <w:lang w:val="zh-CN"/>
              </w:rPr>
              <w:t xml:space="preserve">得 </w:t>
            </w:r>
            <w:r>
              <w:rPr>
                <w:rFonts w:hint="eastAsia" w:ascii="宋体" w:hAnsi="宋体" w:cs="宋体"/>
                <w:sz w:val="24"/>
                <w:lang w:val="en-US" w:eastAsia="zh-CN"/>
              </w:rPr>
              <w:t>4</w:t>
            </w:r>
            <w:r>
              <w:rPr>
                <w:rFonts w:hint="eastAsia" w:ascii="宋体" w:hAnsi="宋体" w:cs="宋体"/>
                <w:sz w:val="24"/>
                <w:lang w:val="zh-CN"/>
              </w:rPr>
              <w:t xml:space="preserve">分，最多得 </w:t>
            </w:r>
            <w:r>
              <w:rPr>
                <w:rFonts w:hint="eastAsia" w:ascii="宋体" w:hAnsi="宋体" w:cs="宋体"/>
                <w:sz w:val="24"/>
                <w:lang w:val="en-US" w:eastAsia="zh-CN"/>
              </w:rPr>
              <w:t>12</w:t>
            </w:r>
            <w:r>
              <w:rPr>
                <w:rFonts w:hint="eastAsia" w:ascii="宋体" w:hAnsi="宋体" w:cs="宋体"/>
                <w:sz w:val="24"/>
                <w:lang w:val="zh-CN"/>
              </w:rPr>
              <w:t xml:space="preserve"> 分</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613"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741"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984" w:type="dxa"/>
            <w:tcMar>
              <w:top w:w="0" w:type="dxa"/>
              <w:left w:w="80" w:type="dxa"/>
              <w:bottom w:w="0" w:type="dxa"/>
              <w:right w:w="0" w:type="dxa"/>
            </w:tcMar>
            <w:vAlign w:val="center"/>
          </w:tcPr>
          <w:p>
            <w:pPr>
              <w:spacing w:line="500" w:lineRule="exact"/>
              <w:jc w:val="center"/>
              <w:rPr>
                <w:rFonts w:hint="eastAsia" w:ascii="宋体" w:hAnsi="宋体" w:cs="宋体"/>
                <w:sz w:val="24"/>
              </w:rPr>
            </w:pPr>
            <w:r>
              <w:rPr>
                <w:rFonts w:hint="eastAsia" w:ascii="宋体" w:hAnsi="宋体" w:cs="宋体"/>
                <w:sz w:val="24"/>
              </w:rPr>
              <w:t>售后服务方案</w:t>
            </w:r>
          </w:p>
          <w:p>
            <w:pPr>
              <w:spacing w:line="500" w:lineRule="exact"/>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w:t>
            </w:r>
          </w:p>
        </w:tc>
        <w:tc>
          <w:tcPr>
            <w:tcW w:w="5601" w:type="dxa"/>
            <w:tcMar>
              <w:top w:w="0" w:type="dxa"/>
              <w:left w:w="80" w:type="dxa"/>
              <w:bottom w:w="0" w:type="dxa"/>
              <w:right w:w="0" w:type="dxa"/>
            </w:tcMar>
            <w:vAlign w:val="center"/>
          </w:tcPr>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投标人提出完整的服务内容、服务形式、质保期内及质保期外服务承诺、维修单位及地点、技术人员情况、应急维修时间安排方案。</w:t>
            </w:r>
          </w:p>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方案内容非常详细，科学合理、可行性强的得</w:t>
            </w:r>
            <w:r>
              <w:rPr>
                <w:rFonts w:hint="eastAsia" w:ascii="宋体" w:hAnsi="宋体" w:cs="宋体"/>
                <w:sz w:val="24"/>
                <w:lang w:val="en-US" w:eastAsia="zh-CN"/>
              </w:rPr>
              <w:t>3</w:t>
            </w: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分；</w:t>
            </w:r>
          </w:p>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方案内容比较完整、较科学合理、可行性较强的得</w:t>
            </w:r>
            <w:r>
              <w:rPr>
                <w:rFonts w:hint="eastAsia" w:ascii="宋体" w:hAnsi="宋体" w:cs="宋体"/>
                <w:sz w:val="24"/>
                <w:lang w:val="en-US" w:eastAsia="zh-CN"/>
              </w:rPr>
              <w:t>2</w:t>
            </w:r>
            <w:r>
              <w:rPr>
                <w:rFonts w:hint="eastAsia" w:ascii="宋体" w:hAnsi="宋体" w:cs="宋体"/>
                <w:sz w:val="24"/>
                <w:lang w:val="zh-CN"/>
              </w:rPr>
              <w:t>分；</w:t>
            </w:r>
          </w:p>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方案内容比较简单、有可行性的得1分；</w:t>
            </w:r>
          </w:p>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613"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741"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984" w:type="dxa"/>
            <w:tcMar>
              <w:top w:w="0" w:type="dxa"/>
              <w:left w:w="80" w:type="dxa"/>
              <w:bottom w:w="0" w:type="dxa"/>
              <w:right w:w="0" w:type="dxa"/>
            </w:tcMar>
            <w:vAlign w:val="center"/>
          </w:tcPr>
          <w:p>
            <w:pPr>
              <w:numPr>
                <w:ilvl w:val="0"/>
                <w:numId w:val="0"/>
              </w:numPr>
              <w:spacing w:line="500" w:lineRule="exact"/>
              <w:ind w:left="0" w:leftChars="0" w:firstLine="0" w:firstLineChars="0"/>
              <w:jc w:val="center"/>
              <w:rPr>
                <w:rFonts w:hint="eastAsia" w:ascii="宋体" w:hAnsi="宋体" w:cs="宋体"/>
                <w:sz w:val="24"/>
                <w:lang w:val="zh-CN"/>
              </w:rPr>
            </w:pPr>
            <w:r>
              <w:rPr>
                <w:rFonts w:hint="eastAsia" w:ascii="宋体" w:hAnsi="宋体" w:cs="宋体"/>
                <w:sz w:val="24"/>
                <w:lang w:val="zh-CN"/>
              </w:rPr>
              <w:t>培训计划</w:t>
            </w:r>
          </w:p>
          <w:p>
            <w:pPr>
              <w:numPr>
                <w:ilvl w:val="0"/>
                <w:numId w:val="0"/>
              </w:numPr>
              <w:spacing w:line="500" w:lineRule="exact"/>
              <w:ind w:left="0" w:leftChars="0" w:firstLine="0" w:firstLineChars="0"/>
              <w:jc w:val="center"/>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7</w:t>
            </w:r>
            <w:r>
              <w:rPr>
                <w:rFonts w:hint="eastAsia" w:ascii="宋体" w:hAnsi="宋体" w:cs="宋体"/>
                <w:sz w:val="24"/>
                <w:lang w:val="zh-CN" w:eastAsia="zh-CN"/>
              </w:rPr>
              <w:t>）</w:t>
            </w:r>
          </w:p>
          <w:p>
            <w:pPr>
              <w:spacing w:line="500" w:lineRule="exact"/>
              <w:jc w:val="center"/>
              <w:rPr>
                <w:rFonts w:hint="eastAsia" w:ascii="宋体" w:hAnsi="宋体" w:cs="宋体"/>
                <w:sz w:val="24"/>
              </w:rPr>
            </w:pPr>
          </w:p>
        </w:tc>
        <w:tc>
          <w:tcPr>
            <w:tcW w:w="5601" w:type="dxa"/>
            <w:tcMar>
              <w:top w:w="0" w:type="dxa"/>
              <w:left w:w="80" w:type="dxa"/>
              <w:bottom w:w="0" w:type="dxa"/>
              <w:right w:w="0" w:type="dxa"/>
            </w:tcMar>
            <w:vAlign w:val="center"/>
          </w:tcPr>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根据投标人提供的培训内容、培训教材、培训方式、培训承诺进行打分。</w:t>
            </w:r>
          </w:p>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培训计划内容完整、培训方式可行性强、培训承诺科学合理的得4-</w:t>
            </w:r>
            <w:r>
              <w:rPr>
                <w:rFonts w:hint="eastAsia" w:ascii="宋体" w:hAnsi="宋体" w:cs="宋体"/>
                <w:sz w:val="24"/>
                <w:lang w:val="en-US" w:eastAsia="zh-CN"/>
              </w:rPr>
              <w:t>7</w:t>
            </w:r>
            <w:r>
              <w:rPr>
                <w:rFonts w:hint="eastAsia" w:ascii="宋体" w:hAnsi="宋体" w:cs="宋体"/>
                <w:sz w:val="24"/>
                <w:lang w:val="zh-CN"/>
              </w:rPr>
              <w:t>分；</w:t>
            </w:r>
          </w:p>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培训计划内容比较完整、培训方式可行性较强、培训承诺基本科学合理的得2-3分；</w:t>
            </w:r>
          </w:p>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培训计划内容比较简单、培训方式可行性较差、培训承诺科学合理性一般的得1分；</w:t>
            </w:r>
          </w:p>
          <w:p>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2354" w:type="dxa"/>
            <w:gridSpan w:val="2"/>
            <w:vAlign w:val="bottom"/>
          </w:tcPr>
          <w:p>
            <w:pPr>
              <w:spacing w:line="500" w:lineRule="exact"/>
              <w:jc w:val="center"/>
              <w:rPr>
                <w:rFonts w:ascii="宋体" w:hAnsi="宋体" w:cs="宋体"/>
                <w:sz w:val="24"/>
              </w:rPr>
            </w:pPr>
            <w:r>
              <w:rPr>
                <w:rFonts w:hint="eastAsia" w:ascii="宋体" w:hAnsi="宋体" w:cs="宋体"/>
                <w:sz w:val="24"/>
              </w:rPr>
              <w:t>合计</w:t>
            </w:r>
          </w:p>
        </w:tc>
        <w:tc>
          <w:tcPr>
            <w:tcW w:w="1984" w:type="dxa"/>
            <w:vAlign w:val="bottom"/>
          </w:tcPr>
          <w:p>
            <w:pPr>
              <w:spacing w:line="500" w:lineRule="exact"/>
              <w:jc w:val="center"/>
              <w:rPr>
                <w:rFonts w:ascii="宋体" w:hAnsi="宋体" w:cs="宋体"/>
                <w:sz w:val="24"/>
              </w:rPr>
            </w:pPr>
            <w:r>
              <w:rPr>
                <w:rFonts w:hint="eastAsia" w:ascii="宋体" w:hAnsi="宋体" w:cs="宋体"/>
                <w:sz w:val="24"/>
              </w:rPr>
              <w:t>100分</w:t>
            </w:r>
          </w:p>
        </w:tc>
        <w:tc>
          <w:tcPr>
            <w:tcW w:w="5601" w:type="dxa"/>
          </w:tcPr>
          <w:p>
            <w:pPr>
              <w:spacing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9939" w:type="dxa"/>
            <w:gridSpan w:val="4"/>
            <w:vAlign w:val="bottom"/>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最终得分＝报价部分+技术部分+综合</w:t>
            </w:r>
            <w:r>
              <w:rPr>
                <w:rFonts w:hint="eastAsia" w:asciiTheme="minorEastAsia" w:hAnsiTheme="minorEastAsia" w:eastAsiaTheme="minorEastAsia" w:cstheme="minorEastAsia"/>
              </w:rPr>
              <w:t>部分。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最终得分为评委的评分结果取平均值后作为该供应商的最终得分。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Theme="minorEastAsia" w:hAnsiTheme="minorEastAsia" w:eastAsiaTheme="minorEastAsia" w:cstheme="minorEastAsia"/>
                <w:lang w:val="zh-CN"/>
              </w:rPr>
              <w:t>本评标办法在</w:t>
            </w:r>
            <w:r>
              <w:rPr>
                <w:rFonts w:hint="eastAsia" w:asciiTheme="minorEastAsia" w:hAnsiTheme="minorEastAsia" w:eastAsiaTheme="minorEastAsia" w:cstheme="minorEastAsia"/>
              </w:rPr>
              <w:t>本办法计算过程中分值按四舍五入保留二位小数。</w:t>
            </w:r>
          </w:p>
        </w:tc>
      </w:tr>
    </w:tbl>
    <w:p>
      <w:pPr>
        <w:tabs>
          <w:tab w:val="left" w:pos="170"/>
          <w:tab w:val="left" w:pos="303"/>
          <w:tab w:val="left" w:pos="420"/>
        </w:tabs>
        <w:adjustRightInd w:val="0"/>
        <w:snapToGrid w:val="0"/>
        <w:spacing w:line="480" w:lineRule="exact"/>
        <w:outlineLvl w:val="9"/>
        <w:rPr>
          <w:rFonts w:ascii="宋体" w:hAnsi="宋体" w:cs="宋体"/>
          <w:b/>
          <w:sz w:val="24"/>
        </w:rPr>
      </w:pPr>
    </w:p>
    <w:p>
      <w:pPr>
        <w:tabs>
          <w:tab w:val="left" w:pos="170"/>
          <w:tab w:val="left" w:pos="303"/>
          <w:tab w:val="left" w:pos="420"/>
        </w:tabs>
        <w:adjustRightInd w:val="0"/>
        <w:snapToGrid w:val="0"/>
        <w:spacing w:line="480" w:lineRule="exact"/>
        <w:outlineLvl w:val="1"/>
        <w:rPr>
          <w:rFonts w:ascii="宋体" w:hAnsi="宋体" w:cs="宋体"/>
          <w:b/>
          <w:sz w:val="24"/>
        </w:rPr>
      </w:pPr>
      <w:r>
        <w:rPr>
          <w:rFonts w:hint="eastAsia" w:ascii="宋体" w:hAnsi="宋体" w:cs="宋体"/>
          <w:b/>
          <w:sz w:val="24"/>
        </w:rPr>
        <w:t xml:space="preserve">1. </w:t>
      </w:r>
      <w:bookmarkStart w:id="252" w:name="_Toc6843"/>
      <w:r>
        <w:rPr>
          <w:rFonts w:hint="eastAsia" w:ascii="宋体" w:hAnsi="宋体" w:cs="宋体"/>
          <w:b/>
          <w:sz w:val="24"/>
        </w:rPr>
        <w:t>评标准则和评标方法</w:t>
      </w:r>
      <w:bookmarkEnd w:id="252"/>
    </w:p>
    <w:p>
      <w:pPr>
        <w:adjustRightInd w:val="0"/>
        <w:snapToGrid w:val="0"/>
        <w:spacing w:line="480" w:lineRule="exact"/>
        <w:rPr>
          <w:rFonts w:ascii="宋体" w:hAnsi="宋体" w:cs="宋体"/>
          <w:sz w:val="24"/>
        </w:rPr>
      </w:pPr>
      <w:r>
        <w:rPr>
          <w:rFonts w:hint="eastAsia" w:ascii="宋体" w:hAnsi="宋体" w:cs="宋体"/>
          <w:sz w:val="24"/>
        </w:rPr>
        <w:t>1.1 评标过程将遵循“公平、公正、科学、择优”的原则进行。</w:t>
      </w:r>
    </w:p>
    <w:p>
      <w:pPr>
        <w:adjustRightInd w:val="0"/>
        <w:snapToGrid w:val="0"/>
        <w:spacing w:line="480" w:lineRule="exact"/>
        <w:rPr>
          <w:rFonts w:ascii="宋体" w:hAnsi="宋体" w:cs="宋体"/>
          <w:sz w:val="24"/>
        </w:rPr>
      </w:pPr>
      <w:r>
        <w:rPr>
          <w:rFonts w:hint="eastAsia" w:ascii="宋体" w:hAnsi="宋体" w:cs="宋体"/>
          <w:sz w:val="24"/>
        </w:rPr>
        <w:t>1.2 评标将严格按照招标文件的要求和条件进行。</w:t>
      </w:r>
    </w:p>
    <w:p>
      <w:pPr>
        <w:adjustRightInd w:val="0"/>
        <w:snapToGrid w:val="0"/>
        <w:spacing w:line="480" w:lineRule="exact"/>
        <w:rPr>
          <w:rFonts w:ascii="宋体" w:hAnsi="宋体" w:cs="宋体"/>
          <w:sz w:val="24"/>
        </w:rPr>
      </w:pPr>
      <w:r>
        <w:rPr>
          <w:rFonts w:hint="eastAsia" w:ascii="宋体" w:hAnsi="宋体" w:cs="宋体"/>
          <w:sz w:val="24"/>
        </w:rPr>
        <w:t>1.3 本次评标采用综合评分法。</w:t>
      </w:r>
    </w:p>
    <w:p>
      <w:pPr>
        <w:tabs>
          <w:tab w:val="left" w:pos="170"/>
          <w:tab w:val="left" w:pos="303"/>
          <w:tab w:val="left" w:pos="420"/>
        </w:tabs>
        <w:adjustRightInd w:val="0"/>
        <w:snapToGrid w:val="0"/>
        <w:spacing w:line="480" w:lineRule="exact"/>
        <w:outlineLvl w:val="1"/>
        <w:rPr>
          <w:rFonts w:ascii="宋体" w:hAnsi="宋体" w:cs="宋体"/>
          <w:b/>
          <w:sz w:val="24"/>
        </w:rPr>
      </w:pPr>
      <w:bookmarkStart w:id="253" w:name="_Toc465502580"/>
      <w:bookmarkStart w:id="254" w:name="_Toc454147539"/>
      <w:bookmarkStart w:id="255" w:name="_Toc466017208"/>
      <w:bookmarkStart w:id="256" w:name="_Toc15449"/>
      <w:bookmarkStart w:id="257" w:name="_Toc13195"/>
      <w:bookmarkStart w:id="258" w:name="_Toc7951"/>
      <w:r>
        <w:rPr>
          <w:rFonts w:hint="eastAsia" w:ascii="宋体" w:hAnsi="宋体" w:cs="宋体"/>
          <w:b/>
          <w:sz w:val="24"/>
        </w:rPr>
        <w:t>2.评审标准</w:t>
      </w:r>
      <w:bookmarkEnd w:id="253"/>
      <w:bookmarkEnd w:id="254"/>
      <w:bookmarkEnd w:id="255"/>
      <w:bookmarkEnd w:id="256"/>
      <w:bookmarkEnd w:id="257"/>
      <w:bookmarkEnd w:id="258"/>
    </w:p>
    <w:p>
      <w:pPr>
        <w:adjustRightInd w:val="0"/>
        <w:snapToGrid w:val="0"/>
        <w:spacing w:line="480" w:lineRule="exact"/>
        <w:rPr>
          <w:rFonts w:ascii="宋体" w:hAnsi="宋体" w:cs="宋体"/>
          <w:sz w:val="24"/>
        </w:rPr>
      </w:pPr>
      <w:r>
        <w:rPr>
          <w:rFonts w:hint="eastAsia" w:ascii="宋体" w:hAnsi="宋体" w:cs="宋体"/>
          <w:sz w:val="24"/>
        </w:rPr>
        <w:t>2.1 资格评审标准：详见《评分办法前附表》中资格评审标准。</w:t>
      </w:r>
    </w:p>
    <w:p>
      <w:pPr>
        <w:adjustRightInd w:val="0"/>
        <w:snapToGrid w:val="0"/>
        <w:spacing w:line="480" w:lineRule="exact"/>
        <w:rPr>
          <w:rFonts w:ascii="宋体" w:hAnsi="宋体" w:cs="宋体"/>
          <w:sz w:val="24"/>
        </w:rPr>
      </w:pPr>
      <w:r>
        <w:rPr>
          <w:rFonts w:hint="eastAsia" w:ascii="宋体" w:hAnsi="宋体" w:cs="宋体"/>
          <w:sz w:val="24"/>
        </w:rPr>
        <w:t>2.2 详细评审标准：详见《评分办法前附表》报价部分、技术部分、</w:t>
      </w:r>
      <w:r>
        <w:rPr>
          <w:rFonts w:hint="eastAsia" w:ascii="宋体" w:hAnsi="宋体" w:cs="宋体"/>
          <w:sz w:val="24"/>
          <w:highlight w:val="none"/>
          <w:lang w:eastAsia="zh-CN"/>
        </w:rPr>
        <w:t>综合部分</w:t>
      </w:r>
      <w:r>
        <w:rPr>
          <w:rFonts w:hint="eastAsia" w:ascii="宋体" w:hAnsi="宋体" w:cs="宋体"/>
          <w:sz w:val="24"/>
        </w:rPr>
        <w:t>评审因素。</w:t>
      </w:r>
    </w:p>
    <w:p>
      <w:pPr>
        <w:numPr>
          <w:ilvl w:val="0"/>
          <w:numId w:val="6"/>
        </w:numPr>
        <w:tabs>
          <w:tab w:val="left" w:pos="170"/>
          <w:tab w:val="left" w:pos="303"/>
          <w:tab w:val="left" w:pos="420"/>
        </w:tabs>
        <w:adjustRightInd w:val="0"/>
        <w:snapToGrid w:val="0"/>
        <w:spacing w:line="480" w:lineRule="exact"/>
        <w:ind w:left="0" w:firstLine="0"/>
        <w:outlineLvl w:val="1"/>
        <w:rPr>
          <w:rFonts w:ascii="宋体" w:hAnsi="宋体" w:cs="宋体"/>
          <w:b/>
          <w:sz w:val="24"/>
        </w:rPr>
      </w:pPr>
      <w:bookmarkStart w:id="259" w:name="_Toc11065"/>
      <w:bookmarkStart w:id="260" w:name="_Toc19609"/>
      <w:r>
        <w:rPr>
          <w:rFonts w:hint="eastAsia" w:ascii="宋体" w:hAnsi="宋体" w:cs="宋体"/>
          <w:b/>
          <w:sz w:val="24"/>
        </w:rPr>
        <w:t>评标程序</w:t>
      </w:r>
      <w:bookmarkEnd w:id="259"/>
      <w:bookmarkEnd w:id="260"/>
    </w:p>
    <w:p>
      <w:pPr>
        <w:adjustRightInd w:val="0"/>
        <w:snapToGrid w:val="0"/>
        <w:spacing w:line="480" w:lineRule="exact"/>
        <w:rPr>
          <w:rFonts w:ascii="宋体" w:hAnsi="宋体" w:cs="宋体"/>
          <w:b/>
          <w:bCs/>
          <w:sz w:val="24"/>
        </w:rPr>
      </w:pPr>
      <w:r>
        <w:rPr>
          <w:rFonts w:hint="eastAsia" w:ascii="宋体" w:hAnsi="宋体" w:cs="宋体"/>
          <w:b/>
          <w:bCs/>
          <w:sz w:val="24"/>
        </w:rPr>
        <w:t>3.1初步评审</w:t>
      </w:r>
    </w:p>
    <w:p>
      <w:pPr>
        <w:adjustRightInd w:val="0"/>
        <w:snapToGrid w:val="0"/>
        <w:spacing w:line="480" w:lineRule="exact"/>
        <w:rPr>
          <w:rFonts w:ascii="宋体" w:hAnsi="宋体" w:cs="宋体"/>
          <w:sz w:val="24"/>
          <w:lang w:val="zh-CN"/>
        </w:rPr>
      </w:pPr>
      <w:r>
        <w:rPr>
          <w:rFonts w:hint="eastAsia" w:ascii="宋体" w:hAnsi="宋体" w:cs="宋体"/>
          <w:sz w:val="24"/>
        </w:rPr>
        <w:t xml:space="preserve">3.1.1 </w:t>
      </w:r>
      <w:r>
        <w:rPr>
          <w:rFonts w:hint="eastAsia" w:ascii="宋体" w:hAnsi="宋体" w:cs="宋体"/>
          <w:sz w:val="24"/>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pPr>
        <w:adjustRightInd w:val="0"/>
        <w:snapToGrid w:val="0"/>
        <w:spacing w:line="480" w:lineRule="exact"/>
        <w:rPr>
          <w:rFonts w:ascii="宋体" w:hAnsi="宋体" w:cs="宋体"/>
          <w:sz w:val="24"/>
          <w:lang w:val="zh-CN"/>
        </w:rPr>
      </w:pPr>
      <w:r>
        <w:rPr>
          <w:rFonts w:hint="eastAsia" w:ascii="宋体" w:hAnsi="宋体" w:cs="宋体"/>
          <w:sz w:val="24"/>
        </w:rPr>
        <w:t xml:space="preserve">3.1.2 </w:t>
      </w:r>
      <w:r>
        <w:rPr>
          <w:rFonts w:hint="eastAsia" w:ascii="宋体" w:hAnsi="宋体" w:cs="宋体"/>
          <w:sz w:val="24"/>
          <w:lang w:val="zh-CN"/>
        </w:rPr>
        <w:t>投标文件属下列情况之一的，应当在资格性、符合性检查时按照无效投标处理：</w:t>
      </w:r>
    </w:p>
    <w:p>
      <w:pPr>
        <w:numPr>
          <w:ilvl w:val="0"/>
          <w:numId w:val="7"/>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未按照招标文件规定要求签署、盖章的；</w:t>
      </w:r>
    </w:p>
    <w:p>
      <w:pPr>
        <w:numPr>
          <w:ilvl w:val="0"/>
          <w:numId w:val="7"/>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不具备招标文件中规定资格要求的；</w:t>
      </w:r>
    </w:p>
    <w:p>
      <w:pPr>
        <w:numPr>
          <w:ilvl w:val="0"/>
          <w:numId w:val="7"/>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不符合法律、法规和招标文件中规定的其他实质性要求的。</w:t>
      </w:r>
    </w:p>
    <w:p>
      <w:pPr>
        <w:adjustRightInd w:val="0"/>
        <w:snapToGrid w:val="0"/>
        <w:spacing w:line="480" w:lineRule="exact"/>
        <w:rPr>
          <w:rFonts w:ascii="宋体" w:hAnsi="宋体" w:cs="宋体"/>
          <w:sz w:val="24"/>
          <w:lang w:val="zh-CN"/>
        </w:rPr>
      </w:pPr>
      <w:r>
        <w:rPr>
          <w:rFonts w:hint="eastAsia" w:ascii="宋体" w:hAnsi="宋体" w:cs="宋体"/>
          <w:sz w:val="24"/>
        </w:rPr>
        <w:t xml:space="preserve">3.1.3 </w:t>
      </w:r>
      <w:r>
        <w:rPr>
          <w:rFonts w:hint="eastAsia" w:ascii="宋体" w:hAnsi="宋体" w:cs="宋体"/>
          <w:sz w:val="24"/>
          <w:lang w:val="zh-CN"/>
        </w:rPr>
        <w:t>投标报价有算数错误的，评标委员会按以下原则对投标报价进行修正，修正的价格经投标人书面确认后具有约束力。投标人不接受修正价格的，其投标作无效投标处理。</w:t>
      </w:r>
    </w:p>
    <w:p>
      <w:pPr>
        <w:numPr>
          <w:ilvl w:val="0"/>
          <w:numId w:val="8"/>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投标文件中的大写金额与小写金额不一致的，以大写金额为准；</w:t>
      </w:r>
    </w:p>
    <w:p>
      <w:pPr>
        <w:numPr>
          <w:ilvl w:val="0"/>
          <w:numId w:val="8"/>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投标文件中开标一览表内容与投标文件中明细表内容不一致的，以开标一览表为准。</w:t>
      </w:r>
    </w:p>
    <w:p>
      <w:pPr>
        <w:adjustRightInd w:val="0"/>
        <w:snapToGrid w:val="0"/>
        <w:spacing w:line="480" w:lineRule="exact"/>
        <w:rPr>
          <w:rFonts w:ascii="宋体" w:hAnsi="宋体" w:cs="宋体"/>
          <w:b/>
          <w:bCs/>
          <w:sz w:val="24"/>
        </w:rPr>
      </w:pPr>
      <w:r>
        <w:rPr>
          <w:rFonts w:hint="eastAsia" w:ascii="宋体" w:hAnsi="宋体" w:cs="宋体"/>
          <w:b/>
          <w:bCs/>
          <w:sz w:val="24"/>
        </w:rPr>
        <w:t>3.2 详细评审</w:t>
      </w:r>
    </w:p>
    <w:p>
      <w:pPr>
        <w:adjustRightInd w:val="0"/>
        <w:snapToGrid w:val="0"/>
        <w:spacing w:line="480" w:lineRule="exact"/>
        <w:rPr>
          <w:rFonts w:ascii="宋体" w:hAnsi="宋体" w:cs="宋体"/>
          <w:sz w:val="24"/>
          <w:lang w:val="zh-CN"/>
        </w:rPr>
      </w:pPr>
      <w:r>
        <w:rPr>
          <w:rFonts w:hint="eastAsia" w:ascii="宋体" w:hAnsi="宋体" w:cs="宋体"/>
          <w:sz w:val="24"/>
        </w:rPr>
        <w:t xml:space="preserve">3.2.1 </w:t>
      </w:r>
      <w:r>
        <w:rPr>
          <w:rFonts w:hint="eastAsia" w:ascii="宋体" w:hAnsi="宋体" w:cs="宋体"/>
          <w:sz w:val="24"/>
          <w:lang w:val="zh-CN"/>
        </w:rPr>
        <w:t>评标委员会按本章</w:t>
      </w:r>
      <w:r>
        <w:rPr>
          <w:rFonts w:hint="eastAsia" w:ascii="宋体" w:hAnsi="宋体" w:cs="宋体"/>
          <w:sz w:val="24"/>
        </w:rPr>
        <w:t>的</w:t>
      </w:r>
      <w:r>
        <w:rPr>
          <w:rFonts w:hint="eastAsia" w:ascii="宋体" w:hAnsi="宋体" w:cs="宋体"/>
          <w:sz w:val="24"/>
          <w:lang w:val="zh-CN"/>
        </w:rPr>
        <w:t>评分标准进行打分，并计算出综合评审得分。</w:t>
      </w:r>
    </w:p>
    <w:p>
      <w:pPr>
        <w:adjustRightInd w:val="0"/>
        <w:snapToGrid w:val="0"/>
        <w:spacing w:line="480" w:lineRule="exact"/>
        <w:rPr>
          <w:rFonts w:ascii="宋体" w:hAnsi="宋体" w:cs="宋体"/>
          <w:sz w:val="24"/>
          <w:lang w:val="zh-CN"/>
        </w:rPr>
      </w:pPr>
      <w:r>
        <w:rPr>
          <w:rFonts w:hint="eastAsia" w:ascii="宋体" w:hAnsi="宋体" w:cs="宋体"/>
          <w:sz w:val="24"/>
        </w:rPr>
        <w:t xml:space="preserve">3.2.2 </w:t>
      </w:r>
      <w:r>
        <w:rPr>
          <w:rFonts w:hint="eastAsia" w:ascii="宋体" w:hAnsi="宋体" w:cs="宋体"/>
          <w:sz w:val="24"/>
          <w:lang w:val="zh-CN"/>
        </w:rPr>
        <w:t>评标委员会发现投标人的投标总报价</w:t>
      </w:r>
      <w:r>
        <w:rPr>
          <w:rFonts w:hint="eastAsia" w:ascii="宋体" w:hAnsi="宋体" w:cs="宋体"/>
          <w:sz w:val="24"/>
        </w:rPr>
        <w:t>高</w:t>
      </w:r>
      <w:r>
        <w:rPr>
          <w:rFonts w:hint="eastAsia" w:ascii="宋体" w:hAnsi="宋体" w:cs="宋体"/>
          <w:sz w:val="24"/>
          <w:lang w:val="zh-CN"/>
        </w:rPr>
        <w:t>于</w:t>
      </w:r>
      <w:r>
        <w:rPr>
          <w:rFonts w:hint="eastAsia" w:ascii="宋体" w:hAnsi="宋体" w:cs="宋体"/>
          <w:sz w:val="24"/>
        </w:rPr>
        <w:t>招标文件规定的控制价</w:t>
      </w:r>
      <w:r>
        <w:rPr>
          <w:rFonts w:hint="eastAsia" w:ascii="宋体" w:hAnsi="宋体" w:cs="宋体"/>
          <w:sz w:val="24"/>
          <w:lang w:val="zh-CN"/>
        </w:rPr>
        <w:t>，评标委员会应按无效投标处理。</w:t>
      </w:r>
    </w:p>
    <w:p>
      <w:pPr>
        <w:adjustRightInd w:val="0"/>
        <w:snapToGrid w:val="0"/>
        <w:spacing w:line="480" w:lineRule="exact"/>
        <w:rPr>
          <w:rFonts w:ascii="宋体" w:hAnsi="宋体" w:cs="宋体"/>
          <w:b/>
          <w:bCs/>
          <w:sz w:val="24"/>
        </w:rPr>
      </w:pPr>
      <w:r>
        <w:rPr>
          <w:rFonts w:hint="eastAsia" w:ascii="宋体" w:hAnsi="宋体" w:cs="宋体"/>
          <w:b/>
          <w:bCs/>
          <w:sz w:val="24"/>
        </w:rPr>
        <w:t>3.3 投标文件的澄清和补正</w:t>
      </w:r>
    </w:p>
    <w:p>
      <w:pPr>
        <w:adjustRightInd w:val="0"/>
        <w:snapToGrid w:val="0"/>
        <w:spacing w:line="480" w:lineRule="exact"/>
        <w:rPr>
          <w:rFonts w:ascii="宋体" w:hAnsi="宋体" w:cs="宋体"/>
          <w:sz w:val="24"/>
          <w:lang w:val="zh-CN"/>
        </w:rPr>
      </w:pPr>
      <w:r>
        <w:rPr>
          <w:rFonts w:hint="eastAsia" w:ascii="宋体" w:hAnsi="宋体" w:cs="宋体"/>
          <w:sz w:val="24"/>
        </w:rPr>
        <w:t xml:space="preserve">3.3.1 </w:t>
      </w:r>
      <w:r>
        <w:rPr>
          <w:rFonts w:hint="eastAsia" w:ascii="宋体" w:hAnsi="宋体" w:cs="宋体"/>
          <w:sz w:val="24"/>
          <w:lang w:val="zh-CN"/>
        </w:rPr>
        <w:t>在评标过程中，评标委员会可以书面形式要求投标人对所提交投标文件中不明确的内容进行书面澄清或说明，或者对细微偏差进行补正。</w:t>
      </w:r>
    </w:p>
    <w:p>
      <w:pPr>
        <w:adjustRightInd w:val="0"/>
        <w:snapToGrid w:val="0"/>
        <w:spacing w:line="480" w:lineRule="exact"/>
        <w:rPr>
          <w:rFonts w:ascii="宋体" w:hAnsi="宋体" w:cs="宋体"/>
          <w:sz w:val="24"/>
          <w:lang w:val="zh-CN"/>
        </w:rPr>
      </w:pPr>
      <w:r>
        <w:rPr>
          <w:rFonts w:hint="eastAsia" w:ascii="宋体" w:hAnsi="宋体" w:cs="宋体"/>
          <w:sz w:val="24"/>
        </w:rPr>
        <w:t xml:space="preserve">3.3.2 </w:t>
      </w:r>
      <w:r>
        <w:rPr>
          <w:rFonts w:hint="eastAsia" w:ascii="宋体" w:hAnsi="宋体" w:cs="宋体"/>
          <w:sz w:val="24"/>
          <w:lang w:val="zh-CN"/>
        </w:rPr>
        <w:t>澄清、说明和补正不得改变投标文件的实质性内容（算术性错误修正的除外）。投标人的书面澄清、说明和补正属于投标文件的组成部分。</w:t>
      </w:r>
    </w:p>
    <w:p>
      <w:pPr>
        <w:adjustRightInd w:val="0"/>
        <w:snapToGrid w:val="0"/>
        <w:spacing w:line="480" w:lineRule="exact"/>
        <w:rPr>
          <w:rFonts w:ascii="宋体" w:hAnsi="宋体" w:cs="宋体"/>
          <w:b/>
          <w:bCs/>
          <w:sz w:val="24"/>
        </w:rPr>
      </w:pPr>
      <w:r>
        <w:rPr>
          <w:rFonts w:hint="eastAsia" w:ascii="宋体" w:hAnsi="宋体" w:cs="宋体"/>
          <w:b/>
          <w:bCs/>
          <w:sz w:val="24"/>
        </w:rPr>
        <w:t>3.4 评标结果</w:t>
      </w:r>
    </w:p>
    <w:p>
      <w:pPr>
        <w:adjustRightInd w:val="0"/>
        <w:snapToGrid w:val="0"/>
        <w:spacing w:line="480" w:lineRule="exact"/>
        <w:rPr>
          <w:rFonts w:ascii="宋体" w:hAnsi="宋体" w:cs="宋体"/>
          <w:sz w:val="24"/>
          <w:lang w:val="zh-CN"/>
        </w:rPr>
      </w:pPr>
      <w:r>
        <w:rPr>
          <w:rFonts w:hint="eastAsia" w:ascii="宋体" w:hAnsi="宋体" w:cs="宋体"/>
          <w:sz w:val="24"/>
        </w:rPr>
        <w:t xml:space="preserve">3.4.1 </w:t>
      </w:r>
      <w:r>
        <w:rPr>
          <w:rFonts w:hint="eastAsia" w:ascii="宋体" w:hAnsi="宋体" w:cs="宋体"/>
          <w:sz w:val="24"/>
          <w:lang w:val="zh-CN"/>
        </w:rPr>
        <w:t>投标人得分=投标报价得分+技术部分得分+</w:t>
      </w:r>
      <w:r>
        <w:rPr>
          <w:rFonts w:hint="eastAsia" w:ascii="宋体" w:hAnsi="宋体" w:cs="宋体"/>
          <w:sz w:val="24"/>
          <w:highlight w:val="none"/>
          <w:lang w:val="zh-CN"/>
        </w:rPr>
        <w:t>综合部分</w:t>
      </w:r>
      <w:r>
        <w:rPr>
          <w:rFonts w:hint="eastAsia" w:ascii="宋体" w:hAnsi="宋体" w:cs="宋体"/>
          <w:sz w:val="24"/>
          <w:lang w:val="zh-CN"/>
        </w:rPr>
        <w:t>得分。</w:t>
      </w:r>
    </w:p>
    <w:p>
      <w:pPr>
        <w:adjustRightInd w:val="0"/>
        <w:snapToGrid w:val="0"/>
        <w:spacing w:line="480" w:lineRule="exact"/>
        <w:rPr>
          <w:rFonts w:ascii="宋体" w:hAnsi="宋体" w:cs="宋体"/>
          <w:sz w:val="24"/>
          <w:lang w:val="zh-CN"/>
        </w:rPr>
      </w:pPr>
      <w:r>
        <w:rPr>
          <w:rFonts w:hint="eastAsia" w:ascii="宋体" w:hAnsi="宋体" w:cs="宋体"/>
          <w:sz w:val="24"/>
        </w:rPr>
        <w:t>3.4.2</w:t>
      </w:r>
      <w:r>
        <w:rPr>
          <w:rFonts w:hint="eastAsia" w:ascii="宋体" w:hAnsi="宋体" w:cs="宋体"/>
          <w:sz w:val="24"/>
          <w:lang w:val="zh-CN"/>
        </w:rPr>
        <w:t>投标人最终得分为评标委员会完成评审后所有评分的算术平均值，作为该投标人最终得分。</w:t>
      </w:r>
    </w:p>
    <w:p>
      <w:pPr>
        <w:adjustRightInd w:val="0"/>
        <w:snapToGrid w:val="0"/>
        <w:spacing w:line="480" w:lineRule="exact"/>
        <w:rPr>
          <w:rFonts w:ascii="宋体" w:hAnsi="宋体" w:cs="宋体"/>
          <w:sz w:val="24"/>
          <w:lang w:val="zh-CN"/>
        </w:rPr>
      </w:pPr>
      <w:r>
        <w:rPr>
          <w:rFonts w:hint="eastAsia" w:ascii="宋体" w:hAnsi="宋体" w:cs="宋体"/>
          <w:sz w:val="24"/>
        </w:rPr>
        <w:t xml:space="preserve">3.4.3 </w:t>
      </w:r>
      <w:r>
        <w:rPr>
          <w:rFonts w:hint="eastAsia" w:ascii="宋体" w:hAnsi="宋体" w:cs="宋体"/>
          <w:sz w:val="24"/>
          <w:lang w:val="zh-CN"/>
        </w:rPr>
        <w:t>投标人最终得分相同的，投标报价</w:t>
      </w:r>
      <w:r>
        <w:rPr>
          <w:rFonts w:hint="eastAsia" w:ascii="宋体" w:hAnsi="宋体" w:cs="宋体"/>
          <w:sz w:val="24"/>
        </w:rPr>
        <w:t>低</w:t>
      </w:r>
      <w:r>
        <w:rPr>
          <w:rFonts w:hint="eastAsia" w:ascii="宋体" w:hAnsi="宋体" w:cs="宋体"/>
          <w:sz w:val="24"/>
          <w:lang w:val="zh-CN"/>
        </w:rPr>
        <w:t>的优先，</w:t>
      </w:r>
      <w:r>
        <w:rPr>
          <w:rFonts w:hint="eastAsia" w:ascii="宋体" w:hAnsi="宋体" w:cs="宋体"/>
          <w:sz w:val="24"/>
        </w:rPr>
        <w:t>投标报价也相同的以技术得分高的优先，技术得分也相同的由采购人自行确定</w:t>
      </w:r>
      <w:r>
        <w:rPr>
          <w:rFonts w:hint="eastAsia" w:ascii="宋体" w:hAnsi="宋体" w:cs="宋体"/>
          <w:sz w:val="24"/>
          <w:lang w:val="zh-CN"/>
        </w:rPr>
        <w:t>。</w:t>
      </w:r>
    </w:p>
    <w:p>
      <w:pPr>
        <w:adjustRightInd w:val="0"/>
        <w:snapToGrid w:val="0"/>
        <w:spacing w:line="480" w:lineRule="exact"/>
        <w:rPr>
          <w:rFonts w:ascii="宋体" w:hAnsi="宋体" w:cs="宋体"/>
          <w:sz w:val="24"/>
          <w:lang w:val="zh-CN"/>
        </w:rPr>
      </w:pPr>
      <w:r>
        <w:rPr>
          <w:rFonts w:hint="eastAsia" w:ascii="宋体" w:hAnsi="宋体" w:cs="宋体"/>
          <w:sz w:val="24"/>
        </w:rPr>
        <w:t xml:space="preserve">3.4.4 </w:t>
      </w:r>
      <w:r>
        <w:rPr>
          <w:rFonts w:hint="eastAsia" w:ascii="宋体" w:hAnsi="宋体" w:cs="宋体"/>
          <w:sz w:val="24"/>
          <w:lang w:val="zh-CN"/>
        </w:rPr>
        <w:t>计分过程中按四舍五入的法则，最终结果取至小数点后两位。</w:t>
      </w:r>
    </w:p>
    <w:p>
      <w:pPr>
        <w:adjustRightInd w:val="0"/>
        <w:snapToGrid w:val="0"/>
        <w:spacing w:line="480" w:lineRule="exact"/>
        <w:rPr>
          <w:rFonts w:ascii="宋体" w:hAnsi="宋体" w:cs="宋体"/>
          <w:sz w:val="24"/>
          <w:lang w:val="zh-CN"/>
        </w:rPr>
      </w:pPr>
      <w:r>
        <w:rPr>
          <w:rFonts w:hint="eastAsia" w:ascii="宋体" w:hAnsi="宋体" w:cs="宋体"/>
          <w:sz w:val="24"/>
        </w:rPr>
        <w:t xml:space="preserve">3.4.5 </w:t>
      </w:r>
      <w:r>
        <w:rPr>
          <w:rFonts w:hint="eastAsia" w:ascii="宋体" w:hAnsi="宋体" w:cs="宋体"/>
          <w:sz w:val="24"/>
          <w:lang w:val="zh-CN"/>
        </w:rPr>
        <w:t>评标委员会按照得分由高到低的顺序推荐</w:t>
      </w:r>
      <w:r>
        <w:rPr>
          <w:rFonts w:hint="eastAsia" w:ascii="宋体" w:hAnsi="宋体" w:cs="宋体"/>
          <w:sz w:val="24"/>
        </w:rPr>
        <w:t>1-3名</w:t>
      </w:r>
      <w:r>
        <w:rPr>
          <w:rFonts w:hint="eastAsia" w:ascii="宋体" w:hAnsi="宋体" w:cs="宋体"/>
          <w:sz w:val="24"/>
          <w:lang w:val="zh-CN"/>
        </w:rPr>
        <w:t>中标候选人。</w:t>
      </w:r>
    </w:p>
    <w:p>
      <w:pPr>
        <w:adjustRightInd w:val="0"/>
        <w:snapToGrid w:val="0"/>
        <w:spacing w:line="480" w:lineRule="exact"/>
        <w:rPr>
          <w:rFonts w:ascii="宋体" w:hAnsi="宋体" w:cs="宋体"/>
          <w:sz w:val="24"/>
          <w:lang w:val="zh-CN"/>
        </w:rPr>
      </w:pPr>
      <w:r>
        <w:rPr>
          <w:rFonts w:hint="eastAsia" w:ascii="宋体" w:hAnsi="宋体" w:cs="宋体"/>
          <w:sz w:val="24"/>
        </w:rPr>
        <w:t xml:space="preserve">3.4.6 </w:t>
      </w:r>
      <w:r>
        <w:rPr>
          <w:rFonts w:hint="eastAsia" w:ascii="宋体" w:hAnsi="宋体" w:cs="宋体"/>
          <w:sz w:val="24"/>
          <w:lang w:val="zh-CN"/>
        </w:rPr>
        <w:t>评标委员会完成评标后，应当向采购人提交书面评标报告。</w:t>
      </w:r>
    </w:p>
    <w:p>
      <w:pPr>
        <w:adjustRightInd w:val="0"/>
        <w:snapToGrid w:val="0"/>
        <w:spacing w:line="480" w:lineRule="exact"/>
        <w:rPr>
          <w:rFonts w:ascii="宋体" w:hAnsi="宋体" w:cs="宋体"/>
          <w:b/>
          <w:bCs/>
          <w:sz w:val="24"/>
          <w:lang w:val="zh-CN"/>
        </w:rPr>
      </w:pPr>
      <w:r>
        <w:rPr>
          <w:rFonts w:hint="eastAsia" w:ascii="宋体" w:hAnsi="宋体" w:cs="宋体"/>
          <w:b/>
          <w:bCs/>
          <w:sz w:val="24"/>
        </w:rPr>
        <w:t xml:space="preserve">3.5 </w:t>
      </w:r>
      <w:r>
        <w:rPr>
          <w:rFonts w:hint="eastAsia" w:ascii="宋体" w:hAnsi="宋体" w:cs="宋体"/>
          <w:b/>
          <w:bCs/>
          <w:sz w:val="24"/>
          <w:lang w:val="zh-CN"/>
        </w:rPr>
        <w:t>顺延中标人或重新招标</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lang w:val="zh-CN"/>
        </w:rPr>
        <w:t>中标人因不可抗力不能履行政府采购合同的，采购人可以与排位在中标人之后第一位的中标候选人签订政府采购合同，或者重新采购。</w:t>
      </w:r>
    </w:p>
    <w:p>
      <w:pPr>
        <w:adjustRightInd w:val="0"/>
        <w:snapToGrid w:val="0"/>
        <w:spacing w:line="480" w:lineRule="exact"/>
        <w:rPr>
          <w:rFonts w:ascii="宋体" w:hAnsi="宋体" w:cs="宋体"/>
          <w:b/>
          <w:bCs/>
          <w:sz w:val="24"/>
        </w:rPr>
      </w:pPr>
      <w:bookmarkStart w:id="261" w:name="_Toc17922"/>
      <w:bookmarkStart w:id="262" w:name="_Toc11630"/>
      <w:bookmarkStart w:id="263" w:name="_Toc7468"/>
      <w:bookmarkStart w:id="264" w:name="_Toc28863"/>
      <w:bookmarkStart w:id="265" w:name="_Toc16293"/>
      <w:bookmarkStart w:id="266" w:name="_Toc19590"/>
      <w:bookmarkStart w:id="267" w:name="_Toc54"/>
      <w:r>
        <w:rPr>
          <w:rFonts w:hint="eastAsia" w:ascii="宋体" w:hAnsi="宋体" w:cs="宋体"/>
          <w:b/>
          <w:bCs/>
          <w:sz w:val="24"/>
        </w:rPr>
        <w:t>3.6 保密及其他注意事项</w:t>
      </w:r>
      <w:bookmarkEnd w:id="261"/>
      <w:bookmarkEnd w:id="262"/>
      <w:bookmarkEnd w:id="263"/>
      <w:bookmarkEnd w:id="264"/>
      <w:bookmarkEnd w:id="265"/>
      <w:bookmarkEnd w:id="266"/>
      <w:bookmarkEnd w:id="267"/>
    </w:p>
    <w:p>
      <w:pPr>
        <w:adjustRightInd w:val="0"/>
        <w:snapToGrid w:val="0"/>
        <w:spacing w:line="480" w:lineRule="exact"/>
        <w:rPr>
          <w:rFonts w:ascii="宋体" w:hAnsi="宋体" w:cs="宋体"/>
          <w:sz w:val="24"/>
          <w:lang w:val="zh-CN"/>
        </w:rPr>
      </w:pPr>
      <w:r>
        <w:rPr>
          <w:rFonts w:hint="eastAsia" w:ascii="宋体" w:hAnsi="宋体" w:cs="宋体"/>
          <w:sz w:val="24"/>
        </w:rPr>
        <w:t xml:space="preserve">3.6.1 </w:t>
      </w:r>
      <w:r>
        <w:rPr>
          <w:rFonts w:hint="eastAsia" w:ascii="宋体" w:hAnsi="宋体" w:cs="宋体"/>
          <w:sz w:val="24"/>
          <w:lang w:val="zh-CN"/>
        </w:rPr>
        <w:t>在评标期间，投标企业不得向评标委员会成员询问评标情况，不得进行旨在影响中标结果的活动。</w:t>
      </w:r>
    </w:p>
    <w:p>
      <w:pPr>
        <w:adjustRightInd w:val="0"/>
        <w:snapToGrid w:val="0"/>
        <w:spacing w:line="480" w:lineRule="exact"/>
        <w:rPr>
          <w:rFonts w:ascii="宋体" w:hAnsi="宋体" w:cs="宋体"/>
          <w:sz w:val="24"/>
          <w:lang w:val="zh-CN"/>
        </w:rPr>
      </w:pPr>
      <w:r>
        <w:rPr>
          <w:rFonts w:hint="eastAsia" w:ascii="宋体" w:hAnsi="宋体" w:cs="宋体"/>
          <w:sz w:val="24"/>
        </w:rPr>
        <w:t xml:space="preserve">3.6.2 </w:t>
      </w:r>
      <w:r>
        <w:rPr>
          <w:rFonts w:hint="eastAsia" w:ascii="宋体" w:hAnsi="宋体" w:cs="宋体"/>
          <w:sz w:val="24"/>
          <w:lang w:val="zh-CN"/>
        </w:rPr>
        <w:t>在评标结束后，凡与评标情况有接触的任何人不得也不应将评标情况扩散出评标委员会成员之外。</w:t>
      </w:r>
    </w:p>
    <w:p>
      <w:pPr>
        <w:adjustRightInd w:val="0"/>
        <w:snapToGrid w:val="0"/>
        <w:spacing w:line="480" w:lineRule="exact"/>
        <w:rPr>
          <w:rFonts w:ascii="宋体" w:hAnsi="宋体" w:cs="宋体"/>
          <w:sz w:val="24"/>
        </w:rPr>
      </w:pPr>
      <w:r>
        <w:rPr>
          <w:rFonts w:hint="eastAsia" w:ascii="宋体" w:hAnsi="宋体" w:cs="宋体"/>
          <w:sz w:val="24"/>
        </w:rPr>
        <w:t>3.6.3</w:t>
      </w:r>
      <w:r>
        <w:rPr>
          <w:rFonts w:hint="eastAsia" w:ascii="宋体" w:hAnsi="宋体" w:cs="宋体"/>
          <w:sz w:val="24"/>
          <w:lang w:val="zh-CN"/>
        </w:rPr>
        <w:t>招标代理机构不向落标方解释落标原因，不退还投标文件。</w:t>
      </w:r>
    </w:p>
    <w:p>
      <w:pPr>
        <w:tabs>
          <w:tab w:val="left" w:pos="720"/>
        </w:tabs>
        <w:spacing w:line="48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2"/>
        <w:spacing w:line="500" w:lineRule="exact"/>
        <w:rPr>
          <w:rFonts w:ascii="宋体" w:hAnsi="宋体" w:cs="宋体"/>
          <w:sz w:val="32"/>
          <w:szCs w:val="32"/>
        </w:rPr>
      </w:pPr>
      <w:r>
        <w:rPr>
          <w:rFonts w:hint="eastAsia"/>
          <w:sz w:val="32"/>
          <w:szCs w:val="32"/>
        </w:rPr>
        <w:t>第四章 合同条款及格式</w:t>
      </w:r>
      <w:bookmarkEnd w:id="247"/>
      <w:bookmarkEnd w:id="248"/>
      <w:bookmarkEnd w:id="249"/>
      <w:bookmarkEnd w:id="250"/>
      <w:r>
        <w:rPr>
          <w:rFonts w:hint="eastAsia"/>
          <w:sz w:val="32"/>
          <w:szCs w:val="32"/>
        </w:rPr>
        <w:t xml:space="preserve"> （仅供参考）</w:t>
      </w:r>
      <w:bookmarkEnd w:id="251"/>
      <w:bookmarkStart w:id="268" w:name="_Toc12807"/>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甲方：（采购单位）</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乙方：（供应商 ）</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甲、乙双方持采购人、采购代理公司签发的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采购项目成交通知书，根据采购文件、响应性文件的内容，并经双方协商一致，达成以下合同条款：</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二、货物质量要求及乙方对质量负责条件和期限：</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乙方提供的货物达到乙方响应文件及澄清中的技术标准。（售后服务要求按采购文件及响应性文件相应条款制订）</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三、交货时间、地点、方式、验收：</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乙方应于202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 月 日前按甲方要求在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（甲方指定地点）将货物运送达到验收条件。货物运送产生的费用由乙方负责。由甲方组织相关人员进行验收。</w:t>
      </w:r>
    </w:p>
    <w:p>
      <w:pPr>
        <w:numPr>
          <w:ilvl w:val="0"/>
          <w:numId w:val="9"/>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付款方式：成交人签订合同后，预付合同金额50％货款（成交供应商需提供保函），供货安装完毕经验收合格后付至合同价的100%。</w:t>
      </w:r>
    </w:p>
    <w:p>
      <w:pPr>
        <w:numPr>
          <w:ilvl w:val="0"/>
          <w:numId w:val="9"/>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违约责任：甲方无正当理由拒收货物、拒付货款的，向乙方偿付拒收拒付部分货物款总额的________违约金。</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乙方不能交付货物的，乙方向甲方支付未交付部分货物款总额____违约金。</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若因中标人原因不能按期按质供货的，将扣除中标人2万元的违约金，同时每超过一天另扣除合同金额的千分之一。</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六、因货物的质量问题发生争议，由甲方所在地市级技术监督单位进行质量鉴定。</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七、甲乙双方应严格遵守投标要求和供应商须知，如有违反，按投标要求和供应商须知规定予以处理。</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八、采购文件及其修改补充、投标文件及其修改补充澄清均为本合同的组成部分。</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十、合同生效及其它：</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本合同经甲、乙双方代表签字、加盖公章和骑缝章后生效。本合同一式五份，甲乙双方各持两份。合同签订后在2个工作日内，采购人将合同在焦作市政府采购网公示并备案。</w:t>
      </w:r>
    </w:p>
    <w:p>
      <w:pPr>
        <w:pStyle w:val="12"/>
      </w:pP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甲方：</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地址：</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法定代表人：</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委托代理人：</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电话：</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开户银行：</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银行账号：</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银行账号：</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签约时间：                     签约地点：</w:t>
      </w:r>
    </w:p>
    <w:p>
      <w:pPr>
        <w:adjustRightInd w:val="0"/>
        <w:spacing w:line="500" w:lineRule="exact"/>
        <w:ind w:firstLine="482" w:firstLineChars="200"/>
        <w:textAlignment w:val="baseline"/>
        <w:rPr>
          <w:rFonts w:asciiTheme="minorEastAsia" w:hAnsiTheme="minorEastAsia" w:eastAsiaTheme="minorEastAsia" w:cstheme="minorEastAsia"/>
          <w:b/>
          <w:bCs/>
          <w:sz w:val="24"/>
        </w:rPr>
      </w:pPr>
    </w:p>
    <w:p>
      <w:pPr>
        <w:adjustRightInd w:val="0"/>
        <w:spacing w:line="500" w:lineRule="exact"/>
        <w:ind w:firstLine="482" w:firstLineChars="20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重要提示：以上合同文本作为签订合同的重要依据，涉及付款方式、供应商名称等实质性内容不得变更。</w:t>
      </w: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rPr>
          <w:b/>
          <w:bCs/>
          <w:sz w:val="32"/>
          <w:szCs w:val="32"/>
        </w:rPr>
      </w:pPr>
    </w:p>
    <w:p>
      <w:pPr>
        <w:pStyle w:val="2"/>
        <w:spacing w:line="500" w:lineRule="exact"/>
        <w:rPr>
          <w:sz w:val="32"/>
          <w:szCs w:val="32"/>
        </w:rPr>
      </w:pPr>
      <w:bookmarkStart w:id="269" w:name="_Toc8682"/>
      <w:r>
        <w:rPr>
          <w:rFonts w:hint="eastAsia"/>
          <w:sz w:val="32"/>
          <w:szCs w:val="32"/>
        </w:rPr>
        <w:t>第五章 采购内容及技术要求</w:t>
      </w:r>
      <w:bookmarkEnd w:id="269"/>
    </w:p>
    <w:p>
      <w:pPr>
        <w:pStyle w:val="12"/>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项目名称：2024年度博爱县许良镇泗沟村食品加工采购项目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z w:val="24"/>
          <w:szCs w:val="24"/>
          <w:highlight w:val="red"/>
          <w:lang w:val="en-US" w:eastAsia="zh-CN"/>
        </w:rPr>
      </w:pPr>
      <w:r>
        <w:rPr>
          <w:rFonts w:hint="eastAsia" w:ascii="宋体" w:hAnsi="宋体" w:eastAsia="宋体" w:cs="宋体"/>
          <w:spacing w:val="-14"/>
          <w:sz w:val="24"/>
          <w:szCs w:val="24"/>
          <w:lang w:val="en-US" w:eastAsia="zh-CN"/>
        </w:rPr>
        <w:t>采购内容：采购黄豆提升系统、磨浆分离制浆系统、煮浆设备、老豆腐成型设备、豆干生产线、千张生产线、冲浆豆腐生产线等及其他配套设施。</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质量标准：合格，符合国家及行业规范标准。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合同履行期限（供货安装期）：合同签订后60日历天 </w:t>
      </w:r>
    </w:p>
    <w:p>
      <w:pPr>
        <w:pStyle w:val="12"/>
        <w:spacing w:line="275"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tbl>
      <w:tblPr>
        <w:tblStyle w:val="28"/>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886"/>
        <w:gridCol w:w="2046"/>
        <w:gridCol w:w="4659"/>
        <w:gridCol w:w="727"/>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984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一、黄豆提升、</w:t>
            </w:r>
            <w:r>
              <w:rPr>
                <w:rFonts w:hint="eastAsia" w:ascii="宋体" w:hAnsi="宋体" w:eastAsia="宋体" w:cs="宋体"/>
                <w:b/>
                <w:bCs/>
                <w:i w:val="0"/>
                <w:iCs w:val="0"/>
                <w:color w:val="000000"/>
                <w:kern w:val="0"/>
                <w:sz w:val="24"/>
                <w:szCs w:val="24"/>
                <w:highlight w:val="none"/>
                <w:u w:val="none"/>
                <w:lang w:val="en-US" w:eastAsia="zh-CN" w:bidi="ar"/>
              </w:rPr>
              <w:t>磨浆分离制浆系统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技术参数及要求</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黄豆提升浸泡系统</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环形吸豆机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规格尺寸φ600X2020mm（±50mm）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真空储豆桶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304材质，1.5mm钣金，</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规格尺寸φ800X1760mm（±50mm）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旋风真空储豆桶支架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输送管路</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304材质，规格尺寸φ60mm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干豆提升池</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1、外形尺寸：1000*1000*510mm （±50mm）材料厚度：1.5mm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2、材质采用304不锈钢</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吸豆电控箱</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304材质，尺寸：1000*1000*630mm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黄豆分豆器</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304材质，1.5mm钣金</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分配器轨道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304材质，规格尺寸4X60X60mm（±50mm）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浸泡桶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304材质，1.5mm钣金，</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规格尺寸2440X1140X1730mm（±50mm）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淌槽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304材质，1.5mm钣金，规格尺寸290X150mm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去杂淌槽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304材质，1.5mm钣金，规格尺寸290X290mm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淌槽弯头</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304材质，1.5mm钣金，</w:t>
            </w:r>
          </w:p>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规格尺寸R440*150mm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浸泡桶操作平台</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304材质，1.5mm防滑板，</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规格尺寸2440X1140X1210mm（±50mm）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浸泡桶支架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黄豆滤水筛</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304材质，1.5mm钣金，机架采用45*75mm方管焊接，电机功率≥1.1KW，</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规格尺寸2300X780X1100mm（±50mm）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分配小车</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304材质，1.5mm钣金，</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规格尺寸900X900X800mm（±50mm）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去杂排污阀门</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304材质</w:t>
            </w:r>
            <w:r>
              <w:rPr>
                <w:rFonts w:hint="eastAsia" w:ascii="宋体" w:hAnsi="宋体" w:eastAsia="宋体" w:cs="宋体"/>
                <w:i w:val="0"/>
                <w:iCs w:val="0"/>
                <w:color w:val="000000"/>
                <w:kern w:val="0"/>
                <w:sz w:val="24"/>
                <w:szCs w:val="24"/>
                <w:u w:val="none"/>
                <w:lang w:val="en-US" w:eastAsia="zh-CN" w:bidi="ar"/>
              </w:rPr>
              <w:t>,具体尺寸根据实际需要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浸泡桶管件弯头</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浸泡桶管件阀门</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浸泡桶冲洗跑道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浸泡给水管道阀</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自动控制系统箱</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304材质防水电箱，</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规格尺寸800X500X1800mm（±50mm）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磨浆分离制浆系统</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湿豆提升系统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材质采用不锈钢，含负压风机1台，真空储豆桶1个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储豆桶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304材质，1.5mm钣金，</w:t>
            </w:r>
          </w:p>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规格尺寸φ500X900mm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磨糊机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规格尺寸1060X410X630mm（±50mm）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磨浆机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304材质，功率≥7.5KW，磨片手动可调，可自动清洗，</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规格尺寸1150X730X1300mm（±50mm）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自动搅渣上渣机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大小生浆池</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规格尺寸1560X1010X700mm（±50mm）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抽浆泵</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304材质，功率≥2.2KW，</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规格尺寸660X310X350mm（±50mm）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抽渣泵</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304材质，功率≥3KW，</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规格尺寸820X310X*350mm（±50mm）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操作平台</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304材质，钣金1.5mm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PLC控制系统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304材质防水电箱，</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规格尺寸800X500X1800mm（±50mm）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70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88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净水设备</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前段净水设备</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预处理部分3250*3250mm【±250mm】， 主机尺寸2700*1000*2000mm【±200mm】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尾水处理设备</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豆尾水专用处理设备</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 碳钢材质；内部环氧树沥青防腐；外部丙烯酸防腐；尺寸：6000*2000*2000</w:t>
            </w:r>
            <w:r>
              <w:rPr>
                <w:rFonts w:hint="eastAsia" w:ascii="宋体" w:hAnsi="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100mm</w:t>
            </w:r>
            <w:r>
              <w:rPr>
                <w:rFonts w:hint="eastAsia" w:ascii="宋体" w:hAnsi="宋体" w:eastAsia="宋体" w:cs="宋体"/>
                <w:i w:val="0"/>
                <w:iCs w:val="0"/>
                <w:color w:val="000000"/>
                <w:kern w:val="0"/>
                <w:sz w:val="24"/>
                <w:szCs w:val="24"/>
                <w:highlight w:val="none"/>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984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二、煮浆设备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煮浆设备</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90#微压煮浆罐</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规格尺寸φ900X1700mm（±50mm）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电压380V，功率≥3KW</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蒸汽管道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尺寸根据现场实际情况定制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输浆管道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尺寸根据现场实际情况定制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 热输浆泵</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304材质，功率≥2.2KW，</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规格尺寸660X310X350mm（±50mm）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操作平台</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304材质，1.5mm防滑板，</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规格尺寸5500X400X500mm（±50mm）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自动控制系统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304材质防水电箱，</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规格尺寸800X500X1800mm（±50mm）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88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蒸汽锅炉</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免减蒸汽锅炉</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新型天然气节能锅炉2800*2200* 2500mm（±50mm）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高频振动式滤浆机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加高底座滤浆机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材质采用304不锈钢</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滤浆网</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70-80目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不锈钢底座加高</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不锈钢浆池</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材质采用的304不锈钢 材料厚度1.0mm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抽浆泵</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材质采用304不锈钢卫生泵，额定功率：≥2.2KW，扬程：≥24m,流量≥10t/H</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控制柜</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84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三、老豆腐成型设备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老豆腐成型主机设备</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80点脑桶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304材质，板厚1.5mm，规格尺寸Ф800×680mm（±50mm）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304材质，采用四边限位，气缸压榨，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规格尺寸3800X480X1800mm（±50mm）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循环轨道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304材质，1.5mm钣金</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豆腐加高框</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规格尺寸350X350X80mm（±50mm）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豆腐周转筐</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食品专用级别PV材质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压板</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控制放脑阀</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气动蝶阀</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放脑管件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进浆阀门</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热浆泵</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304材质，功率≥2.2KW，规格尺寸660X310X350mm（±50mm）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进浆管道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步进式气动</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点脑平台</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运行平台</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控制柜</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豆腐生产线辅助设备</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豆腐过水系统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电压：380v 功率：≥0.75kw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尺寸：10000x800x1500(mm) 长x宽x高，豆腐大小尺寸可定制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洗筐机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尺寸：10000*3400*13000mm,电压：380V，功率：</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lang w:val="en-US" w:eastAsia="zh-CN"/>
              </w:rPr>
              <w:t>5.5KW</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84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四、豆干生产线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豆干生产线</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豆腐干主机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304材质，钣金1.5mm，方管50*50mm（±50mm）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不锈钢楼梯</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不锈钢操作平台</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储浆点浆桶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304材质，气缸定量，</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规格尺寸550X200X1000mm（±50mm）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下脑装置</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304材质，机架采用50*50mm方管焊接，规格尺寸1300X900X2000mm（±50mm）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控制总成</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智能控制系统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专用豆浆泵</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尺寸：660*330*380mm,功率：</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lang w:val="en-US" w:eastAsia="zh-CN"/>
              </w:rPr>
              <w:t>3KW</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成型框</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304材质，1.5mm钣金焊接，规格尺寸700X700X800mm（±50mm）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自动升降系统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304材质，规格尺寸700X700X1200mm（±50mm）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304材质，规格尺寸610X6000mm（±50mm）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智能控制器自动气压机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304材质，气缸压榨，规格尺寸740X900X1880mm（±50mm）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不锈钢托板</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压板</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豆干磨具</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304材质，1.5mm钣金焊接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专用包布</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无纺</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PLC可编程控制箱</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智能控制箱 内含PLC、总开关、继电器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数控切块机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切块主机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材质为304不锈钢</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PLC控制系统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智能控制箱 内含PLC、总开关、继电器  触屏控制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84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五、千张生产线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千张生产线</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8米自动泼脑主机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304材质，主电机功率≥0.75KW，304链网输送，变频调速，叠布采用步进电机，规格尺寸7000X990X2560mm（±50mm）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不锈钢点脑桶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304材质，规格尺寸Ф780×1000mm（±50mm）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油压机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碳钢+304材质，压力可调，规格尺寸800X700X1900mm（±50mm）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自动折叠升降顶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吸脑泵</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功率≥2.2KW</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流浆桶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304材质，功率≥0.55KW，规格尺寸710X710X2500mm（±50mm）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泼脑电机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功率≥0.75KW，变频调速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放脑板</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放脑管</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成型网链</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链条式304网带，不跑偏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成型小车</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304材质，步进电机控制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压皮箱</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304材质，规格尺寸500X900X400mm（±50mm）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压板</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碳钢+304材质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自动推箱系统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油缸推拉</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中转小车</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剥皮机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304材质，功率≥1.1KW，规格尺寸2750X900X1250mm（±50mm）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包布</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纯棉，尺寸根据现场实际情况定制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卷布辊</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油压泵站</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304材质，功率≥3.7KW，双头油泵供油，采用稳压阀保压，</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规格尺寸720X660X600mm（±50mm）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PLC可编程控制柜</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智能控制箱 内含PLC、总开关、继电器.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p>
            <w:pPr>
              <w:jc w:val="center"/>
              <w:rPr>
                <w:rFonts w:hint="eastAsia" w:ascii="宋体" w:hAnsi="宋体" w:eastAsia="宋体" w:cs="宋体"/>
                <w:i w:val="0"/>
                <w:iCs w:val="0"/>
                <w:color w:val="000000"/>
                <w:kern w:val="0"/>
                <w:sz w:val="24"/>
                <w:szCs w:val="24"/>
                <w:u w:val="none"/>
                <w:lang w:val="en-US" w:eastAsia="zh-CN" w:bidi="ar"/>
              </w:rPr>
            </w:pPr>
          </w:p>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千张摊晾机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摊晾机支架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304材质，50*50mm方管焊接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功率≥0.75KW</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揭皮台</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304材质,具体尺寸根据实际需要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小推车</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输送网带</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蒸汽洗布机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碱水槽（煮布功能）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304材质，钣金1.5mm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清水槽</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304材质，钣金1.5mm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清洗喷头</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清洗包布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沥水装置</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动力电机</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电压≥0.75kw</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蒸汽管道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不锈钢管道尺寸根据现场实际情况定制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电控箱</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自动控制箱</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84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六、冲浆豆腐生产线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70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8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冲浆豆腐生产线</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冲浆线支架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主电机功率为≥0.37KW，机架采用50*50mm及45*75mm方管焊接，304材质，输送链条为304材质，规格尺寸8060X1330X800mm（±50mm）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搅拌桶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运行输送轨道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304材质，前段链条输送，后段气缸步进</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自动翻盒系统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304材质，板厚1.5-3.0mm，气缸翻箱</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自动冲浆系统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304材质，机架采用50*50mm及45*75mm方管焊接，自动定量，储浆桶内壁镀铁氟龙，规格尺寸1110X660X1300mm（±50mm）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上浆泵</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304材质，功率≥2.2KW，</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规格尺寸660X310X350mm（±50mm）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储料桶</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自动提升装置</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304材质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plc控制系统</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微电脑控制 PLC自动控制系统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pPr>
        <w:widowControl/>
        <w:spacing w:line="560" w:lineRule="exact"/>
        <w:rPr>
          <w:rFonts w:hint="eastAsia" w:asciiTheme="minorEastAsia" w:hAnsiTheme="minorEastAsia" w:eastAsiaTheme="minorEastAsia"/>
          <w:b/>
          <w:bCs/>
          <w:color w:val="auto"/>
          <w:sz w:val="24"/>
          <w:szCs w:val="24"/>
          <w:lang w:eastAsia="zh-CN"/>
        </w:rPr>
      </w:pPr>
    </w:p>
    <w:p>
      <w:pPr>
        <w:widowControl/>
        <w:spacing w:line="560" w:lineRule="exact"/>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注：本招标项目必须要实质性满足技术要求和商务要求：</w:t>
      </w:r>
    </w:p>
    <w:p>
      <w:pPr>
        <w:widowControl/>
        <w:spacing w:line="560" w:lineRule="exact"/>
        <w:ind w:firstLine="482" w:firstLineChars="200"/>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1、供应商提供的货物必须是原装全新、高于或等于</w:t>
      </w:r>
      <w:r>
        <w:rPr>
          <w:rFonts w:hint="eastAsia" w:asciiTheme="minorEastAsia" w:hAnsiTheme="minorEastAsia" w:eastAsiaTheme="minorEastAsia"/>
          <w:b/>
          <w:bCs/>
          <w:color w:val="auto"/>
          <w:sz w:val="24"/>
          <w:szCs w:val="24"/>
          <w:highlight w:val="none"/>
          <w:lang w:val="en-US" w:eastAsia="zh-CN"/>
        </w:rPr>
        <w:t>招标文件</w:t>
      </w:r>
      <w:r>
        <w:rPr>
          <w:rFonts w:hint="eastAsia" w:asciiTheme="minorEastAsia" w:hAnsiTheme="minorEastAsia" w:eastAsiaTheme="minorEastAsia"/>
          <w:b/>
          <w:bCs/>
          <w:color w:val="auto"/>
          <w:sz w:val="24"/>
          <w:szCs w:val="24"/>
          <w:lang w:eastAsia="zh-CN"/>
        </w:rPr>
        <w:t>规定技术参数的产品。</w:t>
      </w:r>
    </w:p>
    <w:p>
      <w:pPr>
        <w:widowControl/>
        <w:spacing w:line="560" w:lineRule="exact"/>
        <w:ind w:firstLine="482" w:firstLineChars="200"/>
        <w:rPr>
          <w:rFonts w:hint="eastAsia"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widowControl/>
        <w:spacing w:line="560" w:lineRule="exact"/>
        <w:ind w:firstLine="482" w:firstLineChars="200"/>
        <w:rPr>
          <w:rFonts w:hint="eastAsia"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4、</w:t>
      </w:r>
      <w:r>
        <w:rPr>
          <w:rFonts w:hint="eastAsia" w:asciiTheme="minorEastAsia" w:hAnsiTheme="minorEastAsia" w:eastAsiaTheme="minorEastAsia"/>
          <w:b/>
          <w:bCs/>
          <w:color w:val="auto"/>
          <w:sz w:val="24"/>
          <w:szCs w:val="24"/>
          <w:lang w:eastAsia="zh-CN"/>
        </w:rPr>
        <w:t>核心产品为：</w:t>
      </w:r>
      <w:r>
        <w:rPr>
          <w:rFonts w:hint="eastAsia" w:asciiTheme="minorEastAsia" w:hAnsiTheme="minorEastAsia" w:eastAsiaTheme="minorEastAsia"/>
          <w:b/>
          <w:bCs/>
          <w:color w:val="auto"/>
          <w:sz w:val="24"/>
          <w:szCs w:val="24"/>
          <w:lang w:val="en-US" w:eastAsia="zh-CN"/>
        </w:rPr>
        <w:t>黄豆提升、磨浆分离制浆系统</w:t>
      </w:r>
    </w:p>
    <w:p>
      <w:pPr>
        <w:widowControl/>
        <w:spacing w:line="560" w:lineRule="exact"/>
        <w:ind w:firstLine="482" w:firstLineChars="200"/>
        <w:rPr>
          <w:rFonts w:hint="eastAsia"/>
          <w:b/>
          <w:bCs/>
          <w:sz w:val="24"/>
          <w:highlight w:val="red"/>
        </w:rPr>
      </w:pPr>
      <w:r>
        <w:rPr>
          <w:rFonts w:hint="eastAsia" w:asciiTheme="minorEastAsia" w:hAnsiTheme="minorEastAsia" w:eastAsiaTheme="minorEastAsia"/>
          <w:b/>
          <w:bCs/>
          <w:color w:val="auto"/>
          <w:sz w:val="24"/>
          <w:szCs w:val="24"/>
          <w:lang w:eastAsia="zh-CN"/>
        </w:rPr>
        <w:t>3.本标的所属行业：</w:t>
      </w:r>
      <w:r>
        <w:rPr>
          <w:rFonts w:hint="eastAsia" w:asciiTheme="minorEastAsia" w:hAnsiTheme="minorEastAsia" w:eastAsiaTheme="minorEastAsia"/>
          <w:b/>
          <w:bCs/>
          <w:color w:val="auto"/>
          <w:sz w:val="24"/>
          <w:szCs w:val="24"/>
          <w:lang w:val="en-US" w:eastAsia="zh-CN"/>
        </w:rPr>
        <w:t>制造业</w:t>
      </w:r>
      <w:r>
        <w:rPr>
          <w:rFonts w:hint="eastAsia"/>
          <w:b/>
          <w:bCs/>
          <w:sz w:val="24"/>
          <w:highlight w:val="red"/>
        </w:rPr>
        <w:br w:type="page"/>
      </w:r>
    </w:p>
    <w:bookmarkEnd w:id="268"/>
    <w:p>
      <w:pPr>
        <w:pStyle w:val="2"/>
        <w:spacing w:before="0" w:after="0" w:line="500" w:lineRule="exact"/>
        <w:rPr>
          <w:sz w:val="32"/>
          <w:szCs w:val="32"/>
        </w:rPr>
      </w:pPr>
      <w:bookmarkStart w:id="270" w:name="_Toc18132"/>
      <w:bookmarkStart w:id="271" w:name="_Toc7906"/>
      <w:bookmarkStart w:id="272" w:name="_Toc403122572"/>
      <w:bookmarkStart w:id="273" w:name="_Toc426369533"/>
      <w:r>
        <w:rPr>
          <w:rFonts w:hint="eastAsia"/>
          <w:sz w:val="32"/>
          <w:szCs w:val="32"/>
        </w:rPr>
        <w:t>第六章 质疑与投诉</w:t>
      </w:r>
      <w:bookmarkEnd w:id="270"/>
    </w:p>
    <w:p>
      <w:pPr>
        <w:spacing w:line="500" w:lineRule="exact"/>
      </w:pPr>
    </w:p>
    <w:p>
      <w:pPr>
        <w:spacing w:line="500" w:lineRule="exact"/>
        <w:rPr>
          <w:b/>
          <w:bCs/>
          <w:sz w:val="28"/>
          <w:szCs w:val="28"/>
        </w:rPr>
      </w:pPr>
      <w:r>
        <w:rPr>
          <w:rFonts w:hint="eastAsia"/>
          <w:b/>
          <w:bCs/>
          <w:sz w:val="28"/>
          <w:szCs w:val="28"/>
        </w:rPr>
        <w:t>一、质疑与答复</w:t>
      </w:r>
    </w:p>
    <w:p>
      <w:pPr>
        <w:pStyle w:val="26"/>
        <w:spacing w:line="500" w:lineRule="exact"/>
        <w:ind w:firstLine="480" w:firstLineChars="200"/>
        <w:rPr>
          <w:rFonts w:hint="default" w:ascii="宋体" w:hAnsi="宋体" w:eastAsia="宋体" w:cs="宋体"/>
          <w:sz w:val="24"/>
        </w:rPr>
      </w:pPr>
      <w:r>
        <w:rPr>
          <w:rFonts w:ascii="宋体" w:hAnsi="宋体" w:eastAsia="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7"/>
        <w:spacing w:line="500" w:lineRule="exact"/>
        <w:ind w:firstLine="480"/>
        <w:rPr>
          <w:rFonts w:ascii="宋体" w:hAnsi="宋体" w:cs="宋体"/>
          <w:sz w:val="24"/>
        </w:rPr>
      </w:pPr>
      <w:r>
        <w:rPr>
          <w:rFonts w:hint="eastAsia" w:ascii="宋体" w:hAnsi="宋体" w:cs="宋体"/>
          <w:sz w:val="24"/>
        </w:rPr>
        <w:t>2. 供应商提出质疑应当提交质疑函和必要的证明材料。政府采购供应商质疑函范本下载地址：</w:t>
      </w:r>
    </w:p>
    <w:p>
      <w:pPr>
        <w:pStyle w:val="27"/>
        <w:spacing w:line="500" w:lineRule="exact"/>
        <w:ind w:left="420" w:leftChars="200"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31"/>
          <w:rFonts w:hint="eastAsia" w:ascii="宋体" w:hAnsi="宋体" w:cs="宋体"/>
          <w:color w:val="auto"/>
          <w:sz w:val="24"/>
        </w:rPr>
        <w:t>http://download.ccgp.gov.cn/2018/zhiyihanfanben.zip；</w:t>
      </w:r>
      <w:r>
        <w:rPr>
          <w:rStyle w:val="31"/>
          <w:rFonts w:hint="eastAsia" w:ascii="宋体" w:hAnsi="宋体" w:cs="宋体"/>
          <w:color w:val="auto"/>
          <w:sz w:val="24"/>
        </w:rPr>
        <w:fldChar w:fldCharType="end"/>
      </w:r>
    </w:p>
    <w:p>
      <w:pPr>
        <w:numPr>
          <w:ilvl w:val="0"/>
          <w:numId w:val="10"/>
        </w:numPr>
        <w:spacing w:line="500" w:lineRule="exact"/>
        <w:ind w:firstLine="480" w:firstLineChars="200"/>
        <w:rPr>
          <w:rFonts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pPr>
        <w:numPr>
          <w:ilvl w:val="0"/>
          <w:numId w:val="10"/>
        </w:numPr>
        <w:spacing w:line="500" w:lineRule="exact"/>
        <w:ind w:firstLine="480" w:firstLineChars="200"/>
        <w:rPr>
          <w:rFonts w:ascii="宋体" w:hAnsi="宋体" w:cs="宋体"/>
          <w:sz w:val="24"/>
        </w:rPr>
      </w:pPr>
      <w:r>
        <w:rPr>
          <w:rFonts w:hint="eastAsia" w:ascii="宋体" w:hAnsi="宋体" w:cs="宋体"/>
          <w:sz w:val="24"/>
        </w:rPr>
        <w:t>供应商提出质疑应当提交质疑函和必要的证明材料。质疑函应当包括下列内容：</w:t>
      </w:r>
    </w:p>
    <w:p>
      <w:pPr>
        <w:numPr>
          <w:ilvl w:val="1"/>
          <w:numId w:val="10"/>
        </w:numPr>
        <w:spacing w:line="500" w:lineRule="exact"/>
        <w:ind w:left="420" w:leftChars="200"/>
        <w:rPr>
          <w:rFonts w:ascii="宋体" w:hAnsi="宋体" w:cs="宋体"/>
          <w:sz w:val="24"/>
        </w:rPr>
      </w:pPr>
      <w:r>
        <w:rPr>
          <w:rFonts w:hint="eastAsia" w:ascii="宋体" w:hAnsi="宋体" w:cs="宋体"/>
          <w:sz w:val="24"/>
        </w:rPr>
        <w:t>供应商的姓名或者名称、地址、邮编、联系人及联系电话；</w:t>
      </w:r>
    </w:p>
    <w:p>
      <w:pPr>
        <w:numPr>
          <w:ilvl w:val="1"/>
          <w:numId w:val="10"/>
        </w:numPr>
        <w:spacing w:line="500" w:lineRule="exact"/>
        <w:ind w:left="420" w:leftChars="200"/>
        <w:rPr>
          <w:rFonts w:ascii="宋体" w:hAnsi="宋体" w:cs="宋体"/>
          <w:sz w:val="24"/>
        </w:rPr>
      </w:pPr>
      <w:r>
        <w:rPr>
          <w:rFonts w:hint="eastAsia" w:ascii="宋体" w:hAnsi="宋体" w:cs="宋体"/>
          <w:sz w:val="24"/>
        </w:rPr>
        <w:t>质疑项目的名称、编号；</w:t>
      </w:r>
    </w:p>
    <w:p>
      <w:pPr>
        <w:numPr>
          <w:ilvl w:val="1"/>
          <w:numId w:val="10"/>
        </w:numPr>
        <w:spacing w:line="500" w:lineRule="exact"/>
        <w:ind w:left="420" w:leftChars="200"/>
        <w:rPr>
          <w:rFonts w:ascii="宋体" w:hAnsi="宋体" w:cs="宋体"/>
          <w:sz w:val="24"/>
        </w:rPr>
      </w:pPr>
      <w:r>
        <w:rPr>
          <w:rFonts w:hint="eastAsia" w:ascii="宋体" w:hAnsi="宋体" w:cs="宋体"/>
          <w:sz w:val="24"/>
        </w:rPr>
        <w:t>具体、明确的质疑事项和与质疑事项相关的请求；</w:t>
      </w:r>
    </w:p>
    <w:p>
      <w:pPr>
        <w:numPr>
          <w:ilvl w:val="1"/>
          <w:numId w:val="10"/>
        </w:numPr>
        <w:spacing w:line="500" w:lineRule="exact"/>
        <w:ind w:left="420" w:leftChars="200"/>
        <w:rPr>
          <w:rFonts w:ascii="宋体" w:hAnsi="宋体" w:cs="宋体"/>
          <w:sz w:val="24"/>
        </w:rPr>
      </w:pPr>
      <w:r>
        <w:rPr>
          <w:rFonts w:hint="eastAsia" w:ascii="宋体" w:hAnsi="宋体" w:cs="宋体"/>
          <w:sz w:val="24"/>
        </w:rPr>
        <w:t>事实依据；</w:t>
      </w:r>
    </w:p>
    <w:p>
      <w:pPr>
        <w:numPr>
          <w:ilvl w:val="1"/>
          <w:numId w:val="10"/>
        </w:numPr>
        <w:spacing w:line="500" w:lineRule="exact"/>
        <w:ind w:left="420" w:leftChars="200"/>
        <w:rPr>
          <w:rFonts w:ascii="宋体" w:hAnsi="宋体" w:cs="宋体"/>
          <w:sz w:val="24"/>
        </w:rPr>
      </w:pPr>
      <w:r>
        <w:rPr>
          <w:rFonts w:hint="eastAsia" w:ascii="宋体" w:hAnsi="宋体" w:cs="宋体"/>
          <w:sz w:val="24"/>
        </w:rPr>
        <w:t>必要的法律依据；</w:t>
      </w:r>
    </w:p>
    <w:p>
      <w:pPr>
        <w:numPr>
          <w:ilvl w:val="1"/>
          <w:numId w:val="10"/>
        </w:numPr>
        <w:spacing w:line="500" w:lineRule="exact"/>
        <w:ind w:left="420" w:leftChars="200"/>
        <w:rPr>
          <w:rFonts w:ascii="宋体" w:hAnsi="宋体" w:cs="宋体"/>
          <w:sz w:val="24"/>
        </w:rPr>
      </w:pPr>
      <w:r>
        <w:rPr>
          <w:rFonts w:hint="eastAsia" w:ascii="宋体" w:hAnsi="宋体" w:cs="宋体"/>
          <w:sz w:val="24"/>
        </w:rPr>
        <w:t>提出质疑的日期；</w:t>
      </w:r>
    </w:p>
    <w:p>
      <w:pPr>
        <w:numPr>
          <w:ilvl w:val="1"/>
          <w:numId w:val="10"/>
        </w:numPr>
        <w:spacing w:line="500" w:lineRule="exact"/>
        <w:ind w:left="420" w:leftChars="200"/>
        <w:rPr>
          <w:rFonts w:ascii="宋体" w:hAnsi="宋体" w:cs="宋体"/>
          <w:sz w:val="24"/>
        </w:rPr>
      </w:pPr>
      <w:r>
        <w:rPr>
          <w:rFonts w:hint="eastAsia" w:ascii="宋体" w:hAnsi="宋体" w:cs="宋体"/>
          <w:sz w:val="24"/>
        </w:rPr>
        <w:t>获取招标文件的凭证；</w:t>
      </w:r>
    </w:p>
    <w:p>
      <w:pPr>
        <w:numPr>
          <w:ilvl w:val="1"/>
          <w:numId w:val="10"/>
        </w:numPr>
        <w:spacing w:line="500" w:lineRule="exact"/>
        <w:ind w:left="420" w:leftChars="200"/>
        <w:rPr>
          <w:rFonts w:ascii="宋体" w:hAnsi="宋体" w:cs="宋体"/>
          <w:sz w:val="24"/>
        </w:rPr>
      </w:pPr>
      <w:r>
        <w:rPr>
          <w:rFonts w:hint="eastAsia" w:ascii="宋体" w:hAnsi="宋体" w:cs="宋体"/>
          <w:sz w:val="24"/>
        </w:rPr>
        <w:t>如有委托人需提供授权委托人与公司的劳动关系证明；</w:t>
      </w:r>
    </w:p>
    <w:p>
      <w:pPr>
        <w:numPr>
          <w:ilvl w:val="1"/>
          <w:numId w:val="10"/>
        </w:numPr>
        <w:spacing w:line="500" w:lineRule="exact"/>
        <w:ind w:left="420" w:leftChars="200"/>
        <w:rPr>
          <w:rFonts w:ascii="宋体" w:hAnsi="宋体" w:cs="宋体"/>
          <w:sz w:val="24"/>
        </w:rPr>
      </w:pPr>
      <w:r>
        <w:rPr>
          <w:rFonts w:hint="eastAsia" w:ascii="宋体" w:hAnsi="宋体" w:cs="宋体"/>
          <w:sz w:val="24"/>
        </w:rPr>
        <w:t>以上资料一式二份（采购人、采购代理机构各执一份）。</w:t>
      </w:r>
    </w:p>
    <w:p>
      <w:pPr>
        <w:spacing w:line="500" w:lineRule="exact"/>
        <w:ind w:firstLine="480" w:firstLineChars="200"/>
        <w:rPr>
          <w:rFonts w:ascii="宋体" w:hAnsi="宋体" w:cs="宋体"/>
          <w:sz w:val="24"/>
        </w:rPr>
      </w:pPr>
      <w:r>
        <w:rPr>
          <w:rFonts w:hint="eastAsia" w:ascii="宋体" w:hAnsi="宋体" w:cs="宋体"/>
          <w:sz w:val="24"/>
        </w:rPr>
        <w:t>3.0投标人不得虚假质疑和恶意质疑，并对质疑内容的真实性承担责任。</w:t>
      </w:r>
    </w:p>
    <w:p>
      <w:pPr>
        <w:spacing w:line="500" w:lineRule="exact"/>
        <w:rPr>
          <w:b/>
          <w:bCs/>
          <w:sz w:val="28"/>
          <w:szCs w:val="28"/>
        </w:rPr>
      </w:pPr>
      <w:r>
        <w:rPr>
          <w:rFonts w:hint="eastAsia"/>
          <w:b/>
          <w:bCs/>
          <w:sz w:val="28"/>
          <w:szCs w:val="28"/>
        </w:rPr>
        <w:t>二、投诉与处理</w:t>
      </w:r>
    </w:p>
    <w:p>
      <w:pPr>
        <w:pStyle w:val="26"/>
        <w:spacing w:line="500" w:lineRule="exact"/>
        <w:ind w:firstLine="480" w:firstLineChars="200"/>
        <w:rPr>
          <w:rFonts w:hint="default"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1.质疑供应商对采购人、采购代理机构的答复不满意，或者采购人、采购代理机构未在规定时间内作出答复的，可以在答复期满后15个工作日内向本办法第六条规定的财政部门提起投诉。</w:t>
      </w:r>
    </w:p>
    <w:p>
      <w:pPr>
        <w:spacing w:line="500" w:lineRule="exact"/>
        <w:ind w:firstLine="480" w:firstLineChars="200"/>
        <w:rPr>
          <w:rFonts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pPr>
        <w:pStyle w:val="26"/>
        <w:spacing w:line="500" w:lineRule="exact"/>
        <w:ind w:firstLine="480" w:firstLineChars="200"/>
        <w:rPr>
          <w:rFonts w:hint="default"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6"/>
        <w:spacing w:line="500" w:lineRule="exact"/>
        <w:ind w:firstLine="640" w:firstLineChars="200"/>
        <w:rPr>
          <w:rFonts w:hint="default" w:ascii="宋体" w:hAnsi="宋体" w:eastAsia="宋体" w:cs="宋体"/>
          <w:sz w:val="24"/>
        </w:rPr>
      </w:pPr>
      <w:r>
        <w:fldChar w:fldCharType="begin"/>
      </w:r>
      <w:r>
        <w:instrText xml:space="preserve"> HYPERLINK "http://download.ccgp.gov.cn/2018/tousushufanben.zip" </w:instrText>
      </w:r>
      <w:r>
        <w:fldChar w:fldCharType="separate"/>
      </w:r>
      <w:r>
        <w:rPr>
          <w:rStyle w:val="31"/>
          <w:rFonts w:ascii="宋体" w:hAnsi="宋体" w:eastAsia="宋体" w:cs="宋体"/>
          <w:color w:val="auto"/>
          <w:sz w:val="24"/>
        </w:rPr>
        <w:t>http://download.ccgp.gov.cn/2018/tousushufanben.zip</w:t>
      </w:r>
      <w:r>
        <w:rPr>
          <w:rStyle w:val="31"/>
          <w:rFonts w:ascii="宋体" w:hAnsi="宋体" w:eastAsia="宋体" w:cs="宋体"/>
          <w:color w:val="auto"/>
          <w:sz w:val="24"/>
        </w:rPr>
        <w:fldChar w:fldCharType="end"/>
      </w:r>
    </w:p>
    <w:p>
      <w:pPr>
        <w:spacing w:line="500" w:lineRule="exact"/>
        <w:ind w:firstLine="480" w:firstLineChars="200"/>
        <w:rPr>
          <w:rFonts w:ascii="宋体" w:hAnsi="宋体" w:cs="宋体"/>
          <w:sz w:val="24"/>
        </w:rPr>
      </w:pPr>
      <w:r>
        <w:rPr>
          <w:rFonts w:hint="eastAsia" w:ascii="宋体" w:hAnsi="宋体" w:cs="宋体"/>
          <w:sz w:val="24"/>
        </w:rPr>
        <w:t>4.财政部门自收到投诉之日起30个工作日内，对投诉事项作出处理决定并公示。</w:t>
      </w:r>
    </w:p>
    <w:p>
      <w:pPr>
        <w:spacing w:line="500" w:lineRule="exact"/>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pPr>
        <w:spacing w:line="500" w:lineRule="exact"/>
        <w:ind w:firstLine="480" w:firstLineChars="200"/>
        <w:rPr>
          <w:rFonts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pPr>
        <w:pStyle w:val="27"/>
        <w:spacing w:line="500" w:lineRule="exact"/>
        <w:ind w:firstLine="480"/>
        <w:rPr>
          <w:rFonts w:ascii="宋体" w:hAnsi="宋体" w:cs="宋体"/>
          <w:sz w:val="24"/>
        </w:rPr>
      </w:pPr>
    </w:p>
    <w:p>
      <w:pPr>
        <w:spacing w:line="500" w:lineRule="exact"/>
        <w:rPr>
          <w:rFonts w:ascii="宋体" w:hAnsi="宋体" w:cs="宋体"/>
          <w:sz w:val="24"/>
        </w:rPr>
      </w:pPr>
      <w:r>
        <w:rPr>
          <w:rFonts w:hint="eastAsia" w:ascii="宋体" w:hAnsi="宋体" w:cs="宋体"/>
          <w:sz w:val="24"/>
        </w:rPr>
        <w:t xml:space="preserve">投诉联系电话：0391-8683273  </w:t>
      </w:r>
    </w:p>
    <w:p>
      <w:pPr>
        <w:spacing w:line="500" w:lineRule="exact"/>
        <w:rPr>
          <w:rFonts w:ascii="宋体" w:hAnsi="宋体" w:cs="宋体"/>
          <w:b/>
          <w:bCs/>
          <w:sz w:val="24"/>
        </w:rPr>
      </w:pPr>
      <w:r>
        <w:rPr>
          <w:rFonts w:hint="eastAsia" w:ascii="宋体" w:hAnsi="宋体" w:cs="宋体"/>
          <w:sz w:val="24"/>
        </w:rPr>
        <w:t xml:space="preserve">地址：博爱县机关综合办公楼主楼1213室 </w:t>
      </w:r>
    </w:p>
    <w:p>
      <w:pPr>
        <w:rPr>
          <w:rFonts w:ascii="宋体" w:hAnsi="宋体" w:cs="宋体"/>
          <w:szCs w:val="21"/>
        </w:rPr>
      </w:pPr>
    </w:p>
    <w:p>
      <w:pPr>
        <w:rPr>
          <w:szCs w:val="21"/>
        </w:rPr>
      </w:pPr>
    </w:p>
    <w:p>
      <w:pPr>
        <w:rPr>
          <w:szCs w:val="21"/>
        </w:rPr>
      </w:pPr>
    </w:p>
    <w:p>
      <w:pPr>
        <w:rPr>
          <w:szCs w:val="21"/>
        </w:rPr>
      </w:pPr>
    </w:p>
    <w:p>
      <w:pPr>
        <w:rPr>
          <w:szCs w:val="21"/>
        </w:rPr>
      </w:pPr>
    </w:p>
    <w:p>
      <w:pPr>
        <w:rPr>
          <w:szCs w:val="21"/>
        </w:rPr>
      </w:pPr>
    </w:p>
    <w:p/>
    <w:p/>
    <w:p>
      <w:pPr>
        <w:pStyle w:val="12"/>
      </w:pPr>
    </w:p>
    <w:p>
      <w:pPr>
        <w:pStyle w:val="13"/>
      </w:pPr>
    </w:p>
    <w:p>
      <w:pPr>
        <w:pStyle w:val="12"/>
      </w:pPr>
    </w:p>
    <w:p>
      <w:pPr>
        <w:pStyle w:val="13"/>
      </w:pPr>
    </w:p>
    <w:p>
      <w:pPr>
        <w:pStyle w:val="2"/>
        <w:spacing w:line="500" w:lineRule="exact"/>
        <w:rPr>
          <w:rFonts w:ascii="宋体" w:hAnsi="宋体" w:cs="宋体"/>
        </w:rPr>
      </w:pPr>
      <w:bookmarkStart w:id="274" w:name="_Toc3861"/>
      <w:r>
        <w:rPr>
          <w:rFonts w:hint="eastAsia" w:ascii="宋体" w:hAnsi="宋体" w:cs="宋体"/>
          <w:sz w:val="32"/>
          <w:szCs w:val="32"/>
        </w:rPr>
        <w:t>第七章 履约验收</w:t>
      </w:r>
      <w:bookmarkEnd w:id="274"/>
    </w:p>
    <w:p>
      <w:pPr>
        <w:pStyle w:val="26"/>
        <w:spacing w:line="500" w:lineRule="exact"/>
        <w:ind w:firstLine="480" w:firstLineChars="200"/>
        <w:rPr>
          <w:rFonts w:hint="default" w:ascii="宋体" w:hAnsi="宋体" w:eastAsia="宋体" w:cs="宋体"/>
          <w:sz w:val="24"/>
        </w:rPr>
      </w:pPr>
      <w:r>
        <w:rPr>
          <w:rFonts w:ascii="宋体" w:hAnsi="宋体" w:eastAsia="宋体" w:cs="宋体"/>
          <w:sz w:val="24"/>
        </w:rPr>
        <w:t>供应商履约完成后，向采购人提出验收建议，采购人自收到验收建议之日起五个工作日内，采购人组织供应商参与，共同完成验收。技术复杂、专业性强等项目可适当延长验收时间。验收流程如下：</w:t>
      </w:r>
    </w:p>
    <w:p>
      <w:pPr>
        <w:pStyle w:val="26"/>
        <w:numPr>
          <w:ilvl w:val="0"/>
          <w:numId w:val="11"/>
        </w:numPr>
        <w:spacing w:line="500" w:lineRule="exact"/>
        <w:ind w:firstLine="480" w:firstLineChars="200"/>
        <w:rPr>
          <w:rFonts w:hint="default" w:ascii="宋体" w:hAnsi="宋体" w:eastAsia="宋体" w:cs="宋体"/>
          <w:sz w:val="24"/>
        </w:rPr>
      </w:pPr>
      <w:r>
        <w:rPr>
          <w:rFonts w:ascii="宋体" w:hAnsi="宋体" w:eastAsia="宋体" w:cs="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6"/>
        <w:numPr>
          <w:ilvl w:val="0"/>
          <w:numId w:val="11"/>
        </w:numPr>
        <w:spacing w:line="500" w:lineRule="exact"/>
        <w:ind w:firstLine="480" w:firstLineChars="200"/>
        <w:rPr>
          <w:rFonts w:hint="default" w:ascii="宋体" w:hAnsi="宋体" w:eastAsia="宋体" w:cs="宋体"/>
          <w:sz w:val="24"/>
        </w:rPr>
      </w:pPr>
      <w:r>
        <w:rPr>
          <w:rFonts w:ascii="宋体" w:hAnsi="宋体" w:eastAsia="宋体" w:cs="宋体"/>
          <w:sz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6"/>
        <w:numPr>
          <w:ilvl w:val="0"/>
          <w:numId w:val="11"/>
        </w:numPr>
        <w:spacing w:line="500" w:lineRule="exact"/>
        <w:ind w:firstLine="480" w:firstLineChars="200"/>
        <w:rPr>
          <w:rFonts w:hint="default" w:ascii="宋体" w:hAnsi="宋体" w:eastAsia="宋体" w:cs="宋体"/>
          <w:sz w:val="24"/>
        </w:rPr>
      </w:pPr>
      <w:r>
        <w:rPr>
          <w:rFonts w:ascii="宋体" w:hAnsi="宋体" w:eastAsia="宋体" w:cs="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6"/>
        <w:numPr>
          <w:ilvl w:val="0"/>
          <w:numId w:val="11"/>
        </w:numPr>
        <w:spacing w:line="500" w:lineRule="exact"/>
        <w:ind w:firstLine="480" w:firstLineChars="200"/>
        <w:rPr>
          <w:rFonts w:hint="default" w:ascii="宋体" w:hAnsi="宋体" w:eastAsia="宋体" w:cs="宋体"/>
          <w:sz w:val="24"/>
        </w:rPr>
      </w:pPr>
      <w:r>
        <w:rPr>
          <w:rFonts w:ascii="宋体" w:hAnsi="宋体" w:eastAsia="宋体" w:cs="宋体"/>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2"/>
        <w:spacing w:line="500" w:lineRule="exact"/>
        <w:rPr>
          <w:rFonts w:ascii="宋体" w:hAnsi="宋体" w:cs="宋体"/>
          <w:sz w:val="24"/>
        </w:rPr>
      </w:pPr>
    </w:p>
    <w:p>
      <w:pPr>
        <w:pStyle w:val="13"/>
        <w:spacing w:line="500" w:lineRule="exact"/>
        <w:rPr>
          <w:rFonts w:ascii="宋体" w:hAnsi="宋体" w:cs="宋体"/>
          <w:sz w:val="24"/>
        </w:rPr>
      </w:pPr>
    </w:p>
    <w:p>
      <w:pPr>
        <w:pStyle w:val="12"/>
        <w:rPr>
          <w:rFonts w:asciiTheme="minorEastAsia" w:hAnsiTheme="minorEastAsia" w:eastAsiaTheme="minorEastAsia" w:cstheme="minorEastAsia"/>
          <w:szCs w:val="21"/>
        </w:rPr>
      </w:pPr>
    </w:p>
    <w:p>
      <w:pPr>
        <w:pStyle w:val="13"/>
        <w:rPr>
          <w:rFonts w:asciiTheme="minorEastAsia" w:hAnsiTheme="minorEastAsia" w:eastAsiaTheme="minorEastAsia" w:cstheme="minorEastAsia"/>
          <w:szCs w:val="21"/>
        </w:rPr>
      </w:pPr>
    </w:p>
    <w:p>
      <w:pPr>
        <w:pStyle w:val="12"/>
        <w:rPr>
          <w:rFonts w:asciiTheme="minorEastAsia" w:hAnsiTheme="minorEastAsia" w:eastAsiaTheme="minorEastAsia" w:cstheme="minorEastAsia"/>
          <w:szCs w:val="21"/>
        </w:rPr>
      </w:pPr>
    </w:p>
    <w:p>
      <w:pPr>
        <w:pStyle w:val="12"/>
      </w:pPr>
    </w:p>
    <w:p>
      <w:pPr>
        <w:pStyle w:val="2"/>
        <w:rPr>
          <w:sz w:val="32"/>
          <w:szCs w:val="32"/>
        </w:rPr>
      </w:pPr>
      <w:bookmarkStart w:id="275" w:name="_Toc12999"/>
      <w:bookmarkStart w:id="276" w:name="_Toc21125"/>
      <w:r>
        <w:rPr>
          <w:rFonts w:hint="eastAsia"/>
          <w:sz w:val="32"/>
          <w:szCs w:val="32"/>
        </w:rPr>
        <w:t>第八章  投标文件格式</w:t>
      </w:r>
      <w:bookmarkEnd w:id="271"/>
      <w:bookmarkEnd w:id="272"/>
      <w:bookmarkEnd w:id="273"/>
      <w:bookmarkEnd w:id="275"/>
      <w:bookmarkEnd w:id="276"/>
    </w:p>
    <w:p>
      <w:pPr>
        <w:rPr>
          <w:rFonts w:asciiTheme="minorEastAsia" w:hAnsiTheme="minorEastAsia" w:eastAsiaTheme="minorEastAsia" w:cstheme="minorEastAsia"/>
        </w:rPr>
      </w:pPr>
      <w:bookmarkStart w:id="277" w:name="_Toc403122573"/>
      <w:bookmarkStart w:id="278" w:name="_Toc18905"/>
      <w:bookmarkStart w:id="279" w:name="_Toc27452"/>
      <w:bookmarkStart w:id="280" w:name="_Toc402961301"/>
    </w:p>
    <w:bookmarkEnd w:id="277"/>
    <w:bookmarkEnd w:id="278"/>
    <w:bookmarkEnd w:id="279"/>
    <w:bookmarkEnd w:id="280"/>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pPr>
        <w:spacing w:line="360" w:lineRule="auto"/>
        <w:jc w:val="center"/>
        <w:rPr>
          <w:rFonts w:asciiTheme="minorEastAsia" w:hAnsiTheme="minorEastAsia" w:eastAsiaTheme="minorEastAsia" w:cstheme="minorEastAsia"/>
          <w:b/>
          <w:sz w:val="32"/>
          <w:szCs w:val="32"/>
        </w:rPr>
      </w:pPr>
    </w:p>
    <w:p>
      <w:pPr>
        <w:pStyle w:val="27"/>
      </w:pPr>
    </w:p>
    <w:p>
      <w:pPr>
        <w:pStyle w:val="27"/>
      </w:pPr>
    </w:p>
    <w:p>
      <w:pPr>
        <w:pStyle w:val="27"/>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9"/>
        <w:ind w:firstLine="3360" w:firstLineChars="1400"/>
        <w:rPr>
          <w:rFonts w:eastAsiaTheme="minorEastAsia"/>
        </w:rPr>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7"/>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7"/>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7"/>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pStyle w:val="27"/>
        <w:ind w:firstLine="883"/>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600" w:lineRule="exact"/>
        <w:jc w:val="center"/>
        <w:outlineLvl w:val="1"/>
        <w:rPr>
          <w:rFonts w:asciiTheme="minorEastAsia" w:hAnsiTheme="minorEastAsia" w:eastAsiaTheme="minorEastAsia" w:cstheme="minorEastAsia"/>
          <w:b/>
          <w:bCs/>
          <w:sz w:val="28"/>
          <w:szCs w:val="28"/>
        </w:rPr>
      </w:pPr>
      <w:bookmarkStart w:id="281" w:name="_Toc31547"/>
      <w:bookmarkStart w:id="282" w:name="_Toc2130"/>
      <w:r>
        <w:rPr>
          <w:rFonts w:hint="eastAsia"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83" w:name="_Toc1921"/>
      <w:r>
        <w:rPr>
          <w:rFonts w:hint="eastAsia" w:asciiTheme="minorEastAsia" w:hAnsiTheme="minorEastAsia" w:eastAsiaTheme="minorEastAsia" w:cstheme="minorEastAsia"/>
          <w:b/>
          <w:bCs/>
          <w:sz w:val="30"/>
          <w:szCs w:val="30"/>
        </w:rPr>
        <w:t>一、投标函</w:t>
      </w:r>
      <w:bookmarkEnd w:id="281"/>
      <w:r>
        <w:rPr>
          <w:rFonts w:hint="eastAsia" w:asciiTheme="minorEastAsia" w:hAnsiTheme="minorEastAsia" w:eastAsiaTheme="minorEastAsia" w:cstheme="minorEastAsia"/>
          <w:b/>
          <w:bCs/>
          <w:sz w:val="30"/>
          <w:szCs w:val="30"/>
        </w:rPr>
        <w:t>及开标一览表</w:t>
      </w:r>
      <w:bookmarkEnd w:id="282"/>
      <w:bookmarkEnd w:id="283"/>
    </w:p>
    <w:p>
      <w:pPr>
        <w:numPr>
          <w:ilvl w:val="0"/>
          <w:numId w:val="12"/>
        </w:numPr>
        <w:spacing w:line="600" w:lineRule="exact"/>
        <w:jc w:val="center"/>
        <w:outlineLvl w:val="2"/>
        <w:rPr>
          <w:rFonts w:asciiTheme="minorEastAsia" w:hAnsiTheme="minorEastAsia" w:eastAsiaTheme="minorEastAsia" w:cstheme="minorEastAsia"/>
          <w:b/>
          <w:sz w:val="28"/>
          <w:szCs w:val="28"/>
        </w:rPr>
      </w:pPr>
      <w:bookmarkStart w:id="284" w:name="_Toc28684"/>
      <w:bookmarkStart w:id="285" w:name="_Toc12044"/>
      <w:bookmarkStart w:id="286" w:name="_Toc600"/>
      <w:bookmarkStart w:id="287" w:name="_Toc27218"/>
      <w:r>
        <w:rPr>
          <w:rFonts w:hint="eastAsia" w:asciiTheme="minorEastAsia" w:hAnsiTheme="minorEastAsia" w:eastAsiaTheme="minorEastAsia" w:cstheme="minorEastAsia"/>
          <w:b/>
          <w:sz w:val="28"/>
          <w:szCs w:val="28"/>
        </w:rPr>
        <w:t>投标函</w:t>
      </w:r>
      <w:bookmarkEnd w:id="284"/>
      <w:bookmarkEnd w:id="285"/>
      <w:bookmarkEnd w:id="286"/>
      <w:bookmarkEnd w:id="287"/>
    </w:p>
    <w:p>
      <w:pPr>
        <w:pStyle w:val="27"/>
        <w:ind w:firstLine="0" w:firstLineChars="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6"/>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项目（采购编号：</w:t>
      </w:r>
      <w:r>
        <w:rPr>
          <w:rFonts w:ascii="宋体" w:hAnsi="宋体" w:eastAsia="宋体"/>
          <w:sz w:val="24"/>
          <w:u w:val="single"/>
        </w:rPr>
        <w:t xml:space="preserve">      </w:t>
      </w:r>
      <w:r>
        <w:rPr>
          <w:rFonts w:ascii="宋体" w:hAnsi="宋体" w:eastAsia="宋体"/>
          <w:sz w:val="24"/>
        </w:rPr>
        <w:t xml:space="preserve"> ）采购文件及有关纪要通知，现对参与投标及中标后工作，做出如下郑重承诺：</w:t>
      </w:r>
    </w:p>
    <w:p>
      <w:pPr>
        <w:spacing w:line="360" w:lineRule="auto"/>
        <w:ind w:firstLine="480" w:firstLineChars="200"/>
        <w:rPr>
          <w:rFonts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元，合同履行期限（供货安装期）：</w:t>
      </w:r>
      <w:r>
        <w:rPr>
          <w:rFonts w:hint="eastAsia" w:ascii="宋体" w:hAnsi="宋体"/>
          <w:sz w:val="24"/>
          <w:u w:val="single"/>
        </w:rPr>
        <w:t xml:space="preserve">           </w:t>
      </w:r>
      <w:r>
        <w:rPr>
          <w:rFonts w:hint="eastAsia" w:ascii="宋体" w:hAnsi="宋体"/>
          <w:sz w:val="24"/>
        </w:rPr>
        <w:t xml:space="preserve"> ，按合同约定实施和完成本项目。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adjustRightInd w:val="0"/>
        <w:snapToGrid w:val="0"/>
        <w:spacing w:before="190" w:beforeLines="50" w:line="360" w:lineRule="auto"/>
        <w:ind w:right="960"/>
        <w:rPr>
          <w:rFonts w:ascii="宋体" w:hAnsi="宋体" w:cs="宋体"/>
          <w:sz w:val="24"/>
        </w:rPr>
      </w:pPr>
      <w:r>
        <w:rPr>
          <w:rFonts w:hint="eastAsia" w:ascii="宋体" w:hAnsi="宋体" w:cs="宋体"/>
          <w:sz w:val="24"/>
        </w:rPr>
        <w:t>供应商名称（单位电子签章）：</w:t>
      </w:r>
    </w:p>
    <w:p>
      <w:pPr>
        <w:adjustRightInd w:val="0"/>
        <w:snapToGrid w:val="0"/>
        <w:spacing w:before="190" w:beforeLines="50" w:line="360" w:lineRule="auto"/>
        <w:ind w:right="420"/>
        <w:rPr>
          <w:rFonts w:ascii="宋体" w:hAnsi="宋体" w:cs="宋体"/>
          <w:sz w:val="24"/>
        </w:rPr>
      </w:pPr>
      <w:r>
        <w:rPr>
          <w:rFonts w:hint="eastAsia" w:ascii="宋体" w:hAnsi="宋体"/>
          <w:kern w:val="0"/>
          <w:sz w:val="24"/>
        </w:rPr>
        <w:t>法定代表人或授权委托代理人：（签字或盖章）</w:t>
      </w:r>
    </w:p>
    <w:p>
      <w:pPr>
        <w:adjustRightInd w:val="0"/>
        <w:snapToGrid w:val="0"/>
        <w:spacing w:line="440" w:lineRule="exact"/>
        <w:ind w:firstLine="5400" w:firstLineChars="2250"/>
        <w:rPr>
          <w:rFonts w:ascii="宋体" w:hAnsi="宋体" w:cs="宋体"/>
          <w:sz w:val="24"/>
        </w:rPr>
      </w:pPr>
      <w:r>
        <w:rPr>
          <w:rFonts w:hint="eastAsia" w:ascii="宋体" w:hAnsi="宋体" w:cs="宋体"/>
          <w:sz w:val="24"/>
        </w:rPr>
        <w:t>年   月    日</w:t>
      </w: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88" w:name="_Toc208"/>
      <w:bookmarkStart w:id="289" w:name="_Toc14778"/>
      <w:bookmarkStart w:id="290" w:name="_Toc31291"/>
      <w:bookmarkStart w:id="291" w:name="_Toc9543"/>
      <w:r>
        <w:rPr>
          <w:rFonts w:hint="eastAsia" w:asciiTheme="minorEastAsia" w:hAnsiTheme="minorEastAsia" w:eastAsiaTheme="minorEastAsia" w:cstheme="minorEastAsia"/>
          <w:b/>
          <w:bCs/>
          <w:sz w:val="28"/>
          <w:szCs w:val="28"/>
        </w:rPr>
        <w:t>（二） 开标一览表</w:t>
      </w:r>
      <w:bookmarkEnd w:id="288"/>
      <w:bookmarkEnd w:id="289"/>
      <w:bookmarkEnd w:id="290"/>
      <w:bookmarkEnd w:id="291"/>
    </w:p>
    <w:p>
      <w:pPr>
        <w:jc w:val="center"/>
        <w:rPr>
          <w:rFonts w:asciiTheme="minorEastAsia" w:hAnsiTheme="minorEastAsia" w:eastAsiaTheme="minorEastAsia" w:cstheme="minorEastAsia"/>
          <w:b/>
          <w:bCs/>
          <w:sz w:val="28"/>
        </w:rPr>
      </w:pPr>
    </w:p>
    <w:tbl>
      <w:tblPr>
        <w:tblStyle w:val="28"/>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4"/>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4"/>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14"/>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14"/>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14"/>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p>
          <w:p>
            <w:pPr>
              <w:spacing w:line="300" w:lineRule="exact"/>
              <w:jc w:val="center"/>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（供货安装期）</w:t>
            </w:r>
          </w:p>
        </w:tc>
        <w:tc>
          <w:tcPr>
            <w:tcW w:w="5898" w:type="dxa"/>
            <w:vAlign w:val="center"/>
          </w:tcPr>
          <w:p>
            <w:pPr>
              <w:pStyle w:val="14"/>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质保期</w:t>
            </w:r>
          </w:p>
        </w:tc>
        <w:tc>
          <w:tcPr>
            <w:tcW w:w="5898" w:type="dxa"/>
            <w:vAlign w:val="center"/>
          </w:tcPr>
          <w:p>
            <w:pPr>
              <w:pStyle w:val="14"/>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投标有效期</w:t>
            </w:r>
          </w:p>
        </w:tc>
        <w:tc>
          <w:tcPr>
            <w:tcW w:w="5898" w:type="dxa"/>
            <w:vAlign w:val="center"/>
          </w:tcPr>
          <w:p>
            <w:pPr>
              <w:pStyle w:val="14"/>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4"/>
              <w:spacing w:line="400" w:lineRule="exact"/>
              <w:ind w:firstLine="0" w:firstLineChars="0"/>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14"/>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4"/>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pStyle w:val="12"/>
      </w:pPr>
    </w:p>
    <w:p>
      <w:pPr>
        <w:adjustRightInd w:val="0"/>
        <w:snapToGrid w:val="0"/>
        <w:spacing w:before="190" w:beforeLines="50" w:line="500" w:lineRule="exact"/>
        <w:ind w:right="960"/>
        <w:rPr>
          <w:rFonts w:ascii="宋体" w:hAnsi="宋体" w:cs="宋体"/>
          <w:sz w:val="24"/>
        </w:rPr>
      </w:pPr>
      <w:r>
        <w:rPr>
          <w:rFonts w:hint="eastAsia" w:ascii="宋体" w:hAnsi="宋体" w:cs="宋体"/>
          <w:sz w:val="24"/>
        </w:rPr>
        <w:t>供应商名称（单位电子签章）：</w:t>
      </w:r>
    </w:p>
    <w:p>
      <w:pPr>
        <w:adjustRightInd w:val="0"/>
        <w:snapToGrid w:val="0"/>
        <w:spacing w:line="500" w:lineRule="exact"/>
        <w:rPr>
          <w:rFonts w:ascii="宋体" w:hAnsi="宋体"/>
          <w:kern w:val="0"/>
          <w:sz w:val="24"/>
        </w:rPr>
      </w:pPr>
      <w:r>
        <w:rPr>
          <w:rFonts w:hint="eastAsia" w:ascii="宋体" w:hAnsi="宋体"/>
          <w:kern w:val="0"/>
          <w:sz w:val="24"/>
        </w:rPr>
        <w:t>法定代表人或授权委托代理人：（签字或盖章）</w:t>
      </w:r>
    </w:p>
    <w:p>
      <w:pPr>
        <w:pStyle w:val="12"/>
        <w:spacing w:line="500" w:lineRule="exact"/>
      </w:pPr>
    </w:p>
    <w:p>
      <w:pPr>
        <w:adjustRightInd w:val="0"/>
        <w:snapToGrid w:val="0"/>
        <w:spacing w:line="500" w:lineRule="exact"/>
        <w:rPr>
          <w:rFonts w:ascii="宋体" w:hAnsi="宋体" w:cs="宋体"/>
          <w:sz w:val="24"/>
        </w:rPr>
      </w:pPr>
      <w:r>
        <w:rPr>
          <w:rFonts w:hint="eastAsia" w:ascii="宋体" w:hAnsi="宋体" w:cs="宋体"/>
          <w:sz w:val="24"/>
        </w:rPr>
        <w:t>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12"/>
        <w:rPr>
          <w:rFonts w:asciiTheme="minorEastAsia" w:hAnsiTheme="minorEastAsia" w:eastAsiaTheme="minorEastAsia" w:cstheme="minorEastAsia"/>
          <w:sz w:val="24"/>
        </w:rPr>
      </w:pPr>
    </w:p>
    <w:p>
      <w:pPr>
        <w:pStyle w:val="24"/>
        <w:spacing w:before="120" w:after="120" w:line="500" w:lineRule="exact"/>
        <w:ind w:right="29" w:rightChars="14"/>
        <w:outlineLvl w:val="9"/>
        <w:rPr>
          <w:rFonts w:asciiTheme="minorEastAsia" w:hAnsiTheme="minorEastAsia" w:eastAsiaTheme="minorEastAsia" w:cstheme="minorEastAsia"/>
          <w:sz w:val="24"/>
        </w:rPr>
      </w:pPr>
    </w:p>
    <w:p>
      <w:pPr>
        <w:pStyle w:val="24"/>
        <w:spacing w:before="120" w:after="120" w:line="500" w:lineRule="exact"/>
        <w:ind w:right="29" w:rightChars="14"/>
        <w:outlineLvl w:val="1"/>
        <w:rPr>
          <w:rFonts w:asciiTheme="minorEastAsia" w:hAnsiTheme="minorEastAsia" w:eastAsiaTheme="minorEastAsia" w:cstheme="minorEastAsia"/>
          <w:sz w:val="24"/>
        </w:rPr>
        <w:sectPr>
          <w:headerReference r:id="rId4" w:type="default"/>
          <w:footerReference r:id="rId5" w:type="default"/>
          <w:pgSz w:w="11907" w:h="16840"/>
          <w:pgMar w:top="1440" w:right="1519" w:bottom="1440" w:left="1576" w:header="850" w:footer="998" w:gutter="0"/>
          <w:pgNumType w:fmt="numberInDash" w:start="1"/>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pPr>
        <w:spacing w:line="440" w:lineRule="exact"/>
        <w:ind w:firstLine="308" w:firstLineChars="147"/>
        <w:rPr>
          <w:rFonts w:ascii="宋体" w:hAnsi="宋体" w:cs="宋体"/>
          <w:bCs/>
          <w:szCs w:val="21"/>
        </w:rPr>
      </w:pPr>
    </w:p>
    <w:tbl>
      <w:tblPr>
        <w:tblStyle w:val="2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307"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ind w:firstLine="235" w:firstLineChars="98"/>
              <w:jc w:val="center"/>
              <w:rPr>
                <w:bCs/>
              </w:rPr>
            </w:pPr>
          </w:p>
          <w:p>
            <w:pPr>
              <w:pStyle w:val="23"/>
              <w:widowControl w:val="0"/>
              <w:adjustRightInd w:val="0"/>
              <w:spacing w:before="0" w:beforeAutospacing="0" w:after="0" w:afterAutospacing="0" w:line="480" w:lineRule="exact"/>
              <w:jc w:val="center"/>
              <w:rPr>
                <w:bCs/>
              </w:rPr>
            </w:pPr>
            <w:r>
              <w:rPr>
                <w:rFonts w:hint="eastAsia"/>
                <w:bCs/>
              </w:rPr>
              <w:t>单价（元）</w:t>
            </w:r>
          </w:p>
          <w:p>
            <w:pPr>
              <w:pStyle w:val="23"/>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pPr>
              <w:pStyle w:val="23"/>
              <w:widowControl w:val="0"/>
              <w:adjustRightInd w:val="0"/>
              <w:spacing w:before="0" w:beforeAutospacing="0" w:after="0" w:afterAutospacing="0" w:line="480" w:lineRule="exact"/>
              <w:jc w:val="both"/>
              <w:rPr>
                <w:bCs/>
              </w:rPr>
            </w:pPr>
            <w:r>
              <w:rPr>
                <w:rFonts w:hint="eastAsia"/>
                <w:bCs/>
              </w:rPr>
              <w:t xml:space="preserve"> </w:t>
            </w:r>
          </w:p>
          <w:p>
            <w:pPr>
              <w:pStyle w:val="23"/>
              <w:widowControl w:val="0"/>
              <w:adjustRightInd w:val="0"/>
              <w:spacing w:before="0" w:beforeAutospacing="0" w:after="0" w:afterAutospacing="0" w:line="480" w:lineRule="exact"/>
              <w:jc w:val="both"/>
              <w:rPr>
                <w:bCs/>
              </w:rPr>
            </w:pPr>
            <w:r>
              <w:rPr>
                <w:rFonts w:hint="eastAsia"/>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07"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pPr>
              <w:pStyle w:val="23"/>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pPr>
              <w:pStyle w:val="23"/>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r>
              <w:rPr>
                <w:rFonts w:hint="eastAsia" w:ascii="宋体" w:hAnsi="宋体" w:cs="宋体"/>
                <w:bCs/>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
                <w:sz w:val="24"/>
              </w:rPr>
            </w:pPr>
            <w:r>
              <w:rPr>
                <w:rFonts w:hint="eastAsia" w:ascii="宋体" w:hAnsi="宋体" w:cs="宋体"/>
                <w:b/>
                <w:sz w:val="24"/>
              </w:rPr>
              <w:t>重要提示：1.本表的每一页须加盖企业印章；</w:t>
            </w:r>
          </w:p>
          <w:p>
            <w:pPr>
              <w:spacing w:line="480" w:lineRule="exact"/>
              <w:rPr>
                <w:rFonts w:ascii="宋体" w:hAnsi="宋体" w:cs="宋体"/>
                <w:bCs/>
                <w:sz w:val="24"/>
              </w:rPr>
            </w:pPr>
            <w:r>
              <w:rPr>
                <w:rFonts w:hint="eastAsia" w:ascii="宋体" w:hAnsi="宋体" w:cs="宋体"/>
                <w:b/>
                <w:sz w:val="24"/>
              </w:rPr>
              <w:t>2.涉及有国家标准的产品，须填写名称、品牌、型号及技术参数、报价等本表内容（若品牌、型号等填写的与实际不符，按照无效标处理）。</w:t>
            </w:r>
          </w:p>
        </w:tc>
      </w:tr>
    </w:tbl>
    <w:p>
      <w:pPr>
        <w:adjustRightInd w:val="0"/>
        <w:snapToGrid w:val="0"/>
        <w:spacing w:before="189" w:beforeLines="50" w:line="360" w:lineRule="auto"/>
        <w:ind w:right="960"/>
        <w:rPr>
          <w:rFonts w:ascii="宋体" w:hAnsi="宋体" w:cs="宋体"/>
          <w:sz w:val="24"/>
        </w:rPr>
      </w:pPr>
      <w:r>
        <w:rPr>
          <w:rFonts w:hint="eastAsia" w:ascii="宋体" w:hAnsi="宋体" w:cs="宋体"/>
          <w:sz w:val="24"/>
        </w:rPr>
        <w:t>供应商名称（单位电子签章）：</w:t>
      </w:r>
    </w:p>
    <w:p>
      <w:pPr>
        <w:spacing w:line="480" w:lineRule="exact"/>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28"/>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3"/>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bl>
    <w:p>
      <w:pPr>
        <w:spacing w:line="500" w:lineRule="exact"/>
        <w:ind w:firstLine="480" w:firstLineChars="200"/>
        <w:rPr>
          <w:rFonts w:ascii="宋体" w:hAnsi="宋体"/>
          <w:sz w:val="24"/>
        </w:rPr>
      </w:pPr>
      <w:r>
        <w:rPr>
          <w:rFonts w:hint="eastAsia" w:ascii="宋体" w:hAnsi="宋体"/>
          <w:sz w:val="24"/>
        </w:rPr>
        <w:t>注：投标人须对照招标文件技术规格，将自己所投的所有货物的功能、技术性能、配置等内容按照上表格式与招标文件要求逐条填写，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pPr>
        <w:numPr>
          <w:ilvl w:val="0"/>
          <w:numId w:val="13"/>
        </w:numPr>
        <w:spacing w:line="500" w:lineRule="exact"/>
        <w:ind w:firstLine="480" w:firstLineChars="200"/>
        <w:rPr>
          <w:rFonts w:ascii="宋体" w:hAnsi="宋体"/>
          <w:sz w:val="24"/>
        </w:rPr>
      </w:pPr>
      <w:r>
        <w:rPr>
          <w:rFonts w:hint="eastAsia" w:ascii="宋体" w:hAnsi="宋体"/>
          <w:sz w:val="24"/>
        </w:rPr>
        <w:t>对应项中的所有技术参数、性能和配置全部符合招标文件要求的才能填写“符合”；</w:t>
      </w:r>
    </w:p>
    <w:p>
      <w:pPr>
        <w:numPr>
          <w:ilvl w:val="0"/>
          <w:numId w:val="13"/>
        </w:numPr>
        <w:spacing w:line="500" w:lineRule="exact"/>
        <w:ind w:firstLine="480" w:firstLineChars="200"/>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pPr>
        <w:spacing w:line="500" w:lineRule="exact"/>
        <w:rPr>
          <w:rFonts w:ascii="宋体" w:hAnsi="宋体" w:cs="宋体"/>
          <w:sz w:val="24"/>
        </w:rPr>
      </w:pPr>
    </w:p>
    <w:p>
      <w:pPr>
        <w:adjustRightInd w:val="0"/>
        <w:snapToGrid w:val="0"/>
        <w:spacing w:before="189" w:beforeLines="50" w:line="360" w:lineRule="auto"/>
        <w:ind w:right="960"/>
        <w:rPr>
          <w:rFonts w:ascii="宋体" w:hAnsi="宋体" w:cs="宋体"/>
          <w:sz w:val="24"/>
        </w:rPr>
      </w:pPr>
      <w:r>
        <w:rPr>
          <w:rFonts w:hint="eastAsia" w:ascii="宋体" w:hAnsi="宋体" w:cs="宋体"/>
          <w:sz w:val="24"/>
        </w:rPr>
        <w:t>供应商名称（单位电子签章）：</w:t>
      </w:r>
    </w:p>
    <w:p>
      <w:pPr>
        <w:spacing w:line="480" w:lineRule="exact"/>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w:t>
      </w:r>
    </w:p>
    <w:p>
      <w:pPr>
        <w:ind w:left="1050" w:leftChars="500"/>
        <w:jc w:val="right"/>
        <w:rPr>
          <w:rFonts w:ascii="宋体" w:hAnsi="宋体" w:cs="宋体"/>
          <w:bCs/>
          <w:sz w:val="24"/>
        </w:rPr>
      </w:pPr>
      <w:r>
        <w:rPr>
          <w:rFonts w:hint="eastAsia" w:ascii="宋体" w:hAnsi="宋体" w:cs="宋体"/>
          <w:bCs/>
          <w:sz w:val="24"/>
        </w:rPr>
        <w:t xml:space="preserve"> 日  期：     年   月   日</w:t>
      </w:r>
    </w:p>
    <w:p>
      <w:pPr>
        <w:pStyle w:val="27"/>
        <w:ind w:firstLine="480"/>
        <w:rPr>
          <w:rFonts w:asciiTheme="minorEastAsia" w:hAnsiTheme="minorEastAsia" w:eastAsiaTheme="minorEastAsia" w:cstheme="minorEastAsia"/>
          <w:sz w:val="24"/>
        </w:rPr>
      </w:pPr>
    </w:p>
    <w:p>
      <w:pPr>
        <w:numPr>
          <w:ilvl w:val="0"/>
          <w:numId w:val="14"/>
        </w:numPr>
        <w:jc w:val="center"/>
        <w:rPr>
          <w:b/>
          <w:bCs/>
          <w:sz w:val="28"/>
          <w:szCs w:val="28"/>
        </w:rPr>
      </w:pPr>
      <w:bookmarkStart w:id="292" w:name="_Toc5614"/>
      <w:bookmarkStart w:id="293" w:name="_Toc26698"/>
      <w:bookmarkStart w:id="294" w:name="_Toc2213"/>
      <w:r>
        <w:rPr>
          <w:rFonts w:hint="eastAsia"/>
          <w:b/>
          <w:bCs/>
          <w:sz w:val="28"/>
          <w:szCs w:val="28"/>
        </w:rPr>
        <w:t>法定代表人身份证明书</w:t>
      </w:r>
      <w:bookmarkEnd w:id="292"/>
      <w:bookmarkEnd w:id="293"/>
      <w:bookmarkEnd w:id="294"/>
    </w:p>
    <w:p/>
    <w:p>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pPr>
        <w:spacing w:line="360" w:lineRule="auto"/>
        <w:ind w:firstLine="480" w:firstLineChars="200"/>
        <w:rPr>
          <w:rFonts w:ascii="宋体" w:hAnsi="宋体"/>
          <w:sz w:val="24"/>
        </w:rPr>
      </w:pPr>
      <w:r>
        <w:rPr>
          <w:rFonts w:hint="eastAsia" w:ascii="宋体" w:hAnsi="宋体"/>
          <w:sz w:val="24"/>
        </w:rPr>
        <w:t>特此证明。</w:t>
      </w:r>
    </w:p>
    <w:p>
      <w:pP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txbxContent>
                </v:textbox>
              </v:shape>
            </w:pict>
          </mc:Fallback>
        </mc:AlternateContent>
      </w:r>
    </w:p>
    <w:p>
      <w:pP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40640</wp:posOffset>
                </wp:positionV>
                <wp:extent cx="2954655" cy="2268220"/>
                <wp:effectExtent l="4445" t="5080" r="12700" b="12700"/>
                <wp:wrapNone/>
                <wp:docPr id="3" name="自选图形 2"/>
                <wp:cNvGraphicFramePr/>
                <a:graphic xmlns:a="http://schemas.openxmlformats.org/drawingml/2006/main">
                  <a:graphicData uri="http://schemas.microsoft.com/office/word/2010/wordprocessingShape">
                    <wps:wsp>
                      <wps:cNvSpPr/>
                      <wps:spPr>
                        <a:xfrm>
                          <a:off x="0" y="0"/>
                          <a:ext cx="2954655" cy="2268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2" o:spid="_x0000_s1026" o:spt="176" type="#_x0000_t176" style="position:absolute;left:0pt;margin-left:208.6pt;margin-top:3.2pt;height:178.6pt;width:232.65pt;z-index:251661312;mso-width-relative:page;mso-height-relative:page;" fillcolor="#FFFFFF" filled="t" stroked="t" coordsize="21600,21600" o:gfxdata="UEsDBAoAAAAAAIdO4kAAAAAAAAAAAAAAAAAEAAAAZHJzL1BLAwQUAAAACACHTuJAcSADN9gAAAAJ&#10;AQAADwAAAGRycy9kb3ducmV2LnhtbE2PT0+EMBTE7yZ+h+aZeHPLn5VFlrIxGj15ETfxWuhbSqSv&#10;hBYW/fTWk3uczGTmN+VhNQNbcHK9JQHxJgKG1FrVUyfg+PFylwNzXpKSgyUU8I0ODtX1VSkLZc/0&#10;jkvtOxZKyBVSgPZ+LDh3rUYj3caOSME72clIH+TUcTXJcyg3A0+iKONG9hQWtBzxSWP7Vc9GwPr2&#10;0zzMr3Fbe51nu890eX48ciFub+JoD8zj6v/D8Icf0KEKTI2dSTk2CNjGuyREBWRbYMHP8+QeWCMg&#10;zdIMeFXyywfVL1BLAwQUAAAACACHTuJAIdRS8SICAABTBAAADgAAAGRycy9lMm9Eb2MueG1srVTN&#10;jtMwEL4j8Q6W7zRtoNVu1HSFtpQLgkq7PIDrTBJL/pPtNumNG+IZuHHkHdi3WQneYsdOKd2FQw/k&#10;kI7jmc/f982486teSbID54XRJZ2MxpSA5qYSuinpx9vViwtKfGC6YtJoKOkePL1aPH8272wBuWmN&#10;rMARBNG+6GxJ2xBskWWet6CYHxkLGjdr4xQLuHRNVjnWIbqSWT4ez7LOuMo6w8F7/LocNukB0Z0D&#10;aOpacFgavlWgw4DqQLKAknwrrKeLxLaugYcPde0hEFlSVBrSGw/BeBPf2WLOisYx2wp+oMDOofBE&#10;k2JC46FHqCULjGyd+AtKCe6MN3UYcaOyQUhyBFVMxk+8uWmZhaQFrfb2aLr/f7D8/W7tiKhK+pIS&#10;zRQ2/Ofn778+fbn/enf/4xvJo0Od9QUm3ti1O6w8hlFuXzsVf1EI6ZOr+6Or0AfC8WN+OX01m04p&#10;4biX57OLPE++Z3/KrfPhLRhFYlDSWpruumUuvJYBnGYB1sO8JIvZ7p0PyAPrf9dFCt5IUa2ElGnh&#10;ms21dGTHsO+r9EQhWPIoTWrSlfRymkd2DIe5xiHCUFk0xOsmnfeowp8Cj9PzL+BIbMl8OxBICDGN&#10;FUqgohS1wKo3uiJhb9F0jXeNRjIKKkok4NWMUcoMTMhzMlGd1PEQSIN/cCk2b2hXjEK/6RE0hhtT&#10;7bH3W+tE06LrkyQk7uCsJa8O9yIO8+ka49P/gs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SAD&#10;N9gAAAAJAQAADwAAAAAAAAABACAAAAAiAAAAZHJzL2Rvd25yZXYueG1sUEsBAhQAFAAAAAgAh07i&#10;QCHUUvEiAgAAUwQAAA4AAAAAAAAAAQAgAAAAJwEAAGRycy9lMm9Eb2MueG1sUEsFBgAAAAAGAAYA&#10;WQEAALsFAAAAAA==&#10;">
                <v:fill on="t" focussize="0,0"/>
                <v:stroke color="#000000" joinstyle="miter"/>
                <v:imagedata o:title=""/>
                <o:lock v:ext="edit" aspectratio="f"/>
                <v:textbox>
                  <w:txbxContent>
                    <w:p/>
                  </w:txbxContent>
                </v:textbox>
              </v:shape>
            </w:pict>
          </mc:Fallback>
        </mc:AlternateContent>
      </w:r>
    </w:p>
    <w:p>
      <w:pP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403475" cy="677545"/>
                <wp:effectExtent l="4445" t="4445" r="11430" b="22860"/>
                <wp:wrapNone/>
                <wp:docPr id="2" name="文本框 5"/>
                <wp:cNvGraphicFramePr/>
                <a:graphic xmlns:a="http://schemas.openxmlformats.org/drawingml/2006/main">
                  <a:graphicData uri="http://schemas.microsoft.com/office/word/2010/wordprocessingShape">
                    <wps:wsp>
                      <wps:cNvSpPr txBox="1"/>
                      <wps:spPr>
                        <a:xfrm>
                          <a:off x="0" y="0"/>
                          <a:ext cx="2403475"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53.35pt;width:189.25pt;z-index:251660288;mso-width-relative:page;mso-height-relative:page;" fillcolor="#FFFFFF" filled="t" stroked="t" coordsize="21600,21600" o:gfxdata="UEsDBAoAAAAAAIdO4kAAAAAAAAAAAAAAAAAEAAAAZHJzL1BLAwQUAAAACACHTuJAYY3XZtkAAAAK&#10;AQAADwAAAGRycy9kb3ducmV2LnhtbE2PwU7DMAyG70i8Q2QkLmhLu0K2laY7IIHgBgPBNWu8tiJx&#10;SpN14+0xJzhZlj/9/v5qc/JOTDjGPpCGfJ6BQGqC7anV8PZ6P1uBiMmQNS4QavjGCJv6/KwypQ1H&#10;esFpm1rBIRRLo6FLaSiljE2H3sR5GJD4tg+jN4nXsZV2NEcO904uskxJb3riD50Z8K7D5nN78BpW&#10;14/TR3wqnt8btXfrdLWcHr5GrS8v8uwWRMJT+oPhV5/VoWanXTiQjcJpmOVKMapB3fBkoFD5GsSO&#10;yeWiAFlX8n+F+gdQSwMEFAAAAAgAh07iQAzeXj0TAgAARAQAAA4AAABkcnMvZTJvRG9jLnhtbK1T&#10;zY7TMBC+I/EOlu802dJu2ajpSlDKBQHSwgO49iSx5D/ZbpO+ALwBJy7cea4+x47dbre7cOiBHJyx&#10;Z/zNN9+M57eDVmQLPkhrano1KikBw62Qpq3pt6+rV28oCZEZwZQ1UNMdBHq7ePli3rsKxrazSoAn&#10;CGJC1buadjG6qigC70CzMLIODDob6zWLuPVtITzrEV2rYlyW10VvvXDecggBT5cHJz0i+ksAbdNI&#10;DkvLNxpMPKB6UCxiSaGTLtBFZts0wOPnpgkQiaopVhrziknQXqe1WMxZ1XrmOsmPFNglFJ7VpJk0&#10;mPQEtWSRkY2Xf0Fpyb0NtokjbnVxKCQrglVclc+0ueuYg1wLSh3cSfTw/2D5p+0XT6So6ZgSwzQ2&#10;fP/zx/7Xn/3v72Sa5OldqDDqzmFcHN7aAYfm4TzgYap6aLxOf6yHoB/F3Z3EhSESjofjSfl6MptS&#10;wtF3PZtNJxm+eLztfIgfwGqSjJp6bF7WlG0/hohMMPQhJCULVkmxkkrljW/X75QnW4aNXuUvkcQr&#10;T8KUIX1Nb6bjxIPh9DY4NWhqhwoE0+Z8T26Ec+Ayf/8CTsSWLHQHAhkhhbFKywg+Wx0w8d4IEncO&#10;VTb4uGgio0FQogDfYrJyZGRSXRKJ1SmTkkCe9KNKqWGHxiQrDusBQZO5tmKHTdw4L9sOBc5tLJIH&#10;hytrdXwIaXrP92ifP/7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N12bZAAAACgEAAA8AAAAA&#10;AAAAAQAgAAAAIgAAAGRycy9kb3ducmV2LnhtbFBLAQIUABQAAAAIAIdO4kAM3l49EwIAAEQEAAAO&#10;AAAAAAAAAAEAIAAAACgBAABkcnMvZTJvRG9jLnhtbFBLBQYAAAAABgAGAFkBAACtBQAAAAA=&#10;">
                <v:fill on="t" focussize="0,0"/>
                <v:stroke color="#000000" joinstyle="miter"/>
                <v:imagedata o:title=""/>
                <o:lock v:ext="edit" aspectratio="f"/>
                <v:textbox>
                  <w:txbxContent>
                    <w:p>
                      <w:pPr>
                        <w:jc w:val="center"/>
                      </w:pPr>
                      <w:r>
                        <w:rPr>
                          <w:rFonts w:hint="eastAsia" w:ascii="宋体" w:hAnsi="宋体"/>
                          <w:sz w:val="24"/>
                        </w:rPr>
                        <w:t>法定代表人身份证复印件粘贴处（正面）</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673985" cy="766445"/>
                <wp:effectExtent l="4445" t="5080" r="7620" b="9525"/>
                <wp:wrapNone/>
                <wp:docPr id="4" name="文本框 4"/>
                <wp:cNvGraphicFramePr/>
                <a:graphic xmlns:a="http://schemas.openxmlformats.org/drawingml/2006/main">
                  <a:graphicData uri="http://schemas.microsoft.com/office/word/2010/wordprocessingShape">
                    <wps:wsp>
                      <wps:cNvSpPr txBox="1"/>
                      <wps:spPr>
                        <a:xfrm>
                          <a:off x="0" y="0"/>
                          <a:ext cx="2673985" cy="766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sz w:val="24"/>
                              </w:rPr>
                            </w:pPr>
                            <w:r>
                              <w:rPr>
                                <w:rFonts w:hint="eastAsia" w:ascii="宋体" w:hAnsi="宋体"/>
                                <w:sz w:val="24"/>
                              </w:rPr>
                              <w:t>法定代表人身份证复印件粘贴处</w:t>
                            </w:r>
                          </w:p>
                          <w:p>
                            <w:pPr>
                              <w:jc w:val="center"/>
                            </w:pPr>
                            <w:r>
                              <w:rPr>
                                <w:rFonts w:hint="eastAsia" w:ascii="宋体" w:hAnsi="宋体"/>
                                <w:sz w:val="24"/>
                              </w:rPr>
                              <w:t>（背面）</w:t>
                            </w:r>
                          </w:p>
                        </w:txbxContent>
                      </wps:txbx>
                      <wps:bodyPr upright="1"/>
                    </wps:wsp>
                  </a:graphicData>
                </a:graphic>
              </wp:anchor>
            </w:drawing>
          </mc:Choice>
          <mc:Fallback>
            <w:pict>
              <v:shape id="_x0000_s1026" o:spid="_x0000_s1026" o:spt="202" type="#_x0000_t202" style="position:absolute;left:0pt;margin-left:219pt;margin-top:28.45pt;height:60.35pt;width:210.55pt;z-index:251662336;mso-width-relative:page;mso-height-relative:page;" fillcolor="#FFFFFF" filled="t" stroked="t" coordsize="21600,21600" o:gfxdata="UEsDBAoAAAAAAIdO4kAAAAAAAAAAAAAAAAAEAAAAZHJzL1BLAwQUAAAACACHTuJAvlZI3tkAAAAK&#10;AQAADwAAAGRycy9kb3ducmV2LnhtbE2Py07DMBBF90j8gzVIbBB1Qtu8iNMFEgh2UBBs3XiaRMTj&#10;YLtp+XuGFSxHc3TvufXmZEcxow+DIwXpIgGB1DozUKfg7fX+ugARoiajR0eo4BsDbJrzs1pXxh3p&#10;Bedt7ASHUKi0gj7GqZIytD1aHRZuQuLf3nmrI5++k8brI4fbUd4kSSatHogbej3hXY/t5/ZgFRSr&#10;x/kjPC2f39tsP5bxKp8fvrxSlxdpcgsi4in+wfCrz+rQsNPOHcgEMSpYLQveEhWssxIEA8W6TEHs&#10;mMzzDGRTy/8Tmh9QSwMEFAAAAAgAh07iQGidh30RAgAARAQAAA4AAABkcnMvZTJvRG9jLnhtbK1T&#10;zY4TMQy+I/EOUe50uqXt7o46XQlKuSBAWniANMnMRMqf4rQzfQF4A05cuPNcfY51Mt3SXTj0wBwy&#10;ju18tj/bi7veaLKTAZSzFb0ajSmRljuhbFPRr1/Wr24ogcisYNpZWdG9BHq3fPli0flSTlzrtJCB&#10;IIiFsvMVbWP0ZVEAb6VhMHJeWjTWLhgW8RqaQgTWIbrRxWQ8nhedC8IHxyUAaleDkR4RwyWArq4V&#10;lyvHt0baOKAGqVnEkqBVHugyZ1vXksdPdQ0yEl1RrDTmE4OgvElnsVywsgnMt4ofU2CXpPCsJsOU&#10;xaAnqBWLjGyD+gvKKB4cuDqOuDPFUEhmBKu4Gj/j5r5lXuZakGrwJ9Lh/8Hyj7vPgShR0Skllhls&#10;+OHH98PP34df38g00dN5KNHr3qNf7N+4HofmUQ+oTFX3dTDpj/UQtCO5+xO5so+Eo3Iyv359ezOj&#10;hKPtej6fTmcJpvjz2geI76UzJAkVDdi8zCnbfYA4uD66pGDgtBJrpXW+hGbzVgeyY9jodf6O6E/c&#10;tCVdRW9nk5QHw+mtcWpQNB4ZANvkeE9ewDnwOH//Ak6JrRi0QwIZIbmx0qgoQ5ZaycQ7K0jce2TZ&#10;4nLRlIyRghItcReTlD0jU/oST+RO2xRE5kk/spQaNjQmSbHf9AiaxI0Te2zi1gfVtEhwbmORLDhc&#10;uRPHRUjTe35H+Xz5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je2QAAAAoBAAAPAAAAAAAA&#10;AAEAIAAAACIAAABkcnMvZG93bnJldi54bWxQSwECFAAUAAAACACHTuJAaJ2HfRECAABEBAAADgAA&#10;AAAAAAABACAAAAAoAQAAZHJzL2Uyb0RvYy54bWxQSwUGAAAAAAYABgBZAQAAqwUAAAAA&#10;">
                <v:fill on="t" focussize="0,0"/>
                <v:stroke color="#000000" joinstyle="miter"/>
                <v:imagedata o:title=""/>
                <o:lock v:ext="edit" aspectratio="f"/>
                <v:textbox>
                  <w:txbxContent>
                    <w:p>
                      <w:pPr>
                        <w:jc w:val="center"/>
                        <w:rPr>
                          <w:rFonts w:ascii="宋体" w:hAnsi="宋体"/>
                          <w:sz w:val="24"/>
                        </w:rPr>
                      </w:pPr>
                      <w:r>
                        <w:rPr>
                          <w:rFonts w:hint="eastAsia" w:ascii="宋体" w:hAnsi="宋体"/>
                          <w:sz w:val="24"/>
                        </w:rPr>
                        <w:t>法定代表人身份证复印件粘贴处</w:t>
                      </w:r>
                    </w:p>
                    <w:p>
                      <w:pPr>
                        <w:jc w:val="center"/>
                      </w:pPr>
                      <w:r>
                        <w:rPr>
                          <w:rFonts w:hint="eastAsia" w:ascii="宋体" w:hAnsi="宋体"/>
                          <w:sz w:val="24"/>
                        </w:rPr>
                        <w:t>（背面）</w:t>
                      </w:r>
                    </w:p>
                  </w:txbxContent>
                </v:textbox>
              </v:shape>
            </w:pict>
          </mc:Fallback>
        </mc:AlternateContent>
      </w:r>
    </w:p>
    <w:p>
      <w:pPr>
        <w:rPr>
          <w:rFonts w:ascii="宋体" w:hAnsi="宋体"/>
          <w:sz w:val="24"/>
        </w:rPr>
      </w:pPr>
    </w:p>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供应商：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供应商： （</w:t>
      </w:r>
      <w:r>
        <w:rPr>
          <w:rFonts w:hint="eastAsia" w:ascii="宋体" w:hAnsi="宋体" w:cs="宋体"/>
          <w:sz w:val="24"/>
        </w:rPr>
        <w:t>企业电子签章</w:t>
      </w:r>
      <w:r>
        <w:rPr>
          <w:rFonts w:hint="eastAsia" w:ascii="宋体" w:hAnsi="宋体"/>
          <w:sz w:val="24"/>
        </w:rPr>
        <w:t>）</w:t>
      </w: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r>
        <w:rPr>
          <w:rFonts w:hint="eastAsia" w:ascii="宋体" w:hAnsi="宋体"/>
          <w:sz w:val="24"/>
        </w:rPr>
        <w:t>日期：  年    月     日</w:t>
      </w:r>
    </w:p>
    <w:p>
      <w:pPr>
        <w:spacing w:line="440" w:lineRule="exact"/>
        <w:rPr>
          <w:rFonts w:asciiTheme="minorEastAsia" w:hAnsiTheme="minorEastAsia" w:eastAsiaTheme="minorEastAsia" w:cstheme="minorEastAsia"/>
        </w:rPr>
      </w:pPr>
    </w:p>
    <w:p>
      <w:pPr>
        <w:pStyle w:val="24"/>
        <w:spacing w:before="120" w:after="120" w:line="500" w:lineRule="exact"/>
        <w:ind w:right="29" w:rightChars="14"/>
        <w:outlineLvl w:val="9"/>
        <w:rPr>
          <w:rFonts w:asciiTheme="minorEastAsia" w:hAnsiTheme="minorEastAsia" w:eastAsiaTheme="minorEastAsia" w:cstheme="minorEastAsia"/>
          <w:sz w:val="30"/>
          <w:szCs w:val="30"/>
        </w:rPr>
      </w:pPr>
      <w:bookmarkStart w:id="295" w:name="_Toc15395"/>
      <w:bookmarkStart w:id="296" w:name="_Toc6009"/>
    </w:p>
    <w:p>
      <w:pPr>
        <w:pStyle w:val="24"/>
        <w:spacing w:before="120" w:after="120" w:line="500" w:lineRule="exact"/>
        <w:ind w:right="29" w:rightChars="14"/>
        <w:outlineLvl w:val="9"/>
        <w:rPr>
          <w:rFonts w:asciiTheme="minorEastAsia" w:hAnsiTheme="minorEastAsia" w:eastAsiaTheme="minorEastAsia" w:cstheme="minorEastAsia"/>
          <w:sz w:val="30"/>
          <w:szCs w:val="30"/>
        </w:rPr>
      </w:pPr>
      <w:bookmarkStart w:id="297" w:name="_Toc17980"/>
    </w:p>
    <w:p>
      <w:pPr>
        <w:pStyle w:val="24"/>
        <w:spacing w:before="120" w:after="120" w:line="500" w:lineRule="exact"/>
        <w:ind w:right="29" w:rightChars="14"/>
        <w:jc w:val="both"/>
        <w:outlineLvl w:val="9"/>
        <w:rPr>
          <w:rFonts w:asciiTheme="minorEastAsia" w:hAnsiTheme="minorEastAsia" w:eastAsiaTheme="minorEastAsia" w:cstheme="minorEastAsia"/>
          <w:sz w:val="30"/>
          <w:szCs w:val="30"/>
        </w:rPr>
      </w:pPr>
    </w:p>
    <w:p>
      <w:pPr>
        <w:jc w:val="center"/>
        <w:rPr>
          <w:b/>
          <w:bCs/>
          <w:sz w:val="28"/>
          <w:szCs w:val="28"/>
        </w:rPr>
      </w:pPr>
      <w:r>
        <w:rPr>
          <w:rFonts w:hint="eastAsia"/>
          <w:b/>
          <w:bCs/>
          <w:sz w:val="28"/>
          <w:szCs w:val="28"/>
        </w:rPr>
        <w:t>三、授权委托书</w:t>
      </w:r>
      <w:bookmarkEnd w:id="295"/>
      <w:bookmarkEnd w:id="296"/>
      <w:bookmarkEnd w:id="297"/>
    </w:p>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158750</wp:posOffset>
                </wp:positionV>
                <wp:extent cx="3098165" cy="2235200"/>
                <wp:effectExtent l="4445" t="4445" r="21590" b="8255"/>
                <wp:wrapNone/>
                <wp:docPr id="5" name="自选图形 7"/>
                <wp:cNvGraphicFramePr/>
                <a:graphic xmlns:a="http://schemas.openxmlformats.org/drawingml/2006/main">
                  <a:graphicData uri="http://schemas.microsoft.com/office/word/2010/wordprocessingShape">
                    <wps:wsp>
                      <wps:cNvSpPr/>
                      <wps:spPr>
                        <a:xfrm>
                          <a:off x="0" y="0"/>
                          <a:ext cx="309816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7" o:spid="_x0000_s1026" o:spt="176" type="#_x0000_t176" style="position:absolute;left:0pt;margin-left:-32.4pt;margin-top:12.5pt;height:176pt;width:243.95pt;z-index:251663360;mso-width-relative:page;mso-height-relative:page;" fillcolor="#FFFFFF" filled="t" stroked="t" coordsize="21600,21600" o:gfxdata="UEsDBAoAAAAAAIdO4kAAAAAAAAAAAAAAAAAEAAAAZHJzL1BLAwQUAAAACACHTuJAj5dnwNkAAAAK&#10;AQAADwAAAGRycy9kb3ducmV2LnhtbE2PQU+EMBSE7yb+h+aZeNttgRV2kcfGaPTkRdzEa6FvgUhb&#10;QguL/nrrSY+Tmcx8UxxXPbCFJtdbgxBtBTAyjVW9aRFO78+bPTDnpVFysIYQvsjBsby+KmSu7MW8&#10;0VL5loUS43KJ0Hk/5py7piMt3daOZIJ3tpOWPsip5WqSl1CuBx4LkXItexMWOjnSY0fNZzVrhPX1&#10;uz7ML1FT+W6fZh/J8vRw4oi3N5G4B+Zp9X9h+MUP6FAGptrORjk2IGzSXUD3CPFd+BQCuziJgNUI&#10;SZYJ4GXB/18ofwBQSwMEFAAAAAgAh07iQHWiKA8fAgAAUwQAAA4AAABkcnMvZTJvRG9jLnhtbK1U&#10;zY7TMBC+I/EOlu80aVdddqOmK7SlXBBUWniAqeMklvwn223SGzfEM3DjyDvA26wEb8HYCaW7cOiB&#10;HNLP8fib+b4Zd3HTK0n23HlhdEmnk5wSrpmphG5K+v7d+tkVJT6ArkAazUt64J7eLJ8+WXS24DPT&#10;GllxR5BE+6KzJW1DsEWWedZyBX5iLNe4WRunIODSNVnloEN2JbNZnl9mnXGVdYZx7/HratikI6M7&#10;h9DUtWB8ZdhOcR0GVsclBJTkW2E9XaZq65qz8LauPQ9ElhSVhvTGJIi38Z0tF1A0Dmwr2FgCnFPC&#10;I00KhMakR6oVBCA7J/6iUoI5400dJsyobBCSHEEV0/yRN3ctWJ60oNXeHk33/4+WvdlvHBFVSeeU&#10;aFDY8B8fv/788On+8/f7b1/I8+hQZ32BgXd248aVRxjl9rVT8ReFkD65eji6yvtAGH68yK+vppdI&#10;z3BvNruY4xRE1uzPcet8eMWNIhGUtJamu23BhRcycKch8M0wL8li2L/2YTj/+1wswRspqrWQMi1c&#10;s72VjuwB+75Oz5jyQZjUpCvp9XwWqwMc5hqHCKGyaIjXTcr34IQ/Jc7T8y/iWNgKfDsUkBhiGBRK&#10;oKKEWg7VS12RcLBousa7RmMxileUSI5XM6IUGUDIcyLRUKljEp4Gf3QpNm9oV0Sh3/ZIGuHWVAfs&#10;/c460bTo+jQ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XZ8DZ&#10;AAAACgEAAA8AAAAAAAAAAQAgAAAAIgAAAGRycy9kb3ducmV2LnhtbFBLAQIUABQAAAAIAIdO4kB1&#10;oigPHwIAAFMEAAAOAAAAAAAAAAEAIAAAACgBAABkcnMvZTJvRG9jLnhtbFBLBQYAAAAABgAGAFkB&#10;AAC5BQA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139065</wp:posOffset>
                </wp:positionV>
                <wp:extent cx="2345690" cy="673100"/>
                <wp:effectExtent l="4445" t="5080" r="12065" b="7620"/>
                <wp:wrapNone/>
                <wp:docPr id="7" name="文本框 8"/>
                <wp:cNvGraphicFramePr/>
                <a:graphic xmlns:a="http://schemas.openxmlformats.org/drawingml/2006/main">
                  <a:graphicData uri="http://schemas.microsoft.com/office/word/2010/wordprocessingShape">
                    <wps:wsp>
                      <wps:cNvSpPr txBox="1"/>
                      <wps:spPr>
                        <a:xfrm>
                          <a:off x="0" y="0"/>
                          <a:ext cx="2345690" cy="673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6pt;margin-top:10.95pt;height:53pt;width:184.7pt;z-index:251665408;mso-width-relative:page;mso-height-relative:page;" fillcolor="#FFFFFF" filled="t" stroked="t" coordsize="21600,21600" o:gfxdata="UEsDBAoAAAAAAIdO4kAAAAAAAAAAAAAAAAAEAAAAZHJzL1BLAwQUAAAACACHTuJAIEIxr9gAAAAJ&#10;AQAADwAAAGRycy9kb3ducmV2LnhtbE2PwU7DMBBE70j8g7VIXFDrJK3aJMTpAQkENyioXN14m0TE&#10;62C7afl7tic4jt5q9k21OdtBTOhD70hBOk9AIDXO9NQq+Hh/nOUgQtRk9OAIFfxggE19fVXp0rgT&#10;veG0ja3gEgqlVtDFOJZShqZDq8PcjUjMDs5bHTn6VhqvT1xuB5klyUpa3RN/6PSIDx02X9ujVZAv&#10;n6fP8LJ43TWrw1DEu/X09O2Vur1Jk3sQEc/x7xgu+qwONTvt3ZFMEAPnjKdEBVlagGC+yNMliP0F&#10;rAuQdSX/L6h/AVBLAwQUAAAACACHTuJAXsudRxQCAABEBAAADgAAAGRycy9lMm9Eb2MueG1srVPN&#10;jtMwEL4j8Q6W7zRpl3Z3o6YrQSkXBEgLD+DaTmLJf/K4TfoC8AacuHDnufocO3a7pbtw6IEcnLFn&#10;/M1834znd4PRZCsDKGdrOh6VlEjLnVC2renXL6tXN5RAZFYw7ays6U4CvVu8fDHvfSUnrnNayEAQ&#10;xELV+5p2MfqqKIB30jAYOS8tOhsXDIu4DW0hAusR3ehiUpazondB+OC4BMDT5cFJj4jhEkDXNIrL&#10;peMbI208oAapWURK0CkPdJGrbRrJ46emARmJrikyjXnFJGiv01os5qxqA/Od4scS2CUlPONkmLKY&#10;9AS1ZJGRTVB/QRnFgwPXxBF3pjgQyYogi3H5TJv7jnmZuaDU4E+iw/+D5R+3nwNRoqbXlFhmsOH7&#10;H9/3P3/vf30jN0me3kOFUfce4+Lwxg04NI/ngIeJ9dAEk/7Ih6Afxd2dxJVDJBwPJ1evp7NbdHH0&#10;za6vxmVWv/hz2weI76UzJBk1Ddi8rCnbfoCIlWDoY0hKBk4rsVJa501o1291IFuGjV7lLxWJV56E&#10;aUv6mt5OJ1Osg+H0Njg1aBqPCoBtc74nN+AcuMzfv4BTYUsG3aGAjJDCWGVUlCFbnWTinRUk7jyq&#10;bPFx0VSMkYISLfEtJitHRqb0JZHITtuUROZJP6qUGnZoTLLisB4QNJlrJ3bYxI0Pqu1Q4NzGInlw&#10;uLJWx4eQpvd8j/b5418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BCMa/YAAAACQEAAA8AAAAA&#10;AAAAAQAgAAAAIgAAAGRycy9kb3ducmV2LnhtbFBLAQIUABQAAAAIAIdO4kBey51HFAIAAEQEAAAO&#10;AAAAAAAAAAEAIAAAACcBAABkcnMvZTJvRG9jLnhtbFBLBQYAAAAABgAGAFkBAACtBQAAAAA=&#10;">
                <v:fill on="t" focussize="0,0"/>
                <v:stroke color="#000000" joinstyle="miter"/>
                <v:imagedata o:title=""/>
                <o:lock v:ext="edit" aspectratio="f"/>
                <v:textbox>
                  <w:txbxContent>
                    <w:p>
                      <w:pPr>
                        <w:jc w:val="center"/>
                      </w:pPr>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176530</wp:posOffset>
                </wp:positionV>
                <wp:extent cx="2381250" cy="684530"/>
                <wp:effectExtent l="4445" t="4445" r="14605" b="15875"/>
                <wp:wrapNone/>
                <wp:docPr id="8" name="文本框 9"/>
                <wp:cNvGraphicFramePr/>
                <a:graphic xmlns:a="http://schemas.openxmlformats.org/drawingml/2006/main">
                  <a:graphicData uri="http://schemas.microsoft.com/office/word/2010/wordprocessingShape">
                    <wps:wsp>
                      <wps:cNvSpPr txBox="1"/>
                      <wps:spPr>
                        <a:xfrm>
                          <a:off x="0" y="0"/>
                          <a:ext cx="2381250" cy="684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1.2pt;margin-top:13.9pt;height:53.9pt;width:187.5pt;z-index:251666432;mso-width-relative:page;mso-height-relative:page;" fillcolor="#FFFFFF" filled="t" stroked="t" coordsize="21600,21600" o:gfxdata="UEsDBAoAAAAAAIdO4kAAAAAAAAAAAAAAAAAEAAAAZHJzL1BLAwQUAAAACACHTuJA8uBBE9kAAAAK&#10;AQAADwAAAGRycy9kb3ducmV2LnhtbE2PwU7DMAyG70i8Q2QkLoil67q2lKY7IIHgBgPBNWu9tiJx&#10;SpJ14+0xJzja/vT7++vNyRoxow+jIwXLRQICqXXdSL2Ct9f76xJEiJo6bRyhgm8MsGnOz2pdde5I&#10;LzhvYy84hEKlFQwxTpWUoR3Q6rBwExLf9s5bHXn0vey8PnK4NTJNklxaPRJ/GPSEdwO2n9uDVVBm&#10;j/NHeFo9v7f53tzEq2J++PJKXV4sk1sQEU/xD4ZffVaHhp127kBdEEZBVqYZowrSgiswUK4LXuyY&#10;XK1zkE0t/1dofgBQSwMEFAAAAAgAh07iQFz2JPwTAgAARAQAAA4AAABkcnMvZTJvRG9jLnhtbK1T&#10;zY7TMBC+I/EOlu80bZeudqOmK0EpFwRICw/gOpPEkv/kcZv0BeANOHHhznP1OXbsdkt34dADOThj&#10;z/ibb74Zz+8Go9kWAipnKz4ZjTkDK12tbFvxr19Wr244wyhsLbSzUPEdIL9bvHwx730JU9c5XUNg&#10;BGKx7H3Fuxh9WRQoOzACR86DJWfjghGRtqEt6iB6Qje6mI7H10XvQu2Dk4BIp8uDkx8RwyWArmmU&#10;hKWTGwM2HlADaBGpJOyUR77IbJsGZPzUNAiR6YpTpTGvlITsdVqLxVyUbRC+U/JIQVxC4VlNRihL&#10;SU9QSxEF2wT1F5RRMjh0TRxJZ4pDIVkRqmIyfqbNfSc85FpIavQn0fH/wcqP28+Bqbri1HYrDDV8&#10;/+P7/ufv/a9v7DbJ03ssKereU1wc3riBhubxHOkwVT00waQ/1cPIT+LuTuLCEJmkw+nVzWQ6I5ck&#10;3/XN69lVVr/4c9sHjO/BGZaMigdqXtZUbD9gJCYU+hiSkqHTql4prfMmtOu3OrCtoEav8pdI0pUn&#10;YdqyvuK3s+mMeAia3oamhkzjSQG0bc735AaeA4/z9y/gRGwpsDsQyAgpTJRGRQjZ6kDU72zN4s6T&#10;ypYeF09kDNScaaC3mKwcGYXSl0RSddqmJJAn/ahSatihMcmKw3og0GSuXb2jJm58UG1HAuc2FslD&#10;w5W1Oj6ENL3ne7LPH//i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gQRPZAAAACgEAAA8AAAAA&#10;AAAAAQAgAAAAIgAAAGRycy9kb3ducmV2LnhtbFBLAQIUABQAAAAIAIdO4kBc9iT8EwIAAEQEAAAO&#10;AAAAAAAAAAEAIAAAACgBAABkcnMvZTJvRG9jLnhtbFBLBQYAAAAABgAGAFkBAACtBQAAAAA=&#10;">
                <v:fill on="t" focussize="0,0"/>
                <v:stroke color="#000000" joinstyle="miter"/>
                <v:imagedata o:title=""/>
                <o:lock v:ext="edit" aspectratio="f"/>
                <v:textbox>
                  <w:txbxContent>
                    <w:p>
                      <w:pPr>
                        <w:jc w:val="center"/>
                      </w:pPr>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bookmarkEnd w:id="246"/>
    <w:p>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（企业电子签章） </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ind w:firstLine="480" w:firstLineChars="2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pStyle w:val="33"/>
      </w:pPr>
    </w:p>
    <w:p>
      <w:pPr>
        <w:adjustRightInd w:val="0"/>
        <w:snapToGrid w:val="0"/>
        <w:spacing w:line="440" w:lineRule="exact"/>
        <w:ind w:firstLine="5400" w:firstLineChars="2250"/>
        <w:rPr>
          <w:rFonts w:ascii="宋体" w:hAnsi="宋体" w:cs="宋体"/>
          <w:sz w:val="24"/>
        </w:rPr>
      </w:pPr>
      <w:r>
        <w:rPr>
          <w:rFonts w:hint="eastAsia" w:ascii="宋体" w:hAnsi="宋体" w:cs="宋体"/>
          <w:sz w:val="24"/>
        </w:rPr>
        <w:t>日期：  年   月    日</w:t>
      </w: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pPr>
        <w:pStyle w:val="23"/>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rPr>
      </w:pPr>
    </w:p>
    <w:p>
      <w:pPr>
        <w:pStyle w:val="23"/>
        <w:widowControl w:val="0"/>
        <w:spacing w:before="120" w:beforeAutospacing="0" w:after="120" w:afterAutospacing="0" w:line="500" w:lineRule="exact"/>
        <w:ind w:right="29" w:rightChars="14"/>
        <w:jc w:val="center"/>
        <w:outlineLvl w:val="9"/>
        <w:rPr>
          <w:rFonts w:asciiTheme="minorEastAsia" w:hAnsiTheme="minorEastAsia" w:eastAsiaTheme="minorEastAsia" w:cstheme="minorEastAsia"/>
          <w:b/>
          <w:kern w:val="2"/>
          <w:sz w:val="30"/>
          <w:szCs w:val="30"/>
        </w:rPr>
      </w:pPr>
      <w:bookmarkStart w:id="298" w:name="_Toc8304"/>
      <w:bookmarkStart w:id="299" w:name="_Toc25161"/>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red"/>
        </w:rPr>
      </w:pPr>
      <w:r>
        <w:rPr>
          <w:rFonts w:hint="eastAsia" w:asciiTheme="minorEastAsia" w:hAnsiTheme="minorEastAsia" w:eastAsiaTheme="minorEastAsia" w:cstheme="minorEastAsia"/>
          <w:b/>
          <w:kern w:val="2"/>
          <w:sz w:val="30"/>
          <w:szCs w:val="30"/>
        </w:rPr>
        <w:t>四</w:t>
      </w:r>
      <w:r>
        <w:rPr>
          <w:rFonts w:hint="eastAsia" w:asciiTheme="minorEastAsia" w:hAnsiTheme="minorEastAsia" w:eastAsiaTheme="minorEastAsia" w:cstheme="minorEastAsia"/>
          <w:b/>
          <w:kern w:val="2"/>
          <w:sz w:val="30"/>
          <w:szCs w:val="30"/>
          <w:highlight w:val="none"/>
        </w:rPr>
        <w:t>、</w:t>
      </w:r>
      <w:bookmarkEnd w:id="298"/>
      <w:bookmarkEnd w:id="299"/>
      <w:r>
        <w:rPr>
          <w:rFonts w:hint="eastAsia" w:asciiTheme="minorEastAsia" w:hAnsiTheme="minorEastAsia" w:eastAsiaTheme="minorEastAsia" w:cstheme="minorEastAsia"/>
          <w:b/>
          <w:kern w:val="2"/>
          <w:sz w:val="30"/>
          <w:szCs w:val="30"/>
          <w:highlight w:val="none"/>
        </w:rPr>
        <w:t>项目实施方案等</w:t>
      </w: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7"/>
        <w:ind w:firstLine="480"/>
        <w:rPr>
          <w:rFonts w:ascii="宋体" w:hAnsi="宋体" w:cs="宋体"/>
          <w:sz w:val="24"/>
        </w:rPr>
      </w:pPr>
    </w:p>
    <w:p>
      <w:pPr>
        <w:rPr>
          <w:rFonts w:ascii="宋体" w:hAnsi="宋体" w:cs="宋体"/>
        </w:rPr>
      </w:pPr>
    </w:p>
    <w:p>
      <w:pPr>
        <w:spacing w:line="360" w:lineRule="auto"/>
        <w:rPr>
          <w:rFonts w:ascii="宋体" w:hAnsi="宋体" w:cs="宋体"/>
          <w:sz w:val="28"/>
          <w:szCs w:val="28"/>
        </w:rPr>
      </w:pPr>
    </w:p>
    <w:p>
      <w:pPr>
        <w:spacing w:line="460" w:lineRule="exact"/>
        <w:jc w:val="center"/>
        <w:rPr>
          <w:rFonts w:ascii="宋体" w:hAnsi="宋体" w:cs="宋体"/>
          <w:b/>
          <w:sz w:val="28"/>
          <w:szCs w:val="28"/>
        </w:rPr>
      </w:pPr>
      <w:r>
        <w:rPr>
          <w:rFonts w:hint="eastAsia" w:ascii="宋体" w:hAnsi="宋体" w:cs="宋体"/>
          <w:b/>
          <w:sz w:val="28"/>
          <w:szCs w:val="28"/>
        </w:rPr>
        <w:t>五、供应商资格证明承诺函</w:t>
      </w:r>
    </w:p>
    <w:p>
      <w:pPr>
        <w:spacing w:line="460" w:lineRule="exact"/>
        <w:ind w:right="330" w:rightChars="157"/>
        <w:rPr>
          <w:sz w:val="24"/>
        </w:rPr>
      </w:pPr>
      <w:r>
        <w:rPr>
          <w:rFonts w:hint="eastAsia"/>
          <w:sz w:val="24"/>
        </w:rPr>
        <w:t xml:space="preserve">致（采购人） ： </w:t>
      </w:r>
    </w:p>
    <w:p>
      <w:pPr>
        <w:spacing w:line="460" w:lineRule="exact"/>
        <w:ind w:right="330" w:rightChars="157" w:firstLine="480" w:firstLineChars="200"/>
        <w:rPr>
          <w:sz w:val="24"/>
        </w:rPr>
      </w:pPr>
      <w:r>
        <w:rPr>
          <w:rFonts w:hint="eastAsia"/>
          <w:sz w:val="24"/>
        </w:rPr>
        <w:t>供应商名称：</w:t>
      </w:r>
      <w:r>
        <w:rPr>
          <w:rFonts w:hint="eastAsia" w:ascii="宋体" w:hAnsi="宋体" w:cs="宋体"/>
          <w:sz w:val="24"/>
          <w:u w:val="single"/>
        </w:rPr>
        <w:t xml:space="preserve">                             </w:t>
      </w:r>
      <w:r>
        <w:rPr>
          <w:rFonts w:hint="eastAsia"/>
          <w:sz w:val="24"/>
        </w:rPr>
        <w:t xml:space="preserve">                       </w:t>
      </w:r>
    </w:p>
    <w:p>
      <w:pPr>
        <w:spacing w:line="460" w:lineRule="exact"/>
        <w:ind w:right="330" w:rightChars="157" w:firstLine="480" w:firstLineChars="200"/>
        <w:rPr>
          <w:sz w:val="24"/>
        </w:rPr>
      </w:pPr>
      <w:r>
        <w:rPr>
          <w:rFonts w:hint="eastAsia"/>
          <w:sz w:val="24"/>
        </w:rPr>
        <w:t>统一社会信用代码：</w:t>
      </w:r>
      <w:r>
        <w:rPr>
          <w:rFonts w:hint="eastAsia"/>
          <w:sz w:val="24"/>
          <w:u w:val="single"/>
        </w:rPr>
        <w:t xml:space="preserve">                       </w:t>
      </w:r>
    </w:p>
    <w:p>
      <w:pPr>
        <w:spacing w:line="460" w:lineRule="exact"/>
        <w:ind w:right="330" w:rightChars="157" w:firstLine="480" w:firstLineChars="200"/>
        <w:jc w:val="left"/>
        <w:rPr>
          <w:sz w:val="24"/>
          <w:u w:val="single"/>
        </w:rPr>
      </w:pPr>
      <w:r>
        <w:rPr>
          <w:rFonts w:hint="eastAsia"/>
          <w:sz w:val="24"/>
        </w:rPr>
        <w:t>供应商地址：</w:t>
      </w:r>
      <w:r>
        <w:rPr>
          <w:rFonts w:hint="eastAsia"/>
          <w:sz w:val="24"/>
          <w:u w:val="single"/>
        </w:rPr>
        <w:t xml:space="preserve">                              </w:t>
      </w:r>
    </w:p>
    <w:p>
      <w:pPr>
        <w:spacing w:line="460" w:lineRule="exact"/>
        <w:ind w:right="330" w:rightChars="157"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w:t>
      </w:r>
    </w:p>
    <w:p>
      <w:pPr>
        <w:widowControl/>
        <w:spacing w:line="360" w:lineRule="auto"/>
        <w:ind w:firstLine="480" w:firstLineChars="200"/>
        <w:jc w:val="left"/>
        <w:rPr>
          <w:rFonts w:ascii="宋体" w:hAnsi="宋体" w:cs="宋体"/>
          <w:sz w:val="24"/>
        </w:rPr>
      </w:pPr>
      <w:r>
        <w:rPr>
          <w:rFonts w:hint="eastAsia" w:asciiTheme="minorEastAsia" w:hAnsiTheme="minorEastAsia" w:eastAsiaTheme="minorEastAsia" w:cstheme="minorEastAsia"/>
          <w:sz w:val="24"/>
          <w:szCs w:val="21"/>
        </w:rPr>
        <w:t>一、我单位具有有效的营业执照（三证合一）；</w:t>
      </w:r>
    </w:p>
    <w:p>
      <w:pPr>
        <w:spacing w:line="460" w:lineRule="exact"/>
        <w:ind w:right="330" w:rightChars="157" w:firstLine="480" w:firstLineChars="200"/>
        <w:rPr>
          <w:rFonts w:ascii="宋体" w:hAnsi="宋体" w:cs="宋体"/>
          <w:sz w:val="24"/>
        </w:rPr>
      </w:pPr>
      <w:r>
        <w:rPr>
          <w:rFonts w:hint="eastAsia" w:ascii="宋体" w:hAnsi="宋体" w:cs="宋体"/>
          <w:sz w:val="24"/>
        </w:rPr>
        <w:t xml:space="preserve">二、我单位符合《中华人民共和国政府采购法》第二十二条规定的条件： </w:t>
      </w:r>
    </w:p>
    <w:p>
      <w:pPr>
        <w:spacing w:line="460" w:lineRule="exact"/>
        <w:ind w:right="330" w:rightChars="157"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pPr>
        <w:spacing w:line="460" w:lineRule="exact"/>
        <w:ind w:right="330" w:rightChars="157" w:firstLine="480" w:firstLineChars="200"/>
        <w:rPr>
          <w:rFonts w:ascii="宋体" w:hAnsi="宋体" w:cs="宋体"/>
          <w:sz w:val="24"/>
        </w:rPr>
      </w:pPr>
      <w:r>
        <w:rPr>
          <w:rFonts w:hint="eastAsia" w:ascii="宋体" w:hAnsi="宋体" w:cs="宋体"/>
          <w:sz w:val="24"/>
        </w:rPr>
        <w:t xml:space="preserve">2.我单位具有符合采购文件资格要求的财务状况报告。 </w:t>
      </w:r>
    </w:p>
    <w:p>
      <w:pPr>
        <w:spacing w:line="460" w:lineRule="exact"/>
        <w:ind w:right="330" w:rightChars="157" w:firstLine="480" w:firstLineChars="200"/>
        <w:rPr>
          <w:rFonts w:ascii="宋体" w:hAnsi="宋体" w:cs="宋体"/>
          <w:sz w:val="24"/>
        </w:rPr>
      </w:pPr>
      <w:r>
        <w:rPr>
          <w:rFonts w:hint="eastAsia" w:ascii="宋体" w:hAnsi="宋体" w:cs="宋体"/>
          <w:sz w:val="24"/>
        </w:rPr>
        <w:t xml:space="preserve">3.我单位具有符合采购文件资格要求的依法缴纳税收和社会保障记录的良好记录。 </w:t>
      </w:r>
    </w:p>
    <w:p>
      <w:pPr>
        <w:spacing w:line="460" w:lineRule="exact"/>
        <w:ind w:right="330" w:rightChars="157" w:firstLine="480" w:firstLineChars="200"/>
        <w:rPr>
          <w:rFonts w:ascii="宋体" w:hAnsi="宋体" w:cs="宋体"/>
          <w:sz w:val="24"/>
        </w:rPr>
      </w:pPr>
      <w:r>
        <w:rPr>
          <w:rFonts w:hint="eastAsia" w:ascii="宋体" w:hAnsi="宋体" w:cs="宋体"/>
          <w:sz w:val="24"/>
        </w:rPr>
        <w:t xml:space="preserve">4.我单位具有符合采购文件资格要求履行合同所必需的设备和专业技术能力。 </w:t>
      </w:r>
    </w:p>
    <w:p>
      <w:pPr>
        <w:spacing w:line="460" w:lineRule="exact"/>
        <w:ind w:right="330" w:rightChars="157"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line="460" w:lineRule="exact"/>
        <w:ind w:right="330" w:rightChars="157" w:firstLine="480" w:firstLineChars="200"/>
        <w:rPr>
          <w:sz w:val="24"/>
        </w:rPr>
      </w:pPr>
      <w:r>
        <w:rPr>
          <w:rFonts w:hint="eastAsia" w:ascii="宋体" w:hAnsi="宋体" w:cs="宋体"/>
          <w:sz w:val="24"/>
        </w:rPr>
        <w:t>若我单位承诺不实，自愿承担提供虚假</w:t>
      </w:r>
      <w:r>
        <w:rPr>
          <w:rFonts w:hint="eastAsia"/>
          <w:sz w:val="24"/>
        </w:rPr>
        <w:t>材料谋取中标、成交的法律责任。</w:t>
      </w:r>
    </w:p>
    <w:p>
      <w:pPr>
        <w:spacing w:line="460" w:lineRule="exact"/>
        <w:ind w:right="330" w:rightChars="157" w:firstLine="480" w:firstLineChars="200"/>
        <w:rPr>
          <w:sz w:val="24"/>
        </w:rPr>
      </w:pPr>
    </w:p>
    <w:p>
      <w:pPr>
        <w:spacing w:line="460" w:lineRule="exact"/>
        <w:ind w:right="330" w:rightChars="157" w:firstLine="3120" w:firstLineChars="1300"/>
        <w:rPr>
          <w:sz w:val="24"/>
        </w:rPr>
      </w:pPr>
      <w:r>
        <w:rPr>
          <w:rFonts w:hint="eastAsia"/>
          <w:sz w:val="24"/>
        </w:rPr>
        <w:t xml:space="preserve">承诺供应商（全称并加盖公章）： </w:t>
      </w:r>
    </w:p>
    <w:p>
      <w:pPr>
        <w:spacing w:line="460" w:lineRule="exact"/>
        <w:ind w:right="330" w:rightChars="157" w:firstLine="3120" w:firstLineChars="1300"/>
        <w:rPr>
          <w:sz w:val="24"/>
        </w:rPr>
      </w:pPr>
      <w:r>
        <w:rPr>
          <w:rFonts w:hint="eastAsia"/>
          <w:sz w:val="24"/>
        </w:rPr>
        <w:t xml:space="preserve">法定代表人或授权代表(签字或签章)： </w:t>
      </w:r>
    </w:p>
    <w:p>
      <w:pPr>
        <w:spacing w:line="460" w:lineRule="exact"/>
        <w:ind w:right="330" w:rightChars="157" w:firstLine="4800" w:firstLineChars="2000"/>
        <w:rPr>
          <w:sz w:val="24"/>
        </w:rPr>
      </w:pPr>
      <w:r>
        <w:rPr>
          <w:rFonts w:hint="eastAsia"/>
          <w:sz w:val="24"/>
        </w:rPr>
        <w:t xml:space="preserve">日期： 年 月 日 </w:t>
      </w:r>
    </w:p>
    <w:p>
      <w:pPr>
        <w:spacing w:line="460" w:lineRule="exact"/>
        <w:ind w:right="330" w:rightChars="157" w:firstLine="480" w:firstLineChars="200"/>
        <w:rPr>
          <w:sz w:val="24"/>
        </w:rPr>
      </w:pPr>
    </w:p>
    <w:p>
      <w:pPr>
        <w:pStyle w:val="3"/>
        <w:spacing w:line="440" w:lineRule="exact"/>
        <w:ind w:firstLine="241" w:firstLineChars="100"/>
        <w:jc w:val="left"/>
        <w:rPr>
          <w:rFonts w:ascii="宋体" w:hAnsi="宋体" w:cs="宋体"/>
          <w:sz w:val="24"/>
        </w:rPr>
      </w:pPr>
      <w:r>
        <w:rPr>
          <w:rFonts w:hint="eastAsia" w:ascii="宋体" w:hAnsi="宋体" w:cs="宋体"/>
          <w:sz w:val="24"/>
        </w:rPr>
        <w:t>注：供应商须在投标文件中按此模板提供承诺函，未提供视为未实质性响应招标文件要求，按无效投标处理。</w:t>
      </w:r>
    </w:p>
    <w:p>
      <w:pPr>
        <w:rPr>
          <w:rFonts w:ascii="宋体" w:hAnsi="宋体" w:cs="宋体"/>
          <w:sz w:val="24"/>
        </w:rPr>
      </w:pPr>
    </w:p>
    <w:p>
      <w:pPr>
        <w:pStyle w:val="26"/>
        <w:ind w:firstLine="320"/>
        <w:rPr>
          <w:rFonts w:hint="default"/>
        </w:rPr>
      </w:pPr>
    </w:p>
    <w:p>
      <w:pPr>
        <w:pStyle w:val="27"/>
        <w:ind w:firstLine="0" w:firstLineChars="0"/>
      </w:pPr>
    </w:p>
    <w:p>
      <w:pPr>
        <w:pStyle w:val="23"/>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bookmarkStart w:id="300" w:name="_Toc8330"/>
      <w:bookmarkStart w:id="301" w:name="_Toc6465"/>
      <w:bookmarkStart w:id="302" w:name="_Toc31553"/>
    </w:p>
    <w:p>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03" w:name="_Toc4390"/>
      <w:r>
        <w:rPr>
          <w:rFonts w:hint="eastAsia" w:asciiTheme="minorEastAsia" w:hAnsiTheme="minorEastAsia" w:eastAsiaTheme="minorEastAsia" w:cstheme="minorEastAsia"/>
          <w:b/>
          <w:kern w:val="2"/>
          <w:sz w:val="30"/>
          <w:szCs w:val="30"/>
        </w:rPr>
        <w:t>六、供应商服务承诺和优惠承诺</w:t>
      </w:r>
      <w:bookmarkEnd w:id="303"/>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spacing w:line="360" w:lineRule="auto"/>
        <w:rPr>
          <w:rFonts w:ascii="宋体" w:hAnsi="宋体" w:cs="宋体"/>
          <w:sz w:val="24"/>
        </w:rPr>
      </w:pPr>
      <w:bookmarkStart w:id="304" w:name="_Toc700"/>
    </w:p>
    <w:p>
      <w:pPr>
        <w:pStyle w:val="33"/>
        <w:rPr>
          <w:rFonts w:ascii="宋体" w:hAnsi="宋体" w:cs="宋体"/>
        </w:rPr>
      </w:pPr>
    </w:p>
    <w:p>
      <w:pPr>
        <w:pStyle w:val="34"/>
        <w:rPr>
          <w:rFonts w:ascii="宋体" w:hAnsi="宋体" w:cs="宋体"/>
          <w:color w:val="auto"/>
        </w:rPr>
      </w:pPr>
    </w:p>
    <w:p>
      <w:pPr>
        <w:pStyle w:val="35"/>
        <w:rPr>
          <w:rFonts w:ascii="宋体" w:hAnsi="宋体" w:eastAsia="宋体" w:cs="宋体"/>
          <w:sz w:val="24"/>
        </w:rPr>
      </w:pPr>
    </w:p>
    <w:p>
      <w:pPr>
        <w:pStyle w:val="36"/>
        <w:rPr>
          <w:rFonts w:ascii="宋体" w:hAnsi="宋体" w:cs="宋体"/>
          <w:sz w:val="24"/>
        </w:rPr>
      </w:pPr>
    </w:p>
    <w:p>
      <w:pPr>
        <w:rPr>
          <w:rFonts w:ascii="宋体" w:hAnsi="宋体" w:cs="宋体"/>
          <w:sz w:val="24"/>
        </w:rPr>
      </w:pPr>
    </w:p>
    <w:p>
      <w:pPr>
        <w:pStyle w:val="33"/>
        <w:rPr>
          <w:rFonts w:ascii="宋体" w:hAnsi="宋体" w:cs="宋体"/>
        </w:rPr>
      </w:pPr>
    </w:p>
    <w:p>
      <w:pPr>
        <w:pStyle w:val="34"/>
        <w:rPr>
          <w:rFonts w:ascii="宋体" w:hAnsi="宋体" w:cs="宋体"/>
          <w:color w:val="auto"/>
        </w:rPr>
      </w:pPr>
    </w:p>
    <w:p>
      <w:pPr>
        <w:pStyle w:val="35"/>
        <w:rPr>
          <w:rFonts w:ascii="宋体" w:hAnsi="宋体" w:eastAsia="宋体" w:cs="宋体"/>
          <w:sz w:val="24"/>
        </w:rPr>
      </w:pPr>
    </w:p>
    <w:p>
      <w:pPr>
        <w:pStyle w:val="36"/>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七、供应商所投产品属于当期政府采购清单规定的节能环保产品的</w:t>
      </w:r>
      <w:bookmarkEnd w:id="300"/>
      <w:bookmarkEnd w:id="304"/>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05" w:name="_Toc28422"/>
      <w:bookmarkStart w:id="306" w:name="_Toc18925"/>
      <w:bookmarkStart w:id="307" w:name="_Toc24210"/>
      <w:bookmarkStart w:id="308" w:name="_Toc21287"/>
      <w:r>
        <w:rPr>
          <w:rFonts w:hint="eastAsia" w:asciiTheme="minorEastAsia" w:hAnsiTheme="minorEastAsia" w:eastAsiaTheme="minorEastAsia" w:cstheme="minorEastAsia"/>
          <w:b/>
          <w:kern w:val="2"/>
          <w:sz w:val="30"/>
          <w:szCs w:val="30"/>
        </w:rPr>
        <w:t>证明材料</w:t>
      </w:r>
      <w:bookmarkEnd w:id="301"/>
      <w:bookmarkEnd w:id="305"/>
      <w:bookmarkEnd w:id="306"/>
      <w:bookmarkEnd w:id="307"/>
      <w:r>
        <w:rPr>
          <w:rFonts w:hint="eastAsia" w:asciiTheme="minorEastAsia" w:hAnsiTheme="minorEastAsia" w:eastAsiaTheme="minorEastAsia" w:cstheme="minorEastAsia"/>
          <w:b/>
          <w:kern w:val="2"/>
          <w:sz w:val="30"/>
          <w:szCs w:val="30"/>
        </w:rPr>
        <w:t>（如有）</w:t>
      </w:r>
      <w:bookmarkEnd w:id="308"/>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09" w:name="_Toc10717"/>
      <w:bookmarkStart w:id="310" w:name="_Toc23227"/>
      <w:bookmarkStart w:id="311" w:name="_Toc24850"/>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八、中小企业声明函</w:t>
      </w:r>
      <w:bookmarkEnd w:id="309"/>
      <w:bookmarkEnd w:id="310"/>
      <w:bookmarkEnd w:id="311"/>
    </w:p>
    <w:p>
      <w:pPr>
        <w:pStyle w:val="23"/>
        <w:widowControl w:val="0"/>
        <w:numPr>
          <w:ilvl w:val="0"/>
          <w:numId w:val="0"/>
        </w:numPr>
        <w:spacing w:before="120" w:beforeAutospacing="0" w:after="120" w:afterAutospacing="0" w:line="500" w:lineRule="exact"/>
        <w:ind w:right="29" w:rightChars="14"/>
        <w:jc w:val="center"/>
        <w:outlineLvl w:val="1"/>
        <w:rPr>
          <w:rFonts w:hint="eastAsia" w:eastAsia="宋体" w:asciiTheme="minorEastAsia" w:hAnsiTheme="minorEastAsia" w:cstheme="minorEastAsia"/>
          <w:b/>
          <w:kern w:val="2"/>
          <w:sz w:val="30"/>
          <w:szCs w:val="30"/>
          <w:highlight w:val="none"/>
          <w:lang w:val="en-US" w:eastAsia="zh-CN"/>
        </w:rPr>
      </w:pPr>
      <w:bookmarkStart w:id="312" w:name="_Toc12390"/>
      <w:bookmarkStart w:id="313" w:name="_Toc309736882"/>
      <w:bookmarkStart w:id="314" w:name="_Toc352061202"/>
      <w:r>
        <w:rPr>
          <w:rFonts w:hint="eastAsia" w:ascii="宋体" w:hAnsi="宋体" w:eastAsia="宋体" w:cs="宋体"/>
          <w:b/>
          <w:bCs/>
          <w:color w:val="auto"/>
          <w:sz w:val="28"/>
          <w:szCs w:val="28"/>
          <w:highlight w:val="none"/>
        </w:rPr>
        <w:t>中小企业声明函</w:t>
      </w:r>
      <w:r>
        <w:rPr>
          <w:rFonts w:hint="eastAsia" w:cs="宋体"/>
          <w:b/>
          <w:bCs/>
          <w:color w:val="auto"/>
          <w:sz w:val="28"/>
          <w:szCs w:val="28"/>
          <w:highlight w:val="none"/>
          <w:lang w:eastAsia="zh-CN"/>
        </w:rPr>
        <w:t>（</w:t>
      </w:r>
      <w:r>
        <w:rPr>
          <w:rFonts w:hint="eastAsia" w:cs="宋体"/>
          <w:b/>
          <w:bCs/>
          <w:color w:val="auto"/>
          <w:sz w:val="28"/>
          <w:szCs w:val="28"/>
          <w:highlight w:val="none"/>
          <w:lang w:val="en-US" w:eastAsia="zh-CN"/>
        </w:rPr>
        <w:t>货物</w:t>
      </w:r>
      <w:r>
        <w:rPr>
          <w:rFonts w:hint="eastAsia" w:cs="宋体"/>
          <w:b/>
          <w:bCs/>
          <w:color w:val="auto"/>
          <w:sz w:val="28"/>
          <w:szCs w:val="28"/>
          <w:highlight w:val="none"/>
          <w:lang w:eastAsia="zh-CN"/>
        </w:rPr>
        <w:t>）</w:t>
      </w:r>
    </w:p>
    <w:p>
      <w:pPr>
        <w:spacing w:line="560" w:lineRule="exact"/>
        <w:ind w:firstLine="480" w:firstLineChars="200"/>
        <w:rPr>
          <w:rFonts w:ascii="宋体" w:hAnsi="宋体" w:cs="宋体"/>
          <w:sz w:val="24"/>
          <w:highlight w:val="none"/>
        </w:rPr>
      </w:pPr>
      <w:r>
        <w:rPr>
          <w:rFonts w:ascii="宋体" w:hAnsi="宋体" w:cs="宋体"/>
          <w:sz w:val="24"/>
          <w:highlight w:val="none"/>
        </w:rPr>
        <w:t>本公司（联合体）郑重声明，根据《政府采购促进中小企业发展管理办法》（财库﹝2020﹞46 号）的规定，本公司 （联合体）参加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采购活动，提供的货物全部由符合政策要求的中小企业制造。相关企业 （含联合体中的中小企业、签订分包意向协议的中小企业） 的具体情况如下：</w:t>
      </w:r>
    </w:p>
    <w:p>
      <w:pPr>
        <w:numPr>
          <w:ilvl w:val="0"/>
          <w:numId w:val="15"/>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（标的名称）</w:t>
      </w:r>
      <w:r>
        <w:rPr>
          <w:rFonts w:ascii="宋体" w:hAnsi="宋体" w:cs="宋体"/>
          <w:sz w:val="24"/>
          <w:highlight w:val="none"/>
        </w:rPr>
        <w:t xml:space="preserve"> ，属于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 ，属于</w:t>
      </w:r>
      <w:r>
        <w:rPr>
          <w:rFonts w:ascii="宋体" w:hAnsi="宋体" w:cs="宋体"/>
          <w:sz w:val="24"/>
          <w:highlight w:val="none"/>
          <w:u w:val="single"/>
        </w:rPr>
        <w:t>（中型企业、小 型企业、微型企业）</w:t>
      </w:r>
      <w:r>
        <w:rPr>
          <w:rFonts w:ascii="宋体" w:hAnsi="宋体" w:cs="宋体"/>
          <w:sz w:val="24"/>
          <w:highlight w:val="none"/>
        </w:rPr>
        <w:t>；</w:t>
      </w:r>
    </w:p>
    <w:p>
      <w:pPr>
        <w:numPr>
          <w:ilvl w:val="0"/>
          <w:numId w:val="15"/>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万元，属于</w:t>
      </w:r>
      <w:r>
        <w:rPr>
          <w:rFonts w:ascii="宋体" w:hAnsi="宋体" w:cs="宋体"/>
          <w:sz w:val="24"/>
          <w:highlight w:val="none"/>
          <w:u w:val="single"/>
        </w:rPr>
        <w:t>（中型企业、小型 企业、微型企业）</w:t>
      </w:r>
      <w:r>
        <w:rPr>
          <w:rFonts w:ascii="宋体" w:hAnsi="宋体" w:cs="宋体"/>
          <w:sz w:val="24"/>
          <w:highlight w:val="none"/>
        </w:rPr>
        <w:t>；</w:t>
      </w:r>
    </w:p>
    <w:p>
      <w:pPr>
        <w:spacing w:line="560" w:lineRule="exact"/>
        <w:ind w:left="525" w:leftChars="250"/>
        <w:rPr>
          <w:rFonts w:ascii="宋体" w:hAnsi="宋体" w:cs="宋体"/>
          <w:sz w:val="24"/>
          <w:highlight w:val="none"/>
        </w:rPr>
      </w:pPr>
      <w:r>
        <w:rPr>
          <w:rFonts w:ascii="宋体" w:hAnsi="宋体" w:cs="宋体"/>
          <w:sz w:val="24"/>
          <w:highlight w:val="none"/>
        </w:rPr>
        <w:t xml:space="preserve"> …… </w:t>
      </w:r>
    </w:p>
    <w:p>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本企业对上述声明内容的真实性负责。如有虚假，将依 法承担相应责任。 </w:t>
      </w:r>
    </w:p>
    <w:p>
      <w:pPr>
        <w:spacing w:line="560" w:lineRule="exact"/>
        <w:ind w:left="5" w:firstLine="518" w:firstLineChars="216"/>
        <w:rPr>
          <w:rFonts w:ascii="宋体" w:hAnsi="宋体" w:cs="宋体"/>
          <w:sz w:val="24"/>
          <w:highlight w:val="none"/>
        </w:rPr>
      </w:pPr>
    </w:p>
    <w:p>
      <w:pPr>
        <w:spacing w:line="560" w:lineRule="exact"/>
        <w:ind w:left="5" w:firstLine="518" w:firstLineChars="216"/>
        <w:rPr>
          <w:rFonts w:ascii="宋体" w:hAnsi="宋体" w:cs="宋体"/>
          <w:sz w:val="24"/>
          <w:highlight w:val="none"/>
        </w:rPr>
      </w:pPr>
    </w:p>
    <w:p>
      <w:pPr>
        <w:spacing w:line="560" w:lineRule="exact"/>
        <w:ind w:left="5" w:firstLine="518" w:firstLineChars="216"/>
        <w:jc w:val="right"/>
        <w:rPr>
          <w:rFonts w:ascii="宋体" w:hAnsi="宋体" w:cs="宋体"/>
          <w:sz w:val="24"/>
          <w:highlight w:val="none"/>
        </w:rPr>
      </w:pPr>
      <w:r>
        <w:rPr>
          <w:rFonts w:ascii="宋体" w:hAnsi="宋体" w:cs="宋体"/>
          <w:sz w:val="24"/>
          <w:highlight w:val="none"/>
        </w:rPr>
        <w:t>企业名称（盖章）：</w:t>
      </w:r>
    </w:p>
    <w:p>
      <w:pPr>
        <w:spacing w:line="560" w:lineRule="exact"/>
        <w:ind w:left="5" w:firstLine="518" w:firstLineChars="216"/>
        <w:jc w:val="right"/>
        <w:rPr>
          <w:rFonts w:ascii="宋体" w:hAnsi="宋体" w:cs="宋体"/>
          <w:sz w:val="24"/>
          <w:highlight w:val="none"/>
        </w:rPr>
      </w:pPr>
      <w:r>
        <w:rPr>
          <w:rFonts w:ascii="宋体" w:hAnsi="宋体" w:cs="宋体"/>
          <w:sz w:val="24"/>
          <w:highlight w:val="none"/>
        </w:rPr>
        <w:t xml:space="preserve"> 日 期： </w:t>
      </w:r>
    </w:p>
    <w:p>
      <w:pPr>
        <w:spacing w:line="560" w:lineRule="exact"/>
        <w:ind w:left="5" w:firstLine="518" w:firstLineChars="216"/>
        <w:rPr>
          <w:rFonts w:ascii="宋体" w:hAnsi="宋体" w:cs="宋体"/>
          <w:sz w:val="24"/>
          <w:highlight w:val="none"/>
        </w:rPr>
      </w:pPr>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pPr>
        <w:pStyle w:val="27"/>
        <w:ind w:firstLine="480"/>
        <w:rPr>
          <w:rFonts w:ascii="宋体"/>
          <w:highlight w:val="none"/>
        </w:rPr>
      </w:pPr>
      <w:r>
        <w:rPr>
          <w:rFonts w:hint="eastAsia" w:ascii="宋体" w:hAnsi="宋体" w:cs="宋体"/>
          <w:sz w:val="24"/>
          <w:highlight w:val="none"/>
        </w:rPr>
        <w:t>2、供应商提供的声明函将在中标后随中标公告一并公示，若声明函内容不实的，将依照《政府采购法》等国家有关规定追究相应责任。</w:t>
      </w:r>
    </w:p>
    <w:p>
      <w:pPr>
        <w:pStyle w:val="27"/>
        <w:numPr>
          <w:ilvl w:val="0"/>
          <w:numId w:val="0"/>
        </w:numPr>
        <w:rPr>
          <w:rFonts w:ascii="宋体" w:hAnsi="宋体" w:cs="宋体"/>
          <w:sz w:val="24"/>
        </w:rPr>
      </w:pPr>
    </w:p>
    <w:bookmarkEnd w:id="312"/>
    <w:bookmarkEnd w:id="313"/>
    <w:bookmarkEnd w:id="314"/>
    <w:p>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15" w:name="_Toc20881"/>
      <w:bookmarkStart w:id="316" w:name="_Toc11708"/>
      <w:bookmarkStart w:id="317" w:name="_Toc14292"/>
      <w:bookmarkStart w:id="318" w:name="_Toc30170"/>
      <w:r>
        <w:rPr>
          <w:rFonts w:hint="eastAsia" w:asciiTheme="minorEastAsia" w:hAnsiTheme="minorEastAsia" w:eastAsiaTheme="minorEastAsia" w:cstheme="minorEastAsia"/>
          <w:b/>
          <w:kern w:val="2"/>
          <w:sz w:val="30"/>
          <w:szCs w:val="30"/>
        </w:rPr>
        <w:t>九、残疾人福利性单位声明函（如有）</w:t>
      </w:r>
      <w:bookmarkEnd w:id="315"/>
      <w:bookmarkEnd w:id="316"/>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lang w:val="en-US" w:eastAsia="zh-CN"/>
        </w:rPr>
        <w:t xml:space="preserve">         </w:t>
      </w:r>
      <w:r>
        <w:rPr>
          <w:rFonts w:hint="eastAsia" w:ascii="宋体" w:hAnsi="宋体" w:cs="宋体"/>
          <w:spacing w:val="6"/>
          <w:sz w:val="24"/>
        </w:rPr>
        <w:t>单位的</w:t>
      </w:r>
      <w:r>
        <w:rPr>
          <w:rFonts w:hint="eastAsia" w:ascii="宋体" w:hAnsi="宋体" w:cs="宋体"/>
          <w:spacing w:val="6"/>
          <w:sz w:val="24"/>
          <w:u w:val="single"/>
          <w:lang w:val="en-US" w:eastAsia="zh-CN"/>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单位名称（单位电子签章）：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bookmarkEnd w:id="302"/>
    <w:bookmarkEnd w:id="317"/>
    <w:bookmarkEnd w:id="318"/>
    <w:p>
      <w:pPr>
        <w:pStyle w:val="2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19" w:name="_Toc18605"/>
      <w:bookmarkStart w:id="320" w:name="_Toc16608"/>
      <w:r>
        <w:rPr>
          <w:rFonts w:hint="eastAsia" w:asciiTheme="minorEastAsia" w:hAnsiTheme="minorEastAsia" w:eastAsiaTheme="minorEastAsia" w:cstheme="minorEastAsia"/>
          <w:b/>
          <w:kern w:val="2"/>
          <w:sz w:val="30"/>
          <w:szCs w:val="30"/>
        </w:rPr>
        <w:t>十、招标文件要求的或供应商认为须提交的其他材料</w:t>
      </w:r>
      <w:bookmarkEnd w:id="319"/>
      <w:bookmarkEnd w:id="320"/>
    </w:p>
    <w:p>
      <w:pPr>
        <w:spacing w:line="360" w:lineRule="auto"/>
        <w:rPr>
          <w:rFonts w:asciiTheme="minorEastAsia" w:hAnsiTheme="minorEastAsia" w:eastAsiaTheme="minorEastAsia" w:cstheme="minorEastAsia"/>
          <w:sz w:val="24"/>
          <w:shd w:val="clear" w:color="FFFFFF" w:fill="D9D9D9"/>
        </w:rPr>
      </w:pPr>
    </w:p>
    <w:p>
      <w:pPr>
        <w:spacing w:line="600" w:lineRule="exact"/>
        <w:ind w:firstLine="560" w:firstLineChars="200"/>
        <w:rPr>
          <w:rFonts w:ascii="宋体" w:hAnsi="宋体" w:cs="宋体"/>
          <w:sz w:val="28"/>
          <w:szCs w:val="28"/>
        </w:rPr>
      </w:pPr>
      <w:r>
        <w:rPr>
          <w:rFonts w:hint="eastAsia" w:ascii="宋体" w:hAnsi="宋体" w:cs="宋体"/>
          <w:sz w:val="28"/>
          <w:szCs w:val="28"/>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spacing w:line="440" w:lineRule="exact"/>
        <w:rPr>
          <w:rFonts w:ascii="宋体" w:hAnsi="宋体" w:cs="宋体"/>
          <w:b/>
          <w:sz w:val="36"/>
          <w:szCs w:val="36"/>
        </w:rPr>
      </w:pPr>
    </w:p>
    <w:p>
      <w:pPr>
        <w:spacing w:line="440" w:lineRule="exact"/>
        <w:jc w:val="center"/>
        <w:rPr>
          <w:rFonts w:ascii="宋体" w:hAnsi="宋体" w:cs="宋体"/>
          <w:b/>
          <w:sz w:val="36"/>
          <w:szCs w:val="36"/>
        </w:rPr>
      </w:pPr>
    </w:p>
    <w:p>
      <w:pPr>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
      <w:pPr>
        <w:pStyle w:val="33"/>
      </w:pPr>
    </w:p>
    <w:p>
      <w:pPr>
        <w:pStyle w:val="34"/>
        <w:rPr>
          <w:color w:val="auto"/>
        </w:rPr>
      </w:pPr>
    </w:p>
    <w:p>
      <w:pPr>
        <w:pStyle w:val="35"/>
      </w:pPr>
    </w:p>
    <w:p>
      <w:pPr>
        <w:pStyle w:val="36"/>
      </w:pPr>
    </w:p>
    <w:p/>
    <w:p>
      <w:pPr>
        <w:pStyle w:val="33"/>
      </w:pPr>
    </w:p>
    <w:p>
      <w:pPr>
        <w:pStyle w:val="34"/>
        <w:rPr>
          <w:color w:val="auto"/>
        </w:rPr>
      </w:pPr>
    </w:p>
    <w:p>
      <w:pPr>
        <w:pStyle w:val="35"/>
      </w:pPr>
    </w:p>
    <w:p>
      <w:pPr>
        <w:pStyle w:val="36"/>
      </w:pPr>
    </w:p>
    <w:p/>
    <w:p>
      <w:pPr>
        <w:pStyle w:val="33"/>
      </w:pPr>
    </w:p>
    <w:p>
      <w:pPr>
        <w:pStyle w:val="34"/>
        <w:rPr>
          <w:color w:val="auto"/>
        </w:rPr>
      </w:pPr>
    </w:p>
    <w:p>
      <w:pPr>
        <w:pStyle w:val="35"/>
      </w:pPr>
    </w:p>
    <w:p>
      <w:pPr>
        <w:pStyle w:val="36"/>
      </w:pPr>
    </w:p>
    <w:p>
      <w:pPr>
        <w:pStyle w:val="33"/>
      </w:pP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pStyle w:val="33"/>
      </w:pP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pStyle w:val="3"/>
        <w:rPr>
          <w:rFonts w:ascii="宋体" w:hAnsi="宋体" w:cs="宋体"/>
          <w:sz w:val="36"/>
          <w:szCs w:val="36"/>
        </w:rPr>
      </w:pPr>
    </w:p>
    <w:p>
      <w:pPr>
        <w:spacing w:line="440" w:lineRule="exact"/>
        <w:rPr>
          <w:rFonts w:ascii="宋体" w:hAnsi="宋体" w:cs="宋体"/>
          <w:b/>
          <w:sz w:val="36"/>
          <w:szCs w:val="36"/>
        </w:rPr>
      </w:pPr>
    </w:p>
    <w:p>
      <w:pPr>
        <w:pStyle w:val="33"/>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420" w:firstLineChars="175"/>
        <w:rPr>
          <w:rFonts w:ascii="宋体" w:hAnsi="宋体" w:cs="宋体"/>
          <w:bCs/>
          <w:sz w:val="24"/>
        </w:rPr>
      </w:pPr>
      <w:r>
        <w:rPr>
          <w:rFonts w:hint="eastAsia" w:ascii="宋体" w:hAnsi="宋体" w:cs="宋体"/>
          <w:bCs/>
          <w:sz w:val="24"/>
        </w:rPr>
        <w:t>各供应商：</w:t>
      </w:r>
    </w:p>
    <w:p>
      <w:pPr>
        <w:spacing w:line="42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pPr>
        <w:spacing w:line="42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8"/>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C58BAF0"/>
    <w:multiLevelType w:val="singleLevel"/>
    <w:tmpl w:val="1C58BAF0"/>
    <w:lvl w:ilvl="0" w:tentative="0">
      <w:start w:val="1"/>
      <w:numFmt w:val="decimal"/>
      <w:suff w:val="nothing"/>
      <w:lvlText w:val="（%1）"/>
      <w:lvlJc w:val="left"/>
    </w:lvl>
  </w:abstractNum>
  <w:abstractNum w:abstractNumId="9">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2E675402"/>
    <w:multiLevelType w:val="singleLevel"/>
    <w:tmpl w:val="2E675402"/>
    <w:lvl w:ilvl="0" w:tentative="0">
      <w:start w:val="1"/>
      <w:numFmt w:val="chineseCounting"/>
      <w:suff w:val="nothing"/>
      <w:lvlText w:val="（%1）"/>
      <w:lvlJc w:val="left"/>
      <w:rPr>
        <w:rFonts w:hint="eastAsia"/>
      </w:rPr>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4">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7"/>
  </w:num>
  <w:num w:numId="2">
    <w:abstractNumId w:val="2"/>
  </w:num>
  <w:num w:numId="3">
    <w:abstractNumId w:val="13"/>
  </w:num>
  <w:num w:numId="4">
    <w:abstractNumId w:val="6"/>
  </w:num>
  <w:num w:numId="5">
    <w:abstractNumId w:val="12"/>
  </w:num>
  <w:num w:numId="6">
    <w:abstractNumId w:val="0"/>
  </w:num>
  <w:num w:numId="7">
    <w:abstractNumId w:val="8"/>
  </w:num>
  <w:num w:numId="8">
    <w:abstractNumId w:val="5"/>
  </w:num>
  <w:num w:numId="9">
    <w:abstractNumId w:val="14"/>
  </w:num>
  <w:num w:numId="10">
    <w:abstractNumId w:val="9"/>
  </w:num>
  <w:num w:numId="11">
    <w:abstractNumId w:val="3"/>
  </w:num>
  <w:num w:numId="12">
    <w:abstractNumId w:val="10"/>
  </w:num>
  <w:num w:numId="13">
    <w:abstractNumId w:val="11"/>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hideSpellingErrors/>
  <w:documentProtection w:enforcement="0"/>
  <w:defaultTabStop w:val="420"/>
  <w:drawingGridVerticalSpacing w:val="19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ZjQ4ZDdhOTZhNTRkNTViNWYwZWI5MzRjM2NjZGIifQ=="/>
    <w:docVar w:name="KSO_WPS_MARK_KEY" w:val="7b2f0240-85bb-4b13-bebb-70d144b1ca43"/>
  </w:docVars>
  <w:rsids>
    <w:rsidRoot w:val="00CF3BAF"/>
    <w:rsid w:val="00013DD1"/>
    <w:rsid w:val="00081779"/>
    <w:rsid w:val="00113652"/>
    <w:rsid w:val="001E47D0"/>
    <w:rsid w:val="00205DE3"/>
    <w:rsid w:val="002075F5"/>
    <w:rsid w:val="00227539"/>
    <w:rsid w:val="00236004"/>
    <w:rsid w:val="00261DC9"/>
    <w:rsid w:val="00272A9F"/>
    <w:rsid w:val="00281BCC"/>
    <w:rsid w:val="00293D01"/>
    <w:rsid w:val="00295A55"/>
    <w:rsid w:val="002D45A3"/>
    <w:rsid w:val="0034193D"/>
    <w:rsid w:val="003464E3"/>
    <w:rsid w:val="00382698"/>
    <w:rsid w:val="00387019"/>
    <w:rsid w:val="0042593E"/>
    <w:rsid w:val="0044589E"/>
    <w:rsid w:val="00451A98"/>
    <w:rsid w:val="00471CF0"/>
    <w:rsid w:val="00481283"/>
    <w:rsid w:val="004856FA"/>
    <w:rsid w:val="004B78BE"/>
    <w:rsid w:val="004C776B"/>
    <w:rsid w:val="004E3BC3"/>
    <w:rsid w:val="004E4875"/>
    <w:rsid w:val="005106E0"/>
    <w:rsid w:val="00536F66"/>
    <w:rsid w:val="005542F2"/>
    <w:rsid w:val="005A2870"/>
    <w:rsid w:val="005E14C7"/>
    <w:rsid w:val="005F220F"/>
    <w:rsid w:val="00631E63"/>
    <w:rsid w:val="00651B64"/>
    <w:rsid w:val="00651BA7"/>
    <w:rsid w:val="00656FFA"/>
    <w:rsid w:val="00666E50"/>
    <w:rsid w:val="00675512"/>
    <w:rsid w:val="006B2CA3"/>
    <w:rsid w:val="006C7E0E"/>
    <w:rsid w:val="006D3E74"/>
    <w:rsid w:val="00712D43"/>
    <w:rsid w:val="007145D8"/>
    <w:rsid w:val="007270F5"/>
    <w:rsid w:val="00767590"/>
    <w:rsid w:val="00783CF9"/>
    <w:rsid w:val="007952CC"/>
    <w:rsid w:val="007C65BE"/>
    <w:rsid w:val="007E2B28"/>
    <w:rsid w:val="0081081C"/>
    <w:rsid w:val="00826247"/>
    <w:rsid w:val="00850F37"/>
    <w:rsid w:val="008672C4"/>
    <w:rsid w:val="008767AC"/>
    <w:rsid w:val="00884C5F"/>
    <w:rsid w:val="008B741E"/>
    <w:rsid w:val="008D2851"/>
    <w:rsid w:val="008D314A"/>
    <w:rsid w:val="009368F4"/>
    <w:rsid w:val="009431A8"/>
    <w:rsid w:val="00951DF1"/>
    <w:rsid w:val="00983A1D"/>
    <w:rsid w:val="009A0E66"/>
    <w:rsid w:val="009B3631"/>
    <w:rsid w:val="009E6501"/>
    <w:rsid w:val="009F60C5"/>
    <w:rsid w:val="00A52CAF"/>
    <w:rsid w:val="00AA57A6"/>
    <w:rsid w:val="00AD577B"/>
    <w:rsid w:val="00B32984"/>
    <w:rsid w:val="00B34D9F"/>
    <w:rsid w:val="00BC19AF"/>
    <w:rsid w:val="00BF3DA8"/>
    <w:rsid w:val="00C63E59"/>
    <w:rsid w:val="00C86DE2"/>
    <w:rsid w:val="00C93CF9"/>
    <w:rsid w:val="00C94A06"/>
    <w:rsid w:val="00C94AF7"/>
    <w:rsid w:val="00C95C63"/>
    <w:rsid w:val="00CD310A"/>
    <w:rsid w:val="00CF3BAF"/>
    <w:rsid w:val="00DA0BC1"/>
    <w:rsid w:val="00DB5C27"/>
    <w:rsid w:val="00DB6ECC"/>
    <w:rsid w:val="00DE7C62"/>
    <w:rsid w:val="00E5544B"/>
    <w:rsid w:val="00E61A34"/>
    <w:rsid w:val="00ED32EC"/>
    <w:rsid w:val="00EF61C9"/>
    <w:rsid w:val="00F16816"/>
    <w:rsid w:val="00F5227C"/>
    <w:rsid w:val="00FB3E02"/>
    <w:rsid w:val="00FC0F08"/>
    <w:rsid w:val="00FE4037"/>
    <w:rsid w:val="015A0ED7"/>
    <w:rsid w:val="018B79D4"/>
    <w:rsid w:val="01930027"/>
    <w:rsid w:val="01933022"/>
    <w:rsid w:val="019C74BD"/>
    <w:rsid w:val="01A249C3"/>
    <w:rsid w:val="01A90C02"/>
    <w:rsid w:val="01CD0413"/>
    <w:rsid w:val="01F21F64"/>
    <w:rsid w:val="01F77570"/>
    <w:rsid w:val="01F80A87"/>
    <w:rsid w:val="01F97E2C"/>
    <w:rsid w:val="0224187C"/>
    <w:rsid w:val="02474136"/>
    <w:rsid w:val="024768DF"/>
    <w:rsid w:val="02534437"/>
    <w:rsid w:val="02781E5F"/>
    <w:rsid w:val="027C2CDB"/>
    <w:rsid w:val="02975B59"/>
    <w:rsid w:val="02A079AD"/>
    <w:rsid w:val="02AD7AC3"/>
    <w:rsid w:val="02B2279A"/>
    <w:rsid w:val="02C572FD"/>
    <w:rsid w:val="02D346FD"/>
    <w:rsid w:val="02DF753E"/>
    <w:rsid w:val="03EF01A2"/>
    <w:rsid w:val="0403320F"/>
    <w:rsid w:val="04035DC5"/>
    <w:rsid w:val="040F5B2D"/>
    <w:rsid w:val="041F1D93"/>
    <w:rsid w:val="04351B1E"/>
    <w:rsid w:val="046F0DBE"/>
    <w:rsid w:val="04730C9A"/>
    <w:rsid w:val="04760D95"/>
    <w:rsid w:val="04955EBF"/>
    <w:rsid w:val="049A5F70"/>
    <w:rsid w:val="04B015F5"/>
    <w:rsid w:val="04B80A56"/>
    <w:rsid w:val="04F44273"/>
    <w:rsid w:val="05476DA0"/>
    <w:rsid w:val="0587053C"/>
    <w:rsid w:val="05CF063D"/>
    <w:rsid w:val="05E90531"/>
    <w:rsid w:val="06112117"/>
    <w:rsid w:val="061F1094"/>
    <w:rsid w:val="064662A5"/>
    <w:rsid w:val="06494301"/>
    <w:rsid w:val="064B3EA8"/>
    <w:rsid w:val="06604A73"/>
    <w:rsid w:val="067B2348"/>
    <w:rsid w:val="06B269FF"/>
    <w:rsid w:val="06C3755C"/>
    <w:rsid w:val="06F1337E"/>
    <w:rsid w:val="07190068"/>
    <w:rsid w:val="07310D7F"/>
    <w:rsid w:val="074D4119"/>
    <w:rsid w:val="07997BA5"/>
    <w:rsid w:val="07E07FF3"/>
    <w:rsid w:val="08161B2A"/>
    <w:rsid w:val="08355432"/>
    <w:rsid w:val="083A174E"/>
    <w:rsid w:val="083B347B"/>
    <w:rsid w:val="083D3697"/>
    <w:rsid w:val="08685028"/>
    <w:rsid w:val="0885658D"/>
    <w:rsid w:val="08910593"/>
    <w:rsid w:val="08B6562F"/>
    <w:rsid w:val="09102B5A"/>
    <w:rsid w:val="098B21E0"/>
    <w:rsid w:val="09E55D95"/>
    <w:rsid w:val="0A127867"/>
    <w:rsid w:val="0A1A5EE2"/>
    <w:rsid w:val="0A3D6877"/>
    <w:rsid w:val="0A406050"/>
    <w:rsid w:val="0A645EB1"/>
    <w:rsid w:val="0A84735B"/>
    <w:rsid w:val="0A8B4CEF"/>
    <w:rsid w:val="0A9A1E42"/>
    <w:rsid w:val="0AFE4F5A"/>
    <w:rsid w:val="0AFF2E86"/>
    <w:rsid w:val="0B057D70"/>
    <w:rsid w:val="0B2D5070"/>
    <w:rsid w:val="0B405D3F"/>
    <w:rsid w:val="0B440CBC"/>
    <w:rsid w:val="0B627FDD"/>
    <w:rsid w:val="0B664CB3"/>
    <w:rsid w:val="0B7902B3"/>
    <w:rsid w:val="0B8C1399"/>
    <w:rsid w:val="0B901D30"/>
    <w:rsid w:val="0C051155"/>
    <w:rsid w:val="0C076843"/>
    <w:rsid w:val="0C2D57D1"/>
    <w:rsid w:val="0C3C2F86"/>
    <w:rsid w:val="0CB21806"/>
    <w:rsid w:val="0CB90E13"/>
    <w:rsid w:val="0CD05128"/>
    <w:rsid w:val="0D22719E"/>
    <w:rsid w:val="0D270828"/>
    <w:rsid w:val="0D792EC2"/>
    <w:rsid w:val="0D81592D"/>
    <w:rsid w:val="0D8716C8"/>
    <w:rsid w:val="0D974D65"/>
    <w:rsid w:val="0DB937C0"/>
    <w:rsid w:val="0E2200DA"/>
    <w:rsid w:val="0E651252"/>
    <w:rsid w:val="0E8C0D4D"/>
    <w:rsid w:val="0EA33B28"/>
    <w:rsid w:val="0EA67121"/>
    <w:rsid w:val="0EC97A84"/>
    <w:rsid w:val="0EDC105C"/>
    <w:rsid w:val="0EDE6CBA"/>
    <w:rsid w:val="0EE45391"/>
    <w:rsid w:val="0EF32EFA"/>
    <w:rsid w:val="0F0410E0"/>
    <w:rsid w:val="0F0740B7"/>
    <w:rsid w:val="0F340C24"/>
    <w:rsid w:val="0FDE2EA6"/>
    <w:rsid w:val="0FE73EE9"/>
    <w:rsid w:val="100420C3"/>
    <w:rsid w:val="1012372A"/>
    <w:rsid w:val="10160FF4"/>
    <w:rsid w:val="10202516"/>
    <w:rsid w:val="10257C82"/>
    <w:rsid w:val="10544429"/>
    <w:rsid w:val="10586A77"/>
    <w:rsid w:val="107D20E4"/>
    <w:rsid w:val="10822369"/>
    <w:rsid w:val="10A2678D"/>
    <w:rsid w:val="10C002C7"/>
    <w:rsid w:val="11164A85"/>
    <w:rsid w:val="11481AF6"/>
    <w:rsid w:val="117266CB"/>
    <w:rsid w:val="11761DEC"/>
    <w:rsid w:val="11920A50"/>
    <w:rsid w:val="119A56B6"/>
    <w:rsid w:val="119B16ED"/>
    <w:rsid w:val="11A25357"/>
    <w:rsid w:val="11B34CF4"/>
    <w:rsid w:val="11F2782C"/>
    <w:rsid w:val="120C0D33"/>
    <w:rsid w:val="12253216"/>
    <w:rsid w:val="125032C0"/>
    <w:rsid w:val="12B87983"/>
    <w:rsid w:val="12F25439"/>
    <w:rsid w:val="134734DE"/>
    <w:rsid w:val="13732E71"/>
    <w:rsid w:val="13924778"/>
    <w:rsid w:val="13A23695"/>
    <w:rsid w:val="13B32A60"/>
    <w:rsid w:val="13E9022F"/>
    <w:rsid w:val="143C687A"/>
    <w:rsid w:val="144162BD"/>
    <w:rsid w:val="144353ED"/>
    <w:rsid w:val="14860849"/>
    <w:rsid w:val="14AB3737"/>
    <w:rsid w:val="14B42FE5"/>
    <w:rsid w:val="14B770B6"/>
    <w:rsid w:val="14CC19C6"/>
    <w:rsid w:val="14CD5863"/>
    <w:rsid w:val="14DA2E06"/>
    <w:rsid w:val="14E629C1"/>
    <w:rsid w:val="15267F04"/>
    <w:rsid w:val="152E231F"/>
    <w:rsid w:val="15545B7C"/>
    <w:rsid w:val="15826B8D"/>
    <w:rsid w:val="159D7523"/>
    <w:rsid w:val="15F70220"/>
    <w:rsid w:val="16493207"/>
    <w:rsid w:val="16504596"/>
    <w:rsid w:val="165F3BC6"/>
    <w:rsid w:val="166D59E0"/>
    <w:rsid w:val="16997753"/>
    <w:rsid w:val="169D288C"/>
    <w:rsid w:val="16AB2114"/>
    <w:rsid w:val="17134F36"/>
    <w:rsid w:val="179C380B"/>
    <w:rsid w:val="17AC6DF4"/>
    <w:rsid w:val="17C34D32"/>
    <w:rsid w:val="17D3631C"/>
    <w:rsid w:val="181867A0"/>
    <w:rsid w:val="18264209"/>
    <w:rsid w:val="183D74A2"/>
    <w:rsid w:val="18574301"/>
    <w:rsid w:val="185E3D8F"/>
    <w:rsid w:val="18A528CA"/>
    <w:rsid w:val="1942306E"/>
    <w:rsid w:val="19670574"/>
    <w:rsid w:val="196A7BE4"/>
    <w:rsid w:val="19B47CE3"/>
    <w:rsid w:val="19D674A8"/>
    <w:rsid w:val="19EE17C2"/>
    <w:rsid w:val="19EF2318"/>
    <w:rsid w:val="1A1025AF"/>
    <w:rsid w:val="1A2B26E2"/>
    <w:rsid w:val="1A3B0CC2"/>
    <w:rsid w:val="1A8B2040"/>
    <w:rsid w:val="1A913822"/>
    <w:rsid w:val="1AB05F4B"/>
    <w:rsid w:val="1AD02BB1"/>
    <w:rsid w:val="1B0F127C"/>
    <w:rsid w:val="1B33310F"/>
    <w:rsid w:val="1B577881"/>
    <w:rsid w:val="1BD529D4"/>
    <w:rsid w:val="1BE9127A"/>
    <w:rsid w:val="1C211654"/>
    <w:rsid w:val="1C2B1493"/>
    <w:rsid w:val="1C2D32A0"/>
    <w:rsid w:val="1C644670"/>
    <w:rsid w:val="1C753023"/>
    <w:rsid w:val="1C9363D1"/>
    <w:rsid w:val="1CC37618"/>
    <w:rsid w:val="1CD57C9C"/>
    <w:rsid w:val="1D1E6C5C"/>
    <w:rsid w:val="1D223418"/>
    <w:rsid w:val="1D2A77A9"/>
    <w:rsid w:val="1D3C3AC6"/>
    <w:rsid w:val="1D4A5CC7"/>
    <w:rsid w:val="1D525097"/>
    <w:rsid w:val="1D5A65E9"/>
    <w:rsid w:val="1D743812"/>
    <w:rsid w:val="1DA06BBC"/>
    <w:rsid w:val="1DC13FCB"/>
    <w:rsid w:val="1DCA10D2"/>
    <w:rsid w:val="1DDA0B91"/>
    <w:rsid w:val="1E180D39"/>
    <w:rsid w:val="1E212A6F"/>
    <w:rsid w:val="1E360353"/>
    <w:rsid w:val="1E4779B9"/>
    <w:rsid w:val="1E7C3987"/>
    <w:rsid w:val="1E8D1334"/>
    <w:rsid w:val="1E921418"/>
    <w:rsid w:val="1E9F6509"/>
    <w:rsid w:val="1EB33136"/>
    <w:rsid w:val="1EE937D9"/>
    <w:rsid w:val="1EF17A1C"/>
    <w:rsid w:val="1EF55393"/>
    <w:rsid w:val="1F111512"/>
    <w:rsid w:val="1F3F59B3"/>
    <w:rsid w:val="1FA91310"/>
    <w:rsid w:val="1FBB33A3"/>
    <w:rsid w:val="1FCF0C21"/>
    <w:rsid w:val="1FD46237"/>
    <w:rsid w:val="1FE90E30"/>
    <w:rsid w:val="20AB64FD"/>
    <w:rsid w:val="20E259AF"/>
    <w:rsid w:val="20E67A15"/>
    <w:rsid w:val="21854D72"/>
    <w:rsid w:val="218872DA"/>
    <w:rsid w:val="219C4D8C"/>
    <w:rsid w:val="21A96F53"/>
    <w:rsid w:val="220B3A67"/>
    <w:rsid w:val="22635651"/>
    <w:rsid w:val="22821933"/>
    <w:rsid w:val="22851F14"/>
    <w:rsid w:val="22937A29"/>
    <w:rsid w:val="22A44C61"/>
    <w:rsid w:val="22E0486C"/>
    <w:rsid w:val="22E7389D"/>
    <w:rsid w:val="236C0699"/>
    <w:rsid w:val="23971A56"/>
    <w:rsid w:val="239B4019"/>
    <w:rsid w:val="23A75A11"/>
    <w:rsid w:val="23C21A0E"/>
    <w:rsid w:val="23C245F9"/>
    <w:rsid w:val="24364D63"/>
    <w:rsid w:val="24565832"/>
    <w:rsid w:val="24581EC9"/>
    <w:rsid w:val="245D7AC3"/>
    <w:rsid w:val="246511FA"/>
    <w:rsid w:val="24845123"/>
    <w:rsid w:val="255249D2"/>
    <w:rsid w:val="25627E42"/>
    <w:rsid w:val="25B6127B"/>
    <w:rsid w:val="26211AAB"/>
    <w:rsid w:val="264840A1"/>
    <w:rsid w:val="2671382C"/>
    <w:rsid w:val="26AB160B"/>
    <w:rsid w:val="26AF355A"/>
    <w:rsid w:val="26BA05DD"/>
    <w:rsid w:val="26D40659"/>
    <w:rsid w:val="27070CA1"/>
    <w:rsid w:val="27144052"/>
    <w:rsid w:val="27481489"/>
    <w:rsid w:val="27765E26"/>
    <w:rsid w:val="27800A53"/>
    <w:rsid w:val="27B228CA"/>
    <w:rsid w:val="27CF39BA"/>
    <w:rsid w:val="28013942"/>
    <w:rsid w:val="28406DD2"/>
    <w:rsid w:val="28547F1D"/>
    <w:rsid w:val="287019A1"/>
    <w:rsid w:val="28BD1C36"/>
    <w:rsid w:val="29034F6A"/>
    <w:rsid w:val="291F753F"/>
    <w:rsid w:val="29676CB5"/>
    <w:rsid w:val="29AD1F3E"/>
    <w:rsid w:val="29FC7FCE"/>
    <w:rsid w:val="2A1118F0"/>
    <w:rsid w:val="2A1D4C7F"/>
    <w:rsid w:val="2A334727"/>
    <w:rsid w:val="2A8D3BB3"/>
    <w:rsid w:val="2A9C7900"/>
    <w:rsid w:val="2AA84457"/>
    <w:rsid w:val="2ABE19E5"/>
    <w:rsid w:val="2AEB1349"/>
    <w:rsid w:val="2B1105F0"/>
    <w:rsid w:val="2B2362C5"/>
    <w:rsid w:val="2B3F6790"/>
    <w:rsid w:val="2B9A5BB7"/>
    <w:rsid w:val="2B9B6B8C"/>
    <w:rsid w:val="2BF348C7"/>
    <w:rsid w:val="2C0F5312"/>
    <w:rsid w:val="2C5243EF"/>
    <w:rsid w:val="2C571ADC"/>
    <w:rsid w:val="2CC20013"/>
    <w:rsid w:val="2CD72942"/>
    <w:rsid w:val="2CF34593"/>
    <w:rsid w:val="2D1F271F"/>
    <w:rsid w:val="2D340FB7"/>
    <w:rsid w:val="2D4759F0"/>
    <w:rsid w:val="2D4B17C9"/>
    <w:rsid w:val="2DA17287"/>
    <w:rsid w:val="2DEF0B6D"/>
    <w:rsid w:val="2E04418C"/>
    <w:rsid w:val="2E090307"/>
    <w:rsid w:val="2E2F7C70"/>
    <w:rsid w:val="2E7164C1"/>
    <w:rsid w:val="2EC469FF"/>
    <w:rsid w:val="2ECE479A"/>
    <w:rsid w:val="2ED658FB"/>
    <w:rsid w:val="2ED80964"/>
    <w:rsid w:val="2EF41B1E"/>
    <w:rsid w:val="2F3D38F1"/>
    <w:rsid w:val="2F662BA9"/>
    <w:rsid w:val="2F6B6F8C"/>
    <w:rsid w:val="2FA713A3"/>
    <w:rsid w:val="2FA84FEB"/>
    <w:rsid w:val="30204B81"/>
    <w:rsid w:val="3054090C"/>
    <w:rsid w:val="30766F52"/>
    <w:rsid w:val="30A7457C"/>
    <w:rsid w:val="30AF513E"/>
    <w:rsid w:val="30BF439A"/>
    <w:rsid w:val="30F51C2B"/>
    <w:rsid w:val="31170488"/>
    <w:rsid w:val="31183696"/>
    <w:rsid w:val="311B58CA"/>
    <w:rsid w:val="312875A3"/>
    <w:rsid w:val="31432453"/>
    <w:rsid w:val="315C20A8"/>
    <w:rsid w:val="315E08FB"/>
    <w:rsid w:val="327012C3"/>
    <w:rsid w:val="32900317"/>
    <w:rsid w:val="32A73338"/>
    <w:rsid w:val="32AC094E"/>
    <w:rsid w:val="32DD09B1"/>
    <w:rsid w:val="334616B1"/>
    <w:rsid w:val="336B5FF6"/>
    <w:rsid w:val="3398566D"/>
    <w:rsid w:val="339B530E"/>
    <w:rsid w:val="33B71CA0"/>
    <w:rsid w:val="34375174"/>
    <w:rsid w:val="34490FA6"/>
    <w:rsid w:val="348A2F11"/>
    <w:rsid w:val="34BF0E0C"/>
    <w:rsid w:val="35400F5E"/>
    <w:rsid w:val="356103C1"/>
    <w:rsid w:val="35624307"/>
    <w:rsid w:val="356E75B4"/>
    <w:rsid w:val="35EF40B4"/>
    <w:rsid w:val="35F6214D"/>
    <w:rsid w:val="369F5AC8"/>
    <w:rsid w:val="36D77DC4"/>
    <w:rsid w:val="36F2243E"/>
    <w:rsid w:val="37316346"/>
    <w:rsid w:val="376D0FF4"/>
    <w:rsid w:val="379522F8"/>
    <w:rsid w:val="379678D2"/>
    <w:rsid w:val="37BB5BE3"/>
    <w:rsid w:val="37C3064D"/>
    <w:rsid w:val="37C94B02"/>
    <w:rsid w:val="385E298D"/>
    <w:rsid w:val="386115E2"/>
    <w:rsid w:val="38645EB0"/>
    <w:rsid w:val="38812459"/>
    <w:rsid w:val="38812ED9"/>
    <w:rsid w:val="38855EC7"/>
    <w:rsid w:val="38C51FA1"/>
    <w:rsid w:val="38C56745"/>
    <w:rsid w:val="38ED5B17"/>
    <w:rsid w:val="391F5908"/>
    <w:rsid w:val="393901E4"/>
    <w:rsid w:val="393A5E0A"/>
    <w:rsid w:val="3AAA205E"/>
    <w:rsid w:val="3AAB47A9"/>
    <w:rsid w:val="3AB76C35"/>
    <w:rsid w:val="3AC405E4"/>
    <w:rsid w:val="3ACB34B8"/>
    <w:rsid w:val="3B1B2B15"/>
    <w:rsid w:val="3B27182E"/>
    <w:rsid w:val="3B5755D8"/>
    <w:rsid w:val="3B680882"/>
    <w:rsid w:val="3BB11661"/>
    <w:rsid w:val="3BEE3DAF"/>
    <w:rsid w:val="3C3E4D0D"/>
    <w:rsid w:val="3C5740DD"/>
    <w:rsid w:val="3C806CA2"/>
    <w:rsid w:val="3C875BD5"/>
    <w:rsid w:val="3CB77D1E"/>
    <w:rsid w:val="3D3F6549"/>
    <w:rsid w:val="3D510A70"/>
    <w:rsid w:val="3D6E3B32"/>
    <w:rsid w:val="3DA476DF"/>
    <w:rsid w:val="3DA9026A"/>
    <w:rsid w:val="3DD2565E"/>
    <w:rsid w:val="3DE713D4"/>
    <w:rsid w:val="3E007463"/>
    <w:rsid w:val="3E3D322B"/>
    <w:rsid w:val="3E8D79E9"/>
    <w:rsid w:val="3E8E1D06"/>
    <w:rsid w:val="3E955212"/>
    <w:rsid w:val="3EF618CF"/>
    <w:rsid w:val="3F1C6570"/>
    <w:rsid w:val="3F51170A"/>
    <w:rsid w:val="3FD66319"/>
    <w:rsid w:val="403E170D"/>
    <w:rsid w:val="40507902"/>
    <w:rsid w:val="405204BF"/>
    <w:rsid w:val="407A6954"/>
    <w:rsid w:val="407C1AED"/>
    <w:rsid w:val="40AE6405"/>
    <w:rsid w:val="40BE7560"/>
    <w:rsid w:val="40E2372C"/>
    <w:rsid w:val="41237074"/>
    <w:rsid w:val="416F7716"/>
    <w:rsid w:val="4176039B"/>
    <w:rsid w:val="417B430D"/>
    <w:rsid w:val="41A82C28"/>
    <w:rsid w:val="41C95079"/>
    <w:rsid w:val="420C4EF5"/>
    <w:rsid w:val="42181E5B"/>
    <w:rsid w:val="421F4DB9"/>
    <w:rsid w:val="422B007C"/>
    <w:rsid w:val="42881AA6"/>
    <w:rsid w:val="42A81132"/>
    <w:rsid w:val="42D42289"/>
    <w:rsid w:val="42E02E33"/>
    <w:rsid w:val="42F65BA4"/>
    <w:rsid w:val="434C47FE"/>
    <w:rsid w:val="4364501E"/>
    <w:rsid w:val="44337121"/>
    <w:rsid w:val="44443036"/>
    <w:rsid w:val="4453447A"/>
    <w:rsid w:val="44BD4C3D"/>
    <w:rsid w:val="44CD30D2"/>
    <w:rsid w:val="44E855CD"/>
    <w:rsid w:val="44EE4354"/>
    <w:rsid w:val="44F64D49"/>
    <w:rsid w:val="456F6D56"/>
    <w:rsid w:val="458105CE"/>
    <w:rsid w:val="459B770E"/>
    <w:rsid w:val="459D408E"/>
    <w:rsid w:val="45D313A6"/>
    <w:rsid w:val="45D94A67"/>
    <w:rsid w:val="45E375FE"/>
    <w:rsid w:val="45F959CA"/>
    <w:rsid w:val="46192D48"/>
    <w:rsid w:val="461E42D2"/>
    <w:rsid w:val="46316751"/>
    <w:rsid w:val="463827CD"/>
    <w:rsid w:val="46642C04"/>
    <w:rsid w:val="46712183"/>
    <w:rsid w:val="46B03E18"/>
    <w:rsid w:val="46B94545"/>
    <w:rsid w:val="46C978C9"/>
    <w:rsid w:val="46FF153C"/>
    <w:rsid w:val="47103BFA"/>
    <w:rsid w:val="47195F8F"/>
    <w:rsid w:val="471C20EE"/>
    <w:rsid w:val="472509CB"/>
    <w:rsid w:val="472B3D7F"/>
    <w:rsid w:val="473C24B5"/>
    <w:rsid w:val="478A2A55"/>
    <w:rsid w:val="479E38D8"/>
    <w:rsid w:val="47A57FB1"/>
    <w:rsid w:val="47D55BE2"/>
    <w:rsid w:val="47E349BA"/>
    <w:rsid w:val="47EB734B"/>
    <w:rsid w:val="48167CD1"/>
    <w:rsid w:val="486E372E"/>
    <w:rsid w:val="48934AEB"/>
    <w:rsid w:val="492E33C0"/>
    <w:rsid w:val="49514E3C"/>
    <w:rsid w:val="495261A3"/>
    <w:rsid w:val="495D6F47"/>
    <w:rsid w:val="498A0C86"/>
    <w:rsid w:val="49917CF5"/>
    <w:rsid w:val="499A379E"/>
    <w:rsid w:val="4A0550BC"/>
    <w:rsid w:val="4A0B4816"/>
    <w:rsid w:val="4A107CDA"/>
    <w:rsid w:val="4A600544"/>
    <w:rsid w:val="4A79782A"/>
    <w:rsid w:val="4AD4683C"/>
    <w:rsid w:val="4AE901CC"/>
    <w:rsid w:val="4AE90539"/>
    <w:rsid w:val="4AF33166"/>
    <w:rsid w:val="4B5F0D68"/>
    <w:rsid w:val="4B8D3FB4"/>
    <w:rsid w:val="4C4814B5"/>
    <w:rsid w:val="4CD16F98"/>
    <w:rsid w:val="4CD722EC"/>
    <w:rsid w:val="4D4C3002"/>
    <w:rsid w:val="4D553C64"/>
    <w:rsid w:val="4D5F031C"/>
    <w:rsid w:val="4D69341E"/>
    <w:rsid w:val="4D8C494F"/>
    <w:rsid w:val="4D907392"/>
    <w:rsid w:val="4DF83AA1"/>
    <w:rsid w:val="4E4C44BA"/>
    <w:rsid w:val="4E7C3AE4"/>
    <w:rsid w:val="4E7D486E"/>
    <w:rsid w:val="4EB6646D"/>
    <w:rsid w:val="4EBE5C67"/>
    <w:rsid w:val="4ED11A10"/>
    <w:rsid w:val="4ED36571"/>
    <w:rsid w:val="4F01461F"/>
    <w:rsid w:val="4F2A2BCF"/>
    <w:rsid w:val="4F5E692A"/>
    <w:rsid w:val="4FA766A8"/>
    <w:rsid w:val="4FDA48F5"/>
    <w:rsid w:val="504413AB"/>
    <w:rsid w:val="50964CC0"/>
    <w:rsid w:val="50F41DA8"/>
    <w:rsid w:val="51171D45"/>
    <w:rsid w:val="51404F43"/>
    <w:rsid w:val="519805C3"/>
    <w:rsid w:val="519C7BCD"/>
    <w:rsid w:val="51B11685"/>
    <w:rsid w:val="51F82BBB"/>
    <w:rsid w:val="522B7DE8"/>
    <w:rsid w:val="522D3402"/>
    <w:rsid w:val="523C53F3"/>
    <w:rsid w:val="527728CF"/>
    <w:rsid w:val="529178B6"/>
    <w:rsid w:val="52DC6BD6"/>
    <w:rsid w:val="52EB6588"/>
    <w:rsid w:val="53157C48"/>
    <w:rsid w:val="5324413E"/>
    <w:rsid w:val="53AC0B8F"/>
    <w:rsid w:val="53AC11E6"/>
    <w:rsid w:val="53BD2F33"/>
    <w:rsid w:val="542D2B1D"/>
    <w:rsid w:val="54413DC6"/>
    <w:rsid w:val="545F208E"/>
    <w:rsid w:val="5472334E"/>
    <w:rsid w:val="54A61249"/>
    <w:rsid w:val="54BD45BA"/>
    <w:rsid w:val="54D77655"/>
    <w:rsid w:val="54F634F2"/>
    <w:rsid w:val="551C7980"/>
    <w:rsid w:val="55417957"/>
    <w:rsid w:val="5549056E"/>
    <w:rsid w:val="555E5F8A"/>
    <w:rsid w:val="55C81AB9"/>
    <w:rsid w:val="55E95892"/>
    <w:rsid w:val="55FF6EF7"/>
    <w:rsid w:val="56325CFA"/>
    <w:rsid w:val="5664557C"/>
    <w:rsid w:val="56913258"/>
    <w:rsid w:val="56B2746F"/>
    <w:rsid w:val="56BB3C75"/>
    <w:rsid w:val="56C07F03"/>
    <w:rsid w:val="56C3089C"/>
    <w:rsid w:val="56DE7067"/>
    <w:rsid w:val="570955B4"/>
    <w:rsid w:val="570A6149"/>
    <w:rsid w:val="5725657E"/>
    <w:rsid w:val="574C257C"/>
    <w:rsid w:val="57527C3E"/>
    <w:rsid w:val="57714A87"/>
    <w:rsid w:val="5783793E"/>
    <w:rsid w:val="578C0BCA"/>
    <w:rsid w:val="579D4B86"/>
    <w:rsid w:val="57CC2BA0"/>
    <w:rsid w:val="580956C4"/>
    <w:rsid w:val="583E5061"/>
    <w:rsid w:val="587B1836"/>
    <w:rsid w:val="58B54151"/>
    <w:rsid w:val="58DC7930"/>
    <w:rsid w:val="58DF3A45"/>
    <w:rsid w:val="59001FF5"/>
    <w:rsid w:val="59257C80"/>
    <w:rsid w:val="592D7DD9"/>
    <w:rsid w:val="597C73A7"/>
    <w:rsid w:val="598A4C0E"/>
    <w:rsid w:val="598D26AC"/>
    <w:rsid w:val="599F77C9"/>
    <w:rsid w:val="59B44408"/>
    <w:rsid w:val="59C70988"/>
    <w:rsid w:val="59C95F43"/>
    <w:rsid w:val="59DE214B"/>
    <w:rsid w:val="59F53571"/>
    <w:rsid w:val="5A0045B8"/>
    <w:rsid w:val="5A21245B"/>
    <w:rsid w:val="5A3B26B8"/>
    <w:rsid w:val="5A772767"/>
    <w:rsid w:val="5A93268F"/>
    <w:rsid w:val="5AB2046A"/>
    <w:rsid w:val="5AC82B93"/>
    <w:rsid w:val="5AE14D89"/>
    <w:rsid w:val="5AE6318E"/>
    <w:rsid w:val="5AFB13A2"/>
    <w:rsid w:val="5B4E0490"/>
    <w:rsid w:val="5BFF13ED"/>
    <w:rsid w:val="5C142F3C"/>
    <w:rsid w:val="5C583771"/>
    <w:rsid w:val="5C8E651C"/>
    <w:rsid w:val="5CA377CF"/>
    <w:rsid w:val="5CCE57E1"/>
    <w:rsid w:val="5CE3404F"/>
    <w:rsid w:val="5CE538EF"/>
    <w:rsid w:val="5D120EE1"/>
    <w:rsid w:val="5D3A5D7E"/>
    <w:rsid w:val="5D7C6FEB"/>
    <w:rsid w:val="5DA550B9"/>
    <w:rsid w:val="5DB443B5"/>
    <w:rsid w:val="5DC012A8"/>
    <w:rsid w:val="5DCA7D57"/>
    <w:rsid w:val="5DE3706A"/>
    <w:rsid w:val="5E2D4789"/>
    <w:rsid w:val="5E313880"/>
    <w:rsid w:val="5E803BCC"/>
    <w:rsid w:val="5E873E9A"/>
    <w:rsid w:val="5E8A187A"/>
    <w:rsid w:val="5EAE4FD3"/>
    <w:rsid w:val="5EB27108"/>
    <w:rsid w:val="5F09244A"/>
    <w:rsid w:val="5F1A63D6"/>
    <w:rsid w:val="5F9177D9"/>
    <w:rsid w:val="5FBC4DCF"/>
    <w:rsid w:val="5FBD159D"/>
    <w:rsid w:val="5FD41D53"/>
    <w:rsid w:val="600474BD"/>
    <w:rsid w:val="600C2AB9"/>
    <w:rsid w:val="602A334A"/>
    <w:rsid w:val="60410FB0"/>
    <w:rsid w:val="60B25AEA"/>
    <w:rsid w:val="60B92304"/>
    <w:rsid w:val="60E11843"/>
    <w:rsid w:val="614442C4"/>
    <w:rsid w:val="615C6151"/>
    <w:rsid w:val="616017BB"/>
    <w:rsid w:val="61686204"/>
    <w:rsid w:val="61BD2A1D"/>
    <w:rsid w:val="62047871"/>
    <w:rsid w:val="622B3906"/>
    <w:rsid w:val="62400F7E"/>
    <w:rsid w:val="62494283"/>
    <w:rsid w:val="62C4397D"/>
    <w:rsid w:val="62EF46F3"/>
    <w:rsid w:val="63D170AC"/>
    <w:rsid w:val="642B7DAF"/>
    <w:rsid w:val="646D3E65"/>
    <w:rsid w:val="647D2112"/>
    <w:rsid w:val="64914748"/>
    <w:rsid w:val="64C93ECA"/>
    <w:rsid w:val="64CA3CB4"/>
    <w:rsid w:val="64CB0731"/>
    <w:rsid w:val="64CC2780"/>
    <w:rsid w:val="64E2585A"/>
    <w:rsid w:val="64EA5182"/>
    <w:rsid w:val="64EC0669"/>
    <w:rsid w:val="65044496"/>
    <w:rsid w:val="652103CF"/>
    <w:rsid w:val="654523B9"/>
    <w:rsid w:val="65693C54"/>
    <w:rsid w:val="65714A10"/>
    <w:rsid w:val="65776156"/>
    <w:rsid w:val="65896749"/>
    <w:rsid w:val="65B57BD7"/>
    <w:rsid w:val="65B705EA"/>
    <w:rsid w:val="65EF7DA6"/>
    <w:rsid w:val="65FC09A8"/>
    <w:rsid w:val="660C265C"/>
    <w:rsid w:val="66AC4786"/>
    <w:rsid w:val="66BA6E26"/>
    <w:rsid w:val="66F10A4A"/>
    <w:rsid w:val="67032AE8"/>
    <w:rsid w:val="67477DD7"/>
    <w:rsid w:val="67881D7C"/>
    <w:rsid w:val="6788637E"/>
    <w:rsid w:val="67923FAF"/>
    <w:rsid w:val="67997816"/>
    <w:rsid w:val="67A71CBD"/>
    <w:rsid w:val="67A856DC"/>
    <w:rsid w:val="67AB689B"/>
    <w:rsid w:val="67D565E6"/>
    <w:rsid w:val="682E6AFE"/>
    <w:rsid w:val="6843464A"/>
    <w:rsid w:val="68A501F9"/>
    <w:rsid w:val="68AF4719"/>
    <w:rsid w:val="68B476C6"/>
    <w:rsid w:val="68D250A1"/>
    <w:rsid w:val="69194288"/>
    <w:rsid w:val="695F41A3"/>
    <w:rsid w:val="69676C0C"/>
    <w:rsid w:val="698D10CC"/>
    <w:rsid w:val="69A00505"/>
    <w:rsid w:val="69AE1092"/>
    <w:rsid w:val="69C410AA"/>
    <w:rsid w:val="69C959DF"/>
    <w:rsid w:val="6A2D62D3"/>
    <w:rsid w:val="6A346D48"/>
    <w:rsid w:val="6A4B43FD"/>
    <w:rsid w:val="6A576495"/>
    <w:rsid w:val="6A753B41"/>
    <w:rsid w:val="6A800E78"/>
    <w:rsid w:val="6A940813"/>
    <w:rsid w:val="6AC00E8A"/>
    <w:rsid w:val="6AC33D7B"/>
    <w:rsid w:val="6AC515DC"/>
    <w:rsid w:val="6B0335F9"/>
    <w:rsid w:val="6B454EF2"/>
    <w:rsid w:val="6BA30B8B"/>
    <w:rsid w:val="6BB905E4"/>
    <w:rsid w:val="6BC664F4"/>
    <w:rsid w:val="6BD36CF4"/>
    <w:rsid w:val="6C402332"/>
    <w:rsid w:val="6C891725"/>
    <w:rsid w:val="6CDE2D6D"/>
    <w:rsid w:val="6CDF630A"/>
    <w:rsid w:val="6CFE17CB"/>
    <w:rsid w:val="6D025E70"/>
    <w:rsid w:val="6D0A63C2"/>
    <w:rsid w:val="6D0E40DB"/>
    <w:rsid w:val="6D2120C6"/>
    <w:rsid w:val="6D2917A9"/>
    <w:rsid w:val="6D2C01D4"/>
    <w:rsid w:val="6D4E6E2B"/>
    <w:rsid w:val="6D514B1A"/>
    <w:rsid w:val="6D785A21"/>
    <w:rsid w:val="6DCD6F00"/>
    <w:rsid w:val="6DD70987"/>
    <w:rsid w:val="6DD85753"/>
    <w:rsid w:val="6DDA2BFD"/>
    <w:rsid w:val="6DDE05B9"/>
    <w:rsid w:val="6DE049BF"/>
    <w:rsid w:val="6E6C0E13"/>
    <w:rsid w:val="6E8615C7"/>
    <w:rsid w:val="6E886FBB"/>
    <w:rsid w:val="6EA23ED2"/>
    <w:rsid w:val="6EA4707E"/>
    <w:rsid w:val="6EDD1581"/>
    <w:rsid w:val="6EE37D9F"/>
    <w:rsid w:val="6EF57BEA"/>
    <w:rsid w:val="6F1B4E23"/>
    <w:rsid w:val="6F33431F"/>
    <w:rsid w:val="6F627C19"/>
    <w:rsid w:val="6F8C7562"/>
    <w:rsid w:val="6FD71E92"/>
    <w:rsid w:val="6FDC1B6B"/>
    <w:rsid w:val="6FE0340A"/>
    <w:rsid w:val="6FED3CDB"/>
    <w:rsid w:val="701F1A47"/>
    <w:rsid w:val="70227EC6"/>
    <w:rsid w:val="703F60A8"/>
    <w:rsid w:val="70530681"/>
    <w:rsid w:val="70822713"/>
    <w:rsid w:val="70B46F74"/>
    <w:rsid w:val="70E02081"/>
    <w:rsid w:val="70EF1F9B"/>
    <w:rsid w:val="714E772A"/>
    <w:rsid w:val="71616E00"/>
    <w:rsid w:val="71A32941"/>
    <w:rsid w:val="71E73175"/>
    <w:rsid w:val="71FB028A"/>
    <w:rsid w:val="724B5262"/>
    <w:rsid w:val="7254536D"/>
    <w:rsid w:val="72867401"/>
    <w:rsid w:val="72875C50"/>
    <w:rsid w:val="729130E1"/>
    <w:rsid w:val="72D134DE"/>
    <w:rsid w:val="72FD1EE3"/>
    <w:rsid w:val="73900C02"/>
    <w:rsid w:val="73940F35"/>
    <w:rsid w:val="73BE334D"/>
    <w:rsid w:val="73D253BE"/>
    <w:rsid w:val="740D08DA"/>
    <w:rsid w:val="740E0F6C"/>
    <w:rsid w:val="742E34DF"/>
    <w:rsid w:val="744D794E"/>
    <w:rsid w:val="746C5BB4"/>
    <w:rsid w:val="74A909A2"/>
    <w:rsid w:val="74E538AA"/>
    <w:rsid w:val="74EB0EC0"/>
    <w:rsid w:val="74FA2CFF"/>
    <w:rsid w:val="7529519B"/>
    <w:rsid w:val="752A613E"/>
    <w:rsid w:val="75360D61"/>
    <w:rsid w:val="7541494A"/>
    <w:rsid w:val="75AB44BA"/>
    <w:rsid w:val="75CC203F"/>
    <w:rsid w:val="75F6021B"/>
    <w:rsid w:val="76521917"/>
    <w:rsid w:val="76557CFE"/>
    <w:rsid w:val="767D2702"/>
    <w:rsid w:val="76A47A33"/>
    <w:rsid w:val="76A52F33"/>
    <w:rsid w:val="76AD3EE0"/>
    <w:rsid w:val="76B40FB3"/>
    <w:rsid w:val="76E056C1"/>
    <w:rsid w:val="77030129"/>
    <w:rsid w:val="77087E3E"/>
    <w:rsid w:val="77162D24"/>
    <w:rsid w:val="772A0B42"/>
    <w:rsid w:val="77463913"/>
    <w:rsid w:val="778154D2"/>
    <w:rsid w:val="77B3710F"/>
    <w:rsid w:val="77E4782D"/>
    <w:rsid w:val="77F14B39"/>
    <w:rsid w:val="784E6FD5"/>
    <w:rsid w:val="795626D8"/>
    <w:rsid w:val="7982320E"/>
    <w:rsid w:val="79992F3A"/>
    <w:rsid w:val="79A04F7A"/>
    <w:rsid w:val="79AE33E5"/>
    <w:rsid w:val="79DF3E60"/>
    <w:rsid w:val="79EC68CF"/>
    <w:rsid w:val="7A921700"/>
    <w:rsid w:val="7A9D7487"/>
    <w:rsid w:val="7AB22019"/>
    <w:rsid w:val="7ACC57E3"/>
    <w:rsid w:val="7AD324E9"/>
    <w:rsid w:val="7ADF7850"/>
    <w:rsid w:val="7B447C52"/>
    <w:rsid w:val="7B4E05AB"/>
    <w:rsid w:val="7B5D1DB2"/>
    <w:rsid w:val="7B8A1A01"/>
    <w:rsid w:val="7BBF4CC5"/>
    <w:rsid w:val="7BE44282"/>
    <w:rsid w:val="7BEB23A7"/>
    <w:rsid w:val="7C1A207B"/>
    <w:rsid w:val="7C30076C"/>
    <w:rsid w:val="7C537629"/>
    <w:rsid w:val="7C9712F4"/>
    <w:rsid w:val="7CC04CEF"/>
    <w:rsid w:val="7CC83F86"/>
    <w:rsid w:val="7CCA3711"/>
    <w:rsid w:val="7CCE6A29"/>
    <w:rsid w:val="7CEC0790"/>
    <w:rsid w:val="7D0D0CD7"/>
    <w:rsid w:val="7D1A5598"/>
    <w:rsid w:val="7D1F193A"/>
    <w:rsid w:val="7D2E5A63"/>
    <w:rsid w:val="7D4E5E48"/>
    <w:rsid w:val="7D86745E"/>
    <w:rsid w:val="7D9A12A0"/>
    <w:rsid w:val="7DE00C30"/>
    <w:rsid w:val="7DEE4676"/>
    <w:rsid w:val="7DFE187A"/>
    <w:rsid w:val="7E0706D0"/>
    <w:rsid w:val="7E331077"/>
    <w:rsid w:val="7E6D055E"/>
    <w:rsid w:val="7E8A7362"/>
    <w:rsid w:val="7EBF38DE"/>
    <w:rsid w:val="7ED25A6D"/>
    <w:rsid w:val="7EF95A5A"/>
    <w:rsid w:val="7F2E09F5"/>
    <w:rsid w:val="7F531E4A"/>
    <w:rsid w:val="7F6F10F3"/>
    <w:rsid w:val="7FA346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ind w:left="420" w:leftChars="200"/>
    </w:pPr>
  </w:style>
  <w:style w:type="paragraph" w:styleId="7">
    <w:name w:val="Normal Indent"/>
    <w:basedOn w:val="1"/>
    <w:autoRedefine/>
    <w:unhideWhenUsed/>
    <w:qFormat/>
    <w:uiPriority w:val="99"/>
    <w:pPr>
      <w:ind w:firstLine="420"/>
    </w:pPr>
    <w:rPr>
      <w:rFonts w:ascii="Calibri" w:hAnsi="Calibri"/>
      <w:szCs w:val="20"/>
    </w:rPr>
  </w:style>
  <w:style w:type="paragraph" w:styleId="8">
    <w:name w:val="caption"/>
    <w:basedOn w:val="1"/>
    <w:next w:val="1"/>
    <w:autoRedefine/>
    <w:qFormat/>
    <w:uiPriority w:val="0"/>
    <w:rPr>
      <w:rFonts w:ascii="Arial" w:hAnsi="Arial" w:eastAsia="黑体" w:cstheme="minorBidi"/>
      <w:sz w:val="20"/>
    </w:rPr>
  </w:style>
  <w:style w:type="paragraph" w:styleId="9">
    <w:name w:val="toa heading"/>
    <w:basedOn w:val="1"/>
    <w:next w:val="1"/>
    <w:autoRedefine/>
    <w:unhideWhenUsed/>
    <w:qFormat/>
    <w:uiPriority w:val="99"/>
    <w:pPr>
      <w:spacing w:before="120"/>
    </w:pPr>
    <w:rPr>
      <w:rFonts w:ascii="Arial" w:hAnsi="Arial" w:cs="Arial"/>
      <w:sz w:val="24"/>
    </w:rPr>
  </w:style>
  <w:style w:type="paragraph" w:styleId="10">
    <w:name w:val="annotation text"/>
    <w:basedOn w:val="1"/>
    <w:link w:val="60"/>
    <w:autoRedefine/>
    <w:qFormat/>
    <w:uiPriority w:val="0"/>
    <w:pPr>
      <w:jc w:val="left"/>
    </w:pPr>
  </w:style>
  <w:style w:type="paragraph" w:styleId="11">
    <w:name w:val="Body Text 3"/>
    <w:basedOn w:val="1"/>
    <w:autoRedefine/>
    <w:unhideWhenUsed/>
    <w:qFormat/>
    <w:uiPriority w:val="0"/>
    <w:pPr>
      <w:spacing w:after="120"/>
    </w:pPr>
    <w:rPr>
      <w:rFonts w:ascii="Times New Roman" w:hAnsi="Times New Roman"/>
      <w:sz w:val="16"/>
      <w:szCs w:val="16"/>
    </w:rPr>
  </w:style>
  <w:style w:type="paragraph" w:styleId="12">
    <w:name w:val="Body Text"/>
    <w:basedOn w:val="1"/>
    <w:next w:val="13"/>
    <w:autoRedefine/>
    <w:qFormat/>
    <w:uiPriority w:val="0"/>
    <w:rPr>
      <w:rFonts w:ascii="Times New Roman" w:hAnsi="Times New Roman"/>
    </w:rPr>
  </w:style>
  <w:style w:type="paragraph" w:styleId="13">
    <w:name w:val="Body Text 2"/>
    <w:basedOn w:val="1"/>
    <w:next w:val="12"/>
    <w:autoRedefine/>
    <w:unhideWhenUsed/>
    <w:qFormat/>
    <w:uiPriority w:val="0"/>
    <w:pPr>
      <w:spacing w:after="120" w:line="480" w:lineRule="auto"/>
    </w:pPr>
    <w:rPr>
      <w:rFonts w:ascii="Times New Roman" w:hAnsi="Times New Roman"/>
    </w:rPr>
  </w:style>
  <w:style w:type="paragraph" w:styleId="14">
    <w:name w:val="Body Text Indent"/>
    <w:basedOn w:val="1"/>
    <w:next w:val="15"/>
    <w:autoRedefine/>
    <w:qFormat/>
    <w:uiPriority w:val="0"/>
    <w:pPr>
      <w:ind w:firstLine="560" w:firstLineChars="200"/>
    </w:pPr>
    <w:rPr>
      <w:rFonts w:ascii="Times New Roman" w:hAnsi="Times New Roman"/>
    </w:rPr>
  </w:style>
  <w:style w:type="paragraph" w:styleId="15">
    <w:name w:val="envelope return"/>
    <w:basedOn w:val="1"/>
    <w:autoRedefine/>
    <w:qFormat/>
    <w:uiPriority w:val="99"/>
    <w:pPr>
      <w:snapToGrid w:val="0"/>
    </w:pPr>
    <w:rPr>
      <w:rFonts w:ascii="Arial" w:hAnsi="Arial" w:cs="Arial"/>
    </w:r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hint="eastAsia" w:ascii="宋体" w:hAnsi="Courier New"/>
      <w:szCs w:val="21"/>
    </w:rPr>
  </w:style>
  <w:style w:type="paragraph" w:styleId="18">
    <w:name w:val="Balloon Text"/>
    <w:basedOn w:val="1"/>
    <w:link w:val="62"/>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1">
    <w:name w:val="toc 1"/>
    <w:basedOn w:val="1"/>
    <w:next w:val="1"/>
    <w:autoRedefine/>
    <w:qFormat/>
    <w:uiPriority w:val="0"/>
    <w:rPr>
      <w:rFonts w:ascii="Times New Roman" w:hAnsi="Times New Roman"/>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10"/>
    <w:next w:val="10"/>
    <w:link w:val="61"/>
    <w:autoRedefine/>
    <w:qFormat/>
    <w:uiPriority w:val="0"/>
    <w:rPr>
      <w:b/>
      <w:bCs/>
    </w:rPr>
  </w:style>
  <w:style w:type="paragraph" w:styleId="26">
    <w:name w:val="Body Text First Indent"/>
    <w:basedOn w:val="12"/>
    <w:next w:val="27"/>
    <w:autoRedefine/>
    <w:unhideWhenUsed/>
    <w:qFormat/>
    <w:uiPriority w:val="0"/>
    <w:pPr>
      <w:ind w:firstLine="420" w:firstLineChars="100"/>
    </w:pPr>
    <w:rPr>
      <w:rFonts w:hint="eastAsia" w:ascii="楷体_GB2312" w:eastAsia="楷体_GB2312"/>
      <w:sz w:val="32"/>
    </w:rPr>
  </w:style>
  <w:style w:type="paragraph" w:styleId="27">
    <w:name w:val="Body Text First Indent 2"/>
    <w:basedOn w:val="14"/>
    <w:next w:val="7"/>
    <w:autoRedefine/>
    <w:qFormat/>
    <w:uiPriority w:val="0"/>
    <w:pPr>
      <w:ind w:firstLine="420"/>
    </w:p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basedOn w:val="30"/>
    <w:autoRedefine/>
    <w:qFormat/>
    <w:uiPriority w:val="99"/>
    <w:rPr>
      <w:rFonts w:cs="Times New Roman"/>
      <w:color w:val="0000FF"/>
      <w:u w:val="single"/>
    </w:rPr>
  </w:style>
  <w:style w:type="character" w:styleId="32">
    <w:name w:val="annotation reference"/>
    <w:basedOn w:val="30"/>
    <w:autoRedefine/>
    <w:qFormat/>
    <w:uiPriority w:val="0"/>
    <w:rPr>
      <w:sz w:val="21"/>
      <w:szCs w:val="21"/>
    </w:rPr>
  </w:style>
  <w:style w:type="paragraph" w:customStyle="1" w:styleId="33">
    <w:name w:val="无间隔1"/>
    <w:basedOn w:val="1"/>
    <w:next w:val="34"/>
    <w:autoRedefine/>
    <w:qFormat/>
    <w:uiPriority w:val="0"/>
    <w:pPr>
      <w:spacing w:line="400" w:lineRule="exact"/>
    </w:pPr>
    <w:rPr>
      <w:sz w:val="24"/>
    </w:rPr>
  </w:style>
  <w:style w:type="paragraph" w:customStyle="1" w:styleId="34">
    <w:name w:val="正文（首行缩进） Char"/>
    <w:basedOn w:val="1"/>
    <w:next w:val="35"/>
    <w:autoRedefine/>
    <w:qFormat/>
    <w:uiPriority w:val="0"/>
    <w:pPr>
      <w:spacing w:line="360" w:lineRule="auto"/>
      <w:ind w:firstLine="480"/>
    </w:pPr>
    <w:rPr>
      <w:rFonts w:ascii="Arial"/>
      <w:color w:val="000000"/>
      <w:sz w:val="24"/>
    </w:rPr>
  </w:style>
  <w:style w:type="paragraph" w:customStyle="1" w:styleId="35">
    <w:name w:val="2号黑体加粗"/>
    <w:basedOn w:val="1"/>
    <w:next w:val="36"/>
    <w:autoRedefine/>
    <w:qFormat/>
    <w:uiPriority w:val="0"/>
    <w:pPr>
      <w:jc w:val="center"/>
    </w:pPr>
    <w:rPr>
      <w:rFonts w:ascii="Calibri" w:eastAsia="黑体"/>
      <w:b/>
      <w:sz w:val="44"/>
    </w:rPr>
  </w:style>
  <w:style w:type="paragraph" w:customStyle="1" w:styleId="36">
    <w:name w:val="表格文字"/>
    <w:basedOn w:val="1"/>
    <w:next w:val="1"/>
    <w:autoRedefine/>
    <w:qFormat/>
    <w:uiPriority w:val="0"/>
    <w:pPr>
      <w:adjustRightInd w:val="0"/>
      <w:spacing w:line="420" w:lineRule="atLeast"/>
      <w:jc w:val="left"/>
      <w:textAlignment w:val="baseline"/>
    </w:pPr>
    <w:rPr>
      <w:kern w:val="0"/>
    </w:rPr>
  </w:style>
  <w:style w:type="paragraph" w:customStyle="1" w:styleId="37">
    <w:name w:val="style4"/>
    <w:basedOn w:val="38"/>
    <w:next w:val="3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autoRedefine/>
    <w:qFormat/>
    <w:uiPriority w:val="0"/>
    <w:pPr>
      <w:ind w:firstLine="200" w:firstLineChars="200"/>
    </w:pPr>
    <w:rPr>
      <w:rFonts w:ascii="宋体" w:hAnsi="宋体"/>
      <w:szCs w:val="22"/>
    </w:rPr>
  </w:style>
  <w:style w:type="paragraph" w:customStyle="1" w:styleId="42">
    <w:name w:val="Body Text First Indent1"/>
    <w:basedOn w:val="12"/>
    <w:autoRedefine/>
    <w:qFormat/>
    <w:uiPriority w:val="0"/>
    <w:pPr>
      <w:ind w:firstLine="420" w:firstLineChars="100"/>
    </w:pPr>
  </w:style>
  <w:style w:type="paragraph" w:customStyle="1" w:styleId="43">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45">
    <w:name w:val="p0"/>
    <w:basedOn w:val="46"/>
    <w:autoRedefine/>
    <w:qFormat/>
    <w:uiPriority w:val="0"/>
    <w:pPr>
      <w:widowControl/>
    </w:pPr>
    <w:rPr>
      <w:kern w:val="0"/>
      <w:szCs w:val="21"/>
    </w:rPr>
  </w:style>
  <w:style w:type="paragraph" w:customStyle="1" w:styleId="46">
    <w:name w:val="正文1"/>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46"/>
    <w:autoRedefine/>
    <w:qFormat/>
    <w:uiPriority w:val="99"/>
    <w:rPr>
      <w:rFonts w:eastAsia="楷体_GB2312"/>
      <w:sz w:val="28"/>
    </w:rPr>
  </w:style>
  <w:style w:type="character" w:customStyle="1" w:styleId="48">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49">
    <w:name w:val="BodyText1I"/>
    <w:basedOn w:val="50"/>
    <w:next w:val="52"/>
    <w:autoRedefine/>
    <w:qFormat/>
    <w:uiPriority w:val="0"/>
    <w:pPr>
      <w:ind w:firstLine="420" w:firstLineChars="100"/>
    </w:pPr>
    <w:rPr>
      <w:rFonts w:ascii="楷体_GB2312"/>
      <w:sz w:val="32"/>
    </w:rPr>
  </w:style>
  <w:style w:type="paragraph" w:customStyle="1" w:styleId="50">
    <w:name w:val="BodyText"/>
    <w:basedOn w:val="1"/>
    <w:next w:val="51"/>
    <w:autoRedefine/>
    <w:qFormat/>
    <w:uiPriority w:val="0"/>
    <w:pPr>
      <w:textAlignment w:val="baseline"/>
    </w:pPr>
    <w:rPr>
      <w:rFonts w:ascii="Calibri" w:hAnsi="Calibri" w:eastAsia="楷体_GB2312"/>
      <w:kern w:val="0"/>
      <w:sz w:val="28"/>
    </w:rPr>
  </w:style>
  <w:style w:type="paragraph" w:customStyle="1" w:styleId="51">
    <w:name w:val="BodyText2"/>
    <w:basedOn w:val="1"/>
    <w:next w:val="50"/>
    <w:autoRedefine/>
    <w:qFormat/>
    <w:uiPriority w:val="0"/>
    <w:pPr>
      <w:spacing w:after="120" w:line="480" w:lineRule="auto"/>
      <w:textAlignment w:val="baseline"/>
    </w:pPr>
  </w:style>
  <w:style w:type="paragraph" w:customStyle="1" w:styleId="52">
    <w:name w:val="BodyText1I2"/>
    <w:basedOn w:val="53"/>
    <w:autoRedefine/>
    <w:qFormat/>
    <w:uiPriority w:val="0"/>
    <w:pPr>
      <w:ind w:firstLine="420" w:firstLineChars="200"/>
    </w:pPr>
  </w:style>
  <w:style w:type="paragraph" w:customStyle="1" w:styleId="53">
    <w:name w:val="BodyTextIndent"/>
    <w:basedOn w:val="1"/>
    <w:autoRedefine/>
    <w:qFormat/>
    <w:uiPriority w:val="0"/>
    <w:pPr>
      <w:spacing w:after="120"/>
      <w:ind w:left="420" w:leftChars="200"/>
      <w:textAlignment w:val="baseline"/>
    </w:pPr>
  </w:style>
  <w:style w:type="paragraph" w:customStyle="1" w:styleId="54">
    <w:name w:val="TOAHeading"/>
    <w:basedOn w:val="1"/>
    <w:next w:val="1"/>
    <w:autoRedefine/>
    <w:qFormat/>
    <w:uiPriority w:val="0"/>
    <w:pPr>
      <w:spacing w:before="120"/>
      <w:textAlignment w:val="baseline"/>
    </w:pPr>
    <w:rPr>
      <w:rFonts w:ascii="Arial" w:hAnsi="Arial"/>
      <w:sz w:val="24"/>
      <w:szCs w:val="22"/>
    </w:rPr>
  </w:style>
  <w:style w:type="paragraph" w:customStyle="1" w:styleId="55">
    <w:name w:val="Table Paragraph"/>
    <w:basedOn w:val="1"/>
    <w:autoRedefine/>
    <w:qFormat/>
    <w:uiPriority w:val="1"/>
    <w:rPr>
      <w:rFonts w:ascii="宋体" w:hAnsi="宋体" w:cs="宋体"/>
      <w:lang w:val="zh-CN" w:bidi="zh-CN"/>
    </w:rPr>
  </w:style>
  <w:style w:type="paragraph" w:styleId="56">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57">
    <w:name w:val="_Style 41"/>
    <w:basedOn w:val="1"/>
    <w:next w:val="56"/>
    <w:autoRedefine/>
    <w:qFormat/>
    <w:uiPriority w:val="34"/>
    <w:pPr>
      <w:ind w:firstLine="420" w:firstLineChars="200"/>
    </w:pPr>
    <w:rPr>
      <w:rFonts w:ascii="等线" w:hAnsi="等线" w:eastAsia="等线"/>
      <w:szCs w:val="22"/>
    </w:rPr>
  </w:style>
  <w:style w:type="paragraph" w:customStyle="1" w:styleId="58">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批注文字 Char"/>
    <w:basedOn w:val="30"/>
    <w:link w:val="10"/>
    <w:autoRedefine/>
    <w:qFormat/>
    <w:uiPriority w:val="0"/>
    <w:rPr>
      <w:rFonts w:ascii="Book Antiqua" w:hAnsi="Book Antiqua"/>
      <w:kern w:val="2"/>
      <w:sz w:val="21"/>
      <w:szCs w:val="24"/>
    </w:rPr>
  </w:style>
  <w:style w:type="character" w:customStyle="1" w:styleId="61">
    <w:name w:val="批注主题 Char"/>
    <w:basedOn w:val="60"/>
    <w:link w:val="25"/>
    <w:autoRedefine/>
    <w:qFormat/>
    <w:uiPriority w:val="0"/>
    <w:rPr>
      <w:rFonts w:ascii="Book Antiqua" w:hAnsi="Book Antiqua"/>
      <w:b/>
      <w:bCs/>
      <w:kern w:val="2"/>
      <w:sz w:val="21"/>
      <w:szCs w:val="24"/>
    </w:rPr>
  </w:style>
  <w:style w:type="character" w:customStyle="1" w:styleId="62">
    <w:name w:val="批注框文本 Char"/>
    <w:basedOn w:val="30"/>
    <w:link w:val="18"/>
    <w:autoRedefine/>
    <w:qFormat/>
    <w:uiPriority w:val="0"/>
    <w:rPr>
      <w:rFonts w:ascii="Book Antiqua" w:hAnsi="Book Antiqua"/>
      <w:kern w:val="2"/>
      <w:sz w:val="18"/>
      <w:szCs w:val="18"/>
    </w:rPr>
  </w:style>
  <w:style w:type="paragraph" w:customStyle="1" w:styleId="63">
    <w:name w:val="修订1"/>
    <w:autoRedefine/>
    <w:hidden/>
    <w:semiHidden/>
    <w:qFormat/>
    <w:uiPriority w:val="99"/>
    <w:rPr>
      <w:rFonts w:ascii="Book Antiqua" w:hAnsi="Book Antiqua" w:eastAsia="宋体" w:cs="Times New Roman"/>
      <w:kern w:val="2"/>
      <w:sz w:val="21"/>
      <w:szCs w:val="24"/>
      <w:lang w:val="en-US" w:eastAsia="zh-CN" w:bidi="ar-SA"/>
    </w:rPr>
  </w:style>
  <w:style w:type="paragraph" w:customStyle="1" w:styleId="64">
    <w:name w:val="正文首行缩进 21"/>
    <w:basedOn w:val="1"/>
    <w:autoRedefine/>
    <w:qFormat/>
    <w:uiPriority w:val="0"/>
    <w:pPr>
      <w:tabs>
        <w:tab w:val="left" w:pos="945"/>
        <w:tab w:val="left" w:pos="1155"/>
      </w:tabs>
      <w:ind w:firstLine="42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24477</Words>
  <Characters>27400</Characters>
  <Lines>268</Lines>
  <Paragraphs>75</Paragraphs>
  <TotalTime>43</TotalTime>
  <ScaleCrop>false</ScaleCrop>
  <LinksUpToDate>false</LinksUpToDate>
  <CharactersWithSpaces>29027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2023-08-10T15:29:00Z</dcterms:created>
  <dc:creator>DELL</dc:creator>
  <cp:lastModifiedBy>Estrus</cp:lastModifiedBy>
  <cp:lastPrinted>2024-06-25T08:02:00Z</cp:lastPrinted>
  <dcterms:modified xsi:type="dcterms:W3CDTF">2024-07-08T02:18:17Z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BE3D8FCE930C4514A39055FAB811990D_13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ies>
</file>