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BB8F4">
      <w:pPr>
        <w:pStyle w:val="18"/>
        <w:rPr>
          <w:rFonts w:asciiTheme="minorEastAsia" w:hAnsiTheme="minorEastAsia" w:eastAsiaTheme="minorEastAsia" w:cstheme="minorEastAsia"/>
          <w:color w:val="auto"/>
          <w:highlight w:val="none"/>
        </w:rPr>
      </w:pPr>
      <w:bookmarkStart w:id="0" w:name="_Toc281574833"/>
    </w:p>
    <w:p w14:paraId="0431BE35">
      <w:pPr>
        <w:snapToGrid w:val="0"/>
        <w:spacing w:line="360" w:lineRule="auto"/>
        <w:jc w:val="center"/>
        <w:rPr>
          <w:rFonts w:hint="default" w:asciiTheme="minorEastAsia" w:hAnsiTheme="minorEastAsia" w:eastAsiaTheme="minorEastAsia" w:cstheme="minorEastAsia"/>
          <w:b/>
          <w:color w:val="auto"/>
          <w:sz w:val="84"/>
          <w:szCs w:val="84"/>
          <w:highlight w:val="none"/>
          <w:lang w:val="en-US" w:eastAsia="zh-CN"/>
        </w:rPr>
      </w:pPr>
      <w:r>
        <w:rPr>
          <w:rFonts w:hint="eastAsia" w:asciiTheme="minorEastAsia" w:hAnsiTheme="minorEastAsia" w:eastAsiaTheme="minorEastAsia" w:cstheme="minorEastAsia"/>
          <w:b/>
          <w:color w:val="auto"/>
          <w:sz w:val="48"/>
          <w:szCs w:val="48"/>
          <w:highlight w:val="none"/>
          <w:lang w:eastAsia="zh-CN"/>
        </w:rPr>
        <w:t>博爱县垃圾处理场渗滤液处理设备及运行提标改造项目</w:t>
      </w:r>
    </w:p>
    <w:p w14:paraId="5083B7A8">
      <w:pPr>
        <w:snapToGrid w:val="0"/>
        <w:spacing w:line="360" w:lineRule="auto"/>
        <w:jc w:val="center"/>
        <w:rPr>
          <w:rFonts w:hint="eastAsia" w:asciiTheme="minorEastAsia" w:hAnsiTheme="minorEastAsia" w:eastAsiaTheme="minorEastAsia" w:cstheme="minorEastAsia"/>
          <w:b/>
          <w:color w:val="auto"/>
          <w:sz w:val="84"/>
          <w:szCs w:val="84"/>
          <w:highlight w:val="none"/>
        </w:rPr>
      </w:pPr>
    </w:p>
    <w:p w14:paraId="372EE369">
      <w:pPr>
        <w:snapToGrid w:val="0"/>
        <w:spacing w:line="360" w:lineRule="auto"/>
        <w:jc w:val="center"/>
        <w:rPr>
          <w:rFonts w:hint="eastAsia" w:asciiTheme="minorEastAsia" w:hAnsiTheme="minorEastAsia" w:eastAsiaTheme="minorEastAsia" w:cstheme="minorEastAsia"/>
          <w:b/>
          <w:color w:val="auto"/>
          <w:sz w:val="84"/>
          <w:szCs w:val="84"/>
          <w:highlight w:val="none"/>
        </w:rPr>
      </w:pPr>
    </w:p>
    <w:p w14:paraId="3A5B22F8">
      <w:pPr>
        <w:snapToGrid w:val="0"/>
        <w:spacing w:line="360" w:lineRule="auto"/>
        <w:jc w:val="center"/>
        <w:rPr>
          <w:rFonts w:asciiTheme="minorEastAsia" w:hAnsiTheme="minorEastAsia" w:eastAsiaTheme="minorEastAsia" w:cstheme="minorEastAsia"/>
          <w:b/>
          <w:color w:val="auto"/>
          <w:sz w:val="84"/>
          <w:szCs w:val="84"/>
          <w:highlight w:val="none"/>
        </w:rPr>
      </w:pPr>
      <w:r>
        <w:rPr>
          <w:rFonts w:hint="eastAsia" w:asciiTheme="minorEastAsia" w:hAnsiTheme="minorEastAsia" w:eastAsiaTheme="minorEastAsia" w:cstheme="minorEastAsia"/>
          <w:b/>
          <w:color w:val="auto"/>
          <w:sz w:val="84"/>
          <w:szCs w:val="84"/>
          <w:highlight w:val="none"/>
        </w:rPr>
        <w:t>招标文件</w:t>
      </w:r>
    </w:p>
    <w:p w14:paraId="3AFB8BC7">
      <w:pPr>
        <w:snapToGrid w:val="0"/>
        <w:spacing w:line="360" w:lineRule="auto"/>
        <w:ind w:firstLine="2313" w:firstLineChars="800"/>
        <w:rPr>
          <w:rFonts w:asciiTheme="minorEastAsia" w:hAnsiTheme="minorEastAsia" w:eastAsiaTheme="minorEastAsia" w:cstheme="minorEastAsia"/>
          <w:b/>
          <w:color w:val="auto"/>
          <w:spacing w:val="-6"/>
          <w:sz w:val="30"/>
          <w:szCs w:val="30"/>
          <w:highlight w:val="none"/>
        </w:rPr>
      </w:pPr>
      <w:r>
        <w:rPr>
          <w:rFonts w:hint="eastAsia" w:asciiTheme="minorEastAsia" w:hAnsiTheme="minorEastAsia" w:eastAsiaTheme="minorEastAsia" w:cstheme="minorEastAsia"/>
          <w:b/>
          <w:color w:val="auto"/>
          <w:spacing w:val="-6"/>
          <w:sz w:val="30"/>
          <w:szCs w:val="30"/>
          <w:highlight w:val="none"/>
        </w:rPr>
        <w:t>采购编号：博政采购〔2024〕</w:t>
      </w:r>
      <w:r>
        <w:rPr>
          <w:rFonts w:hint="eastAsia" w:asciiTheme="minorEastAsia" w:hAnsiTheme="minorEastAsia" w:eastAsiaTheme="minorEastAsia" w:cstheme="minorEastAsia"/>
          <w:b/>
          <w:color w:val="auto"/>
          <w:spacing w:val="-6"/>
          <w:sz w:val="30"/>
          <w:szCs w:val="30"/>
          <w:highlight w:val="none"/>
          <w:lang w:val="en-US" w:eastAsia="zh-CN"/>
        </w:rPr>
        <w:t>76</w:t>
      </w:r>
      <w:r>
        <w:rPr>
          <w:rFonts w:hint="eastAsia" w:asciiTheme="minorEastAsia" w:hAnsiTheme="minorEastAsia" w:eastAsiaTheme="minorEastAsia" w:cstheme="minorEastAsia"/>
          <w:b/>
          <w:color w:val="auto"/>
          <w:spacing w:val="-6"/>
          <w:sz w:val="30"/>
          <w:szCs w:val="30"/>
          <w:highlight w:val="none"/>
        </w:rPr>
        <w:t>号</w:t>
      </w:r>
    </w:p>
    <w:p w14:paraId="2FABFC6E">
      <w:pPr>
        <w:snapToGrid w:val="0"/>
        <w:spacing w:line="360" w:lineRule="auto"/>
        <w:ind w:firstLine="2397" w:firstLineChars="746"/>
        <w:jc w:val="both"/>
        <w:rPr>
          <w:rFonts w:ascii="宋体" w:hAnsi="宋体" w:eastAsia="宋体" w:cs="宋体"/>
          <w:b/>
          <w:sz w:val="32"/>
          <w:szCs w:val="32"/>
          <w:u w:val="double"/>
        </w:rPr>
      </w:pPr>
      <w:r>
        <w:rPr>
          <w:rFonts w:hint="eastAsia" w:ascii="宋体" w:hAnsi="宋体" w:eastAsia="宋体" w:cs="宋体"/>
          <w:b/>
          <w:sz w:val="32"/>
          <w:szCs w:val="32"/>
          <w:u w:val="double"/>
          <w:lang w:eastAsia="zh-CN"/>
        </w:rPr>
        <w:t>该项目全</w:t>
      </w:r>
      <w:r>
        <w:rPr>
          <w:rFonts w:hint="eastAsia" w:ascii="宋体" w:hAnsi="宋体" w:eastAsia="宋体" w:cs="宋体"/>
          <w:b/>
          <w:sz w:val="32"/>
          <w:szCs w:val="32"/>
          <w:u w:val="double"/>
          <w:lang w:val="en-US" w:eastAsia="zh-CN"/>
        </w:rPr>
        <w:t>部</w:t>
      </w:r>
      <w:r>
        <w:rPr>
          <w:rFonts w:hint="eastAsia" w:ascii="宋体" w:hAnsi="宋体" w:eastAsia="宋体" w:cs="宋体"/>
          <w:b/>
          <w:sz w:val="32"/>
          <w:szCs w:val="32"/>
          <w:u w:val="double"/>
          <w:lang w:eastAsia="zh-CN"/>
        </w:rPr>
        <w:t>面向中小企业采购</w:t>
      </w:r>
    </w:p>
    <w:p w14:paraId="25797031">
      <w:pPr>
        <w:snapToGrid w:val="0"/>
        <w:spacing w:line="360" w:lineRule="auto"/>
        <w:ind w:firstLine="2157" w:firstLineChars="746"/>
        <w:rPr>
          <w:rFonts w:asciiTheme="minorEastAsia" w:hAnsiTheme="minorEastAsia" w:eastAsiaTheme="minorEastAsia" w:cstheme="minorEastAsia"/>
          <w:b/>
          <w:color w:val="auto"/>
          <w:spacing w:val="-6"/>
          <w:sz w:val="30"/>
          <w:szCs w:val="30"/>
          <w:highlight w:val="none"/>
        </w:rPr>
      </w:pPr>
    </w:p>
    <w:p w14:paraId="64487A77">
      <w:pPr>
        <w:snapToGrid w:val="0"/>
        <w:spacing w:line="360" w:lineRule="auto"/>
        <w:jc w:val="center"/>
        <w:rPr>
          <w:rFonts w:asciiTheme="minorEastAsia" w:hAnsiTheme="minorEastAsia" w:eastAsiaTheme="minorEastAsia" w:cstheme="minorEastAsia"/>
          <w:b/>
          <w:color w:val="auto"/>
          <w:spacing w:val="-6"/>
          <w:sz w:val="32"/>
          <w:szCs w:val="32"/>
          <w:highlight w:val="none"/>
        </w:rPr>
      </w:pPr>
    </w:p>
    <w:p w14:paraId="1C73D2D7">
      <w:pPr>
        <w:snapToGrid w:val="0"/>
        <w:spacing w:line="360" w:lineRule="auto"/>
        <w:rPr>
          <w:rFonts w:asciiTheme="minorEastAsia" w:hAnsiTheme="minorEastAsia" w:eastAsiaTheme="minorEastAsia" w:cstheme="minorEastAsia"/>
          <w:b/>
          <w:bCs/>
          <w:color w:val="auto"/>
          <w:sz w:val="32"/>
          <w:szCs w:val="32"/>
          <w:highlight w:val="none"/>
        </w:rPr>
      </w:pPr>
    </w:p>
    <w:p w14:paraId="735DB0B0">
      <w:pPr>
        <w:pStyle w:val="5"/>
        <w:ind w:firstLine="643"/>
        <w:rPr>
          <w:rFonts w:asciiTheme="minorEastAsia" w:hAnsiTheme="minorEastAsia" w:eastAsiaTheme="minorEastAsia" w:cstheme="minorEastAsia"/>
          <w:b/>
          <w:bCs/>
          <w:color w:val="auto"/>
          <w:sz w:val="32"/>
          <w:szCs w:val="32"/>
          <w:highlight w:val="none"/>
        </w:rPr>
      </w:pPr>
    </w:p>
    <w:p w14:paraId="5E588D75">
      <w:pPr>
        <w:rPr>
          <w:color w:val="auto"/>
          <w:highlight w:val="none"/>
        </w:rPr>
      </w:pPr>
    </w:p>
    <w:p w14:paraId="025E61E9">
      <w:pPr>
        <w:snapToGrid w:val="0"/>
        <w:spacing w:line="360" w:lineRule="auto"/>
        <w:ind w:firstLine="2249" w:firstLineChars="700"/>
        <w:jc w:val="both"/>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eastAsia="zh-CN"/>
        </w:rPr>
        <w:t>博爱县城市管理局</w:t>
      </w:r>
    </w:p>
    <w:p w14:paraId="346BD7E6">
      <w:pPr>
        <w:snapToGrid w:val="0"/>
        <w:spacing w:line="360" w:lineRule="auto"/>
        <w:ind w:firstLine="643" w:firstLineChars="200"/>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代理机构：</w:t>
      </w:r>
      <w:r>
        <w:rPr>
          <w:rFonts w:hint="eastAsia" w:asciiTheme="minorEastAsia" w:hAnsiTheme="minorEastAsia" w:eastAsiaTheme="minorEastAsia" w:cstheme="minorEastAsia"/>
          <w:b/>
          <w:bCs/>
          <w:color w:val="auto"/>
          <w:sz w:val="32"/>
          <w:szCs w:val="32"/>
          <w:highlight w:val="none"/>
          <w:lang w:eastAsia="zh-CN"/>
        </w:rPr>
        <w:t>河南古基工程管理有限公司</w:t>
      </w:r>
    </w:p>
    <w:p w14:paraId="225E96BF">
      <w:pPr>
        <w:snapToGrid w:val="0"/>
        <w:spacing w:line="360" w:lineRule="auto"/>
        <w:ind w:firstLine="2249" w:firstLineChars="700"/>
        <w:rPr>
          <w:rFonts w:asciiTheme="minorEastAsia" w:hAnsiTheme="minorEastAsia" w:eastAsiaTheme="minorEastAsia" w:cstheme="minorEastAsia"/>
          <w:b/>
          <w:bCs/>
          <w:color w:val="auto"/>
          <w:sz w:val="32"/>
          <w:szCs w:val="32"/>
          <w:highlight w:val="none"/>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bCs/>
          <w:color w:val="auto"/>
          <w:sz w:val="32"/>
          <w:szCs w:val="32"/>
          <w:highlight w:val="none"/>
        </w:rPr>
        <w:t>日    期：二〇二四年</w:t>
      </w:r>
      <w:r>
        <w:rPr>
          <w:rFonts w:hint="eastAsia" w:asciiTheme="minorEastAsia" w:hAnsiTheme="minorEastAsia" w:eastAsiaTheme="minorEastAsia" w:cstheme="minorEastAsia"/>
          <w:b/>
          <w:bCs/>
          <w:color w:val="auto"/>
          <w:sz w:val="32"/>
          <w:szCs w:val="32"/>
          <w:highlight w:val="none"/>
          <w:lang w:val="en-US" w:eastAsia="zh-CN"/>
        </w:rPr>
        <w:t>七</w:t>
      </w:r>
      <w:r>
        <w:rPr>
          <w:rFonts w:hint="eastAsia" w:asciiTheme="minorEastAsia" w:hAnsiTheme="minorEastAsia" w:eastAsiaTheme="minorEastAsia" w:cstheme="minorEastAsia"/>
          <w:b/>
          <w:bCs/>
          <w:color w:val="auto"/>
          <w:sz w:val="32"/>
          <w:szCs w:val="32"/>
          <w:highlight w:val="none"/>
        </w:rPr>
        <w:t>月</w:t>
      </w:r>
    </w:p>
    <w:p w14:paraId="58D6B0CE">
      <w:pPr>
        <w:jc w:val="center"/>
        <w:rPr>
          <w:rFonts w:asciiTheme="minorEastAsia" w:hAnsiTheme="minorEastAsia" w:eastAsiaTheme="minorEastAsia" w:cstheme="minorEastAsia"/>
          <w:b/>
          <w:bCs/>
          <w:color w:val="auto"/>
          <w:sz w:val="32"/>
          <w:szCs w:val="32"/>
          <w:highlight w:val="none"/>
        </w:rPr>
      </w:pPr>
    </w:p>
    <w:p w14:paraId="1E7DA7E2">
      <w:pPr>
        <w:jc w:val="center"/>
        <w:outlineLvl w:val="0"/>
        <w:rPr>
          <w:rFonts w:asciiTheme="minorEastAsia" w:hAnsiTheme="minorEastAsia" w:eastAsiaTheme="minorEastAsia" w:cstheme="minorEastAsia"/>
          <w:b/>
          <w:bCs/>
          <w:color w:val="auto"/>
          <w:sz w:val="44"/>
          <w:szCs w:val="44"/>
          <w:highlight w:val="none"/>
        </w:rPr>
      </w:pPr>
      <w:bookmarkStart w:id="1" w:name="_Toc25319"/>
      <w:r>
        <w:rPr>
          <w:rFonts w:hint="eastAsia" w:asciiTheme="minorEastAsia" w:hAnsiTheme="minorEastAsia" w:eastAsiaTheme="minorEastAsia" w:cstheme="minorEastAsia"/>
          <w:b/>
          <w:bCs/>
          <w:color w:val="auto"/>
          <w:sz w:val="44"/>
          <w:szCs w:val="44"/>
          <w:highlight w:val="none"/>
        </w:rPr>
        <w:t>目     录</w:t>
      </w:r>
      <w:bookmarkEnd w:id="1"/>
    </w:p>
    <w:sdt>
      <w:sdtPr>
        <w:rPr>
          <w:rFonts w:ascii="宋体" w:hAnsi="宋体" w:eastAsia="Calibri Light"/>
          <w:b/>
          <w:color w:val="auto"/>
          <w:sz w:val="32"/>
          <w:szCs w:val="32"/>
          <w:highlight w:val="none"/>
        </w:rPr>
        <w:id w:val="147475469"/>
        <w15:color w:val="DBDBDB"/>
        <w:docPartObj>
          <w:docPartGallery w:val="Table of Contents"/>
          <w:docPartUnique/>
        </w:docPartObj>
      </w:sdtPr>
      <w:sdtEndPr>
        <w:rPr>
          <w:rFonts w:asciiTheme="minorEastAsia" w:hAnsiTheme="minorEastAsia" w:eastAsiaTheme="minorEastAsia" w:cstheme="minorEastAsia"/>
          <w:b/>
          <w:bCs/>
          <w:color w:val="auto"/>
          <w:sz w:val="32"/>
          <w:szCs w:val="32"/>
          <w:highlight w:val="none"/>
        </w:rPr>
      </w:sdtEndPr>
      <w:sdtContent>
        <w:p w14:paraId="5619518A">
          <w:pPr>
            <w:jc w:val="center"/>
            <w:rPr>
              <w:color w:val="auto"/>
              <w:highlight w:val="none"/>
            </w:rPr>
          </w:pPr>
        </w:p>
        <w:p w14:paraId="00C67287">
          <w:pPr>
            <w:pStyle w:val="37"/>
            <w:tabs>
              <w:tab w:val="right" w:leader="dot" w:pos="9880"/>
            </w:tabs>
            <w:rPr>
              <w:color w:val="auto"/>
              <w:highlight w:val="none"/>
            </w:rPr>
          </w:pPr>
          <w:r>
            <w:rPr>
              <w:rFonts w:asciiTheme="minorEastAsia" w:hAnsiTheme="minorEastAsia" w:eastAsiaTheme="minorEastAsia" w:cstheme="minorEastAsia"/>
              <w:bCs/>
              <w:color w:val="auto"/>
              <w:highlight w:val="none"/>
            </w:rPr>
            <w:fldChar w:fldCharType="begin"/>
          </w:r>
          <w:r>
            <w:rPr>
              <w:rFonts w:asciiTheme="minorEastAsia" w:hAnsiTheme="minorEastAsia" w:eastAsiaTheme="minorEastAsia" w:cstheme="minorEastAsia"/>
              <w:bCs/>
              <w:color w:val="auto"/>
              <w:highlight w:val="none"/>
            </w:rPr>
            <w:instrText xml:space="preserve">TOC \o "1-1" \h \u </w:instrText>
          </w:r>
          <w:r>
            <w:rPr>
              <w:rFonts w:asciiTheme="minorEastAsia" w:hAnsiTheme="minorEastAsia" w:eastAsiaTheme="minorEastAsia" w:cstheme="minorEastAsia"/>
              <w:bCs/>
              <w:color w:val="auto"/>
              <w:highlight w:val="none"/>
            </w:rPr>
            <w:fldChar w:fldCharType="separate"/>
          </w:r>
          <w:r>
            <w:rPr>
              <w:color w:val="auto"/>
              <w:highlight w:val="none"/>
            </w:rPr>
            <w:fldChar w:fldCharType="begin"/>
          </w:r>
          <w:r>
            <w:rPr>
              <w:color w:val="auto"/>
              <w:highlight w:val="none"/>
            </w:rPr>
            <w:instrText xml:space="preserve"> HYPERLINK \l "_Toc25319" </w:instrText>
          </w:r>
          <w:r>
            <w:rPr>
              <w:color w:val="auto"/>
              <w:highlight w:val="none"/>
            </w:rPr>
            <w:fldChar w:fldCharType="separate"/>
          </w:r>
          <w:r>
            <w:rPr>
              <w:rFonts w:hint="eastAsia" w:asciiTheme="minorEastAsia" w:hAnsiTheme="minorEastAsia" w:eastAsiaTheme="minorEastAsia" w:cstheme="minorEastAsia"/>
              <w:bCs/>
              <w:color w:val="auto"/>
              <w:szCs w:val="44"/>
              <w:highlight w:val="none"/>
            </w:rPr>
            <w:t>目     录</w:t>
          </w:r>
          <w:r>
            <w:rPr>
              <w:color w:val="auto"/>
              <w:highlight w:val="none"/>
            </w:rPr>
            <w:tab/>
          </w:r>
          <w:r>
            <w:rPr>
              <w:color w:val="auto"/>
              <w:highlight w:val="none"/>
            </w:rPr>
            <w:fldChar w:fldCharType="begin"/>
          </w:r>
          <w:r>
            <w:rPr>
              <w:color w:val="auto"/>
              <w:highlight w:val="none"/>
            </w:rPr>
            <w:instrText xml:space="preserve"> PAGEREF _Toc25319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62E1CA78">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"_Toc2173" </w:instrText>
          </w:r>
          <w:r>
            <w:rPr>
              <w:color w:val="auto"/>
              <w:highlight w:val="none"/>
            </w:rPr>
            <w:fldChar w:fldCharType="separate"/>
          </w:r>
          <w:r>
            <w:rPr>
              <w:rFonts w:hint="eastAsia"/>
              <w:color w:val="auto"/>
              <w:highlight w:val="none"/>
            </w:rPr>
            <w:t>重要事项提示</w:t>
          </w:r>
          <w:r>
            <w:rPr>
              <w:color w:val="auto"/>
              <w:highlight w:val="none"/>
            </w:rPr>
            <w:tab/>
          </w:r>
          <w:r>
            <w:rPr>
              <w:color w:val="auto"/>
              <w:highlight w:val="none"/>
            </w:rPr>
            <w:fldChar w:fldCharType="begin"/>
          </w:r>
          <w:r>
            <w:rPr>
              <w:color w:val="auto"/>
              <w:highlight w:val="none"/>
            </w:rPr>
            <w:instrText xml:space="preserve"> PAGEREF _Toc2173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7ED79C3D">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"_Toc24751" </w:instrText>
          </w:r>
          <w:r>
            <w:rPr>
              <w:color w:val="auto"/>
              <w:highlight w:val="none"/>
            </w:rPr>
            <w:fldChar w:fldCharType="separate"/>
          </w:r>
          <w:r>
            <w:rPr>
              <w:rFonts w:hint="eastAsia"/>
              <w:color w:val="auto"/>
              <w:highlight w:val="none"/>
            </w:rPr>
            <w:t xml:space="preserve">第一章 </w:t>
          </w:r>
          <w:r>
            <w:rPr>
              <w:rFonts w:hint="eastAsia" w:asciiTheme="minorEastAsia" w:hAnsiTheme="minorEastAsia" w:eastAsiaTheme="minorEastAsia" w:cstheme="minorEastAsia"/>
              <w:bCs/>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_Toc24751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14:paraId="13DE8231">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"_Toc27816" </w:instrText>
          </w:r>
          <w:r>
            <w:rPr>
              <w:color w:val="auto"/>
              <w:highlight w:val="none"/>
            </w:rPr>
            <w:fldChar w:fldCharType="separate"/>
          </w:r>
          <w:r>
            <w:rPr>
              <w:rFonts w:hint="eastAsia" w:asciiTheme="minorEastAsia" w:hAnsiTheme="minorEastAsia" w:eastAsiaTheme="minorEastAsia" w:cstheme="minorEastAsia"/>
              <w:color w:val="auto"/>
              <w:szCs w:val="32"/>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_Toc27816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14:paraId="2EEE9984">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"_Toc31932" </w:instrText>
          </w:r>
          <w:r>
            <w:rPr>
              <w:color w:val="auto"/>
              <w:highlight w:val="none"/>
            </w:rPr>
            <w:fldChar w:fldCharType="separate"/>
          </w:r>
          <w:r>
            <w:rPr>
              <w:rFonts w:hint="eastAsia" w:asciiTheme="minorEastAsia" w:hAnsiTheme="minorEastAsia" w:eastAsiaTheme="minorEastAsia" w:cstheme="minorEastAsia"/>
              <w:color w:val="auto"/>
              <w:szCs w:val="30"/>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_Toc31932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14:paraId="3096CBDC">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"_Toc7029"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1. 总则</w:t>
          </w:r>
          <w:r>
            <w:rPr>
              <w:color w:val="auto"/>
              <w:highlight w:val="none"/>
            </w:rPr>
            <w:tab/>
          </w:r>
          <w:r>
            <w:rPr>
              <w:color w:val="auto"/>
              <w:highlight w:val="none"/>
            </w:rPr>
            <w:fldChar w:fldCharType="begin"/>
          </w:r>
          <w:r>
            <w:rPr>
              <w:color w:val="auto"/>
              <w:highlight w:val="none"/>
            </w:rPr>
            <w:instrText xml:space="preserve"> PAGEREF _Toc7029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460BEDEE">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"_Toc20888"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2. 招标文件</w:t>
          </w:r>
          <w:r>
            <w:rPr>
              <w:color w:val="auto"/>
              <w:highlight w:val="none"/>
            </w:rPr>
            <w:tab/>
          </w:r>
          <w:r>
            <w:rPr>
              <w:color w:val="auto"/>
              <w:highlight w:val="none"/>
            </w:rPr>
            <w:fldChar w:fldCharType="begin"/>
          </w:r>
          <w:r>
            <w:rPr>
              <w:color w:val="auto"/>
              <w:highlight w:val="none"/>
            </w:rPr>
            <w:instrText xml:space="preserve"> PAGEREF _Toc20888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07E1D4C1">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"_Toc15031"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3. 投标文件</w:t>
          </w:r>
          <w:r>
            <w:rPr>
              <w:color w:val="auto"/>
              <w:highlight w:val="none"/>
            </w:rPr>
            <w:tab/>
          </w:r>
          <w:r>
            <w:rPr>
              <w:color w:val="auto"/>
              <w:highlight w:val="none"/>
            </w:rPr>
            <w:fldChar w:fldCharType="begin"/>
          </w:r>
          <w:r>
            <w:rPr>
              <w:color w:val="auto"/>
              <w:highlight w:val="none"/>
            </w:rPr>
            <w:instrText xml:space="preserve"> PAGEREF _Toc15031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020C7712">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"_Toc21879"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4. 投标</w:t>
          </w:r>
          <w:r>
            <w:rPr>
              <w:color w:val="auto"/>
              <w:highlight w:val="none"/>
            </w:rPr>
            <w:tab/>
          </w:r>
          <w:r>
            <w:rPr>
              <w:color w:val="auto"/>
              <w:highlight w:val="none"/>
            </w:rPr>
            <w:fldChar w:fldCharType="begin"/>
          </w:r>
          <w:r>
            <w:rPr>
              <w:color w:val="auto"/>
              <w:highlight w:val="none"/>
            </w:rPr>
            <w:instrText xml:space="preserve"> PAGEREF _Toc21879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42B90316">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"_Toc22737"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5. 开标</w:t>
          </w:r>
          <w:r>
            <w:rPr>
              <w:color w:val="auto"/>
              <w:highlight w:val="none"/>
            </w:rPr>
            <w:tab/>
          </w:r>
          <w:r>
            <w:rPr>
              <w:color w:val="auto"/>
              <w:highlight w:val="none"/>
            </w:rPr>
            <w:fldChar w:fldCharType="begin"/>
          </w:r>
          <w:r>
            <w:rPr>
              <w:color w:val="auto"/>
              <w:highlight w:val="none"/>
            </w:rPr>
            <w:instrText xml:space="preserve"> PAGEREF _Toc22737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724AE7B8">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"_Toc4643"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6. 评标</w:t>
          </w:r>
          <w:r>
            <w:rPr>
              <w:color w:val="auto"/>
              <w:highlight w:val="none"/>
            </w:rPr>
            <w:tab/>
          </w:r>
          <w:r>
            <w:rPr>
              <w:color w:val="auto"/>
              <w:highlight w:val="none"/>
            </w:rPr>
            <w:fldChar w:fldCharType="begin"/>
          </w:r>
          <w:r>
            <w:rPr>
              <w:color w:val="auto"/>
              <w:highlight w:val="none"/>
            </w:rPr>
            <w:instrText xml:space="preserve"> PAGEREF _Toc4643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343A8AB7">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"_Toc8566"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7. 合同授予</w:t>
          </w:r>
          <w:r>
            <w:rPr>
              <w:color w:val="auto"/>
              <w:highlight w:val="none"/>
            </w:rPr>
            <w:tab/>
          </w:r>
          <w:r>
            <w:rPr>
              <w:color w:val="auto"/>
              <w:highlight w:val="none"/>
            </w:rPr>
            <w:fldChar w:fldCharType="begin"/>
          </w:r>
          <w:r>
            <w:rPr>
              <w:color w:val="auto"/>
              <w:highlight w:val="none"/>
            </w:rPr>
            <w:instrText xml:space="preserve"> PAGEREF _Toc8566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1AD8FCF2">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"_Toc29014"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8. 重新招标</w:t>
          </w:r>
          <w:r>
            <w:rPr>
              <w:color w:val="auto"/>
              <w:highlight w:val="none"/>
            </w:rPr>
            <w:tab/>
          </w:r>
          <w:r>
            <w:rPr>
              <w:color w:val="auto"/>
              <w:highlight w:val="none"/>
            </w:rPr>
            <w:fldChar w:fldCharType="begin"/>
          </w:r>
          <w:r>
            <w:rPr>
              <w:color w:val="auto"/>
              <w:highlight w:val="none"/>
            </w:rPr>
            <w:instrText xml:space="preserve"> PAGEREF _Toc29014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198C8E77">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"_Toc14622"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9. 纪律和监督</w:t>
          </w:r>
          <w:r>
            <w:rPr>
              <w:color w:val="auto"/>
              <w:highlight w:val="none"/>
            </w:rPr>
            <w:tab/>
          </w:r>
          <w:r>
            <w:rPr>
              <w:color w:val="auto"/>
              <w:highlight w:val="none"/>
            </w:rPr>
            <w:fldChar w:fldCharType="begin"/>
          </w:r>
          <w:r>
            <w:rPr>
              <w:color w:val="auto"/>
              <w:highlight w:val="none"/>
            </w:rPr>
            <w:instrText xml:space="preserve"> PAGEREF _Toc14622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6A8884C0">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"_Toc26812"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10. 需要补充的其他内容</w:t>
          </w:r>
          <w:r>
            <w:rPr>
              <w:color w:val="auto"/>
              <w:highlight w:val="none"/>
            </w:rPr>
            <w:tab/>
          </w:r>
          <w:r>
            <w:rPr>
              <w:color w:val="auto"/>
              <w:highlight w:val="none"/>
            </w:rPr>
            <w:fldChar w:fldCharType="begin"/>
          </w:r>
          <w:r>
            <w:rPr>
              <w:color w:val="auto"/>
              <w:highlight w:val="none"/>
            </w:rPr>
            <w:instrText xml:space="preserve"> PAGEREF _Toc26812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51221954">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"_Toc32119" </w:instrText>
          </w:r>
          <w:r>
            <w:rPr>
              <w:color w:val="auto"/>
              <w:highlight w:val="none"/>
            </w:rPr>
            <w:fldChar w:fldCharType="separate"/>
          </w:r>
          <w:r>
            <w:rPr>
              <w:rFonts w:asciiTheme="minorEastAsia" w:hAnsiTheme="minorEastAsia" w:eastAsiaTheme="minorEastAsia" w:cstheme="minorEastAsia"/>
              <w:color w:val="auto"/>
              <w:szCs w:val="36"/>
              <w:highlight w:val="none"/>
            </w:rPr>
            <w:t xml:space="preserve">第三章 </w:t>
          </w:r>
          <w:r>
            <w:rPr>
              <w:rFonts w:hint="eastAsia" w:asciiTheme="minorEastAsia" w:hAnsiTheme="minorEastAsia" w:eastAsiaTheme="minorEastAsia" w:cstheme="minorEastAsia"/>
              <w:color w:val="auto"/>
              <w:szCs w:val="36"/>
              <w:highlight w:val="none"/>
            </w:rPr>
            <w:t>评标办法（综合评分法）</w:t>
          </w:r>
          <w:r>
            <w:rPr>
              <w:color w:val="auto"/>
              <w:highlight w:val="none"/>
            </w:rPr>
            <w:tab/>
          </w:r>
          <w:r>
            <w:rPr>
              <w:color w:val="auto"/>
              <w:highlight w:val="none"/>
            </w:rPr>
            <w:fldChar w:fldCharType="begin"/>
          </w:r>
          <w:r>
            <w:rPr>
              <w:color w:val="auto"/>
              <w:highlight w:val="none"/>
            </w:rPr>
            <w:instrText xml:space="preserve"> PAGEREF _Toc32119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14:paraId="337F4279">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"_Toc27443" </w:instrText>
          </w:r>
          <w:r>
            <w:rPr>
              <w:color w:val="auto"/>
              <w:highlight w:val="none"/>
            </w:rPr>
            <w:fldChar w:fldCharType="separate"/>
          </w:r>
          <w:r>
            <w:rPr>
              <w:rFonts w:asciiTheme="minorEastAsia" w:hAnsiTheme="minorEastAsia" w:eastAsiaTheme="minorEastAsia" w:cstheme="minorEastAsia"/>
              <w:color w:val="auto"/>
              <w:szCs w:val="36"/>
              <w:highlight w:val="none"/>
            </w:rPr>
            <w:t xml:space="preserve">第四章 </w:t>
          </w:r>
          <w:r>
            <w:rPr>
              <w:rFonts w:hint="eastAsia" w:asciiTheme="minorEastAsia" w:hAnsiTheme="minorEastAsia" w:eastAsiaTheme="minorEastAsia" w:cstheme="minorEastAsia"/>
              <w:color w:val="auto"/>
              <w:szCs w:val="36"/>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_Toc27443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748F492A">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"_Toc6692" </w:instrText>
          </w:r>
          <w:r>
            <w:rPr>
              <w:color w:val="auto"/>
              <w:highlight w:val="none"/>
            </w:rPr>
            <w:fldChar w:fldCharType="separate"/>
          </w:r>
          <w:r>
            <w:rPr>
              <w:bCs/>
              <w:color w:val="auto"/>
              <w:szCs w:val="32"/>
              <w:highlight w:val="none"/>
            </w:rPr>
            <w:t xml:space="preserve">第五章 </w:t>
          </w:r>
          <w:r>
            <w:rPr>
              <w:rFonts w:hint="eastAsia"/>
              <w:bCs/>
              <w:color w:val="auto"/>
              <w:szCs w:val="32"/>
              <w:highlight w:val="none"/>
            </w:rPr>
            <w:t>采购内容及技术要求</w:t>
          </w:r>
          <w:r>
            <w:rPr>
              <w:color w:val="auto"/>
              <w:highlight w:val="none"/>
            </w:rPr>
            <w:tab/>
          </w:r>
          <w:r>
            <w:rPr>
              <w:color w:val="auto"/>
              <w:highlight w:val="none"/>
            </w:rPr>
            <w:fldChar w:fldCharType="begin"/>
          </w:r>
          <w:r>
            <w:rPr>
              <w:color w:val="auto"/>
              <w:highlight w:val="none"/>
            </w:rPr>
            <w:instrText xml:space="preserve"> PAGEREF _Toc6692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6150B678">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"_Toc28947" </w:instrText>
          </w:r>
          <w:r>
            <w:rPr>
              <w:color w:val="auto"/>
              <w:highlight w:val="none"/>
            </w:rPr>
            <w:fldChar w:fldCharType="separate"/>
          </w:r>
          <w:r>
            <w:rPr>
              <w:rFonts w:hint="eastAsia"/>
              <w:color w:val="auto"/>
              <w:szCs w:val="32"/>
              <w:highlight w:val="none"/>
            </w:rPr>
            <w:t>第六章 质疑与投诉</w:t>
          </w:r>
          <w:r>
            <w:rPr>
              <w:color w:val="auto"/>
              <w:highlight w:val="none"/>
            </w:rPr>
            <w:tab/>
          </w:r>
          <w:r>
            <w:rPr>
              <w:color w:val="auto"/>
              <w:highlight w:val="none"/>
            </w:rPr>
            <w:fldChar w:fldCharType="begin"/>
          </w:r>
          <w:r>
            <w:rPr>
              <w:color w:val="auto"/>
              <w:highlight w:val="none"/>
            </w:rPr>
            <w:instrText xml:space="preserve"> PAGEREF _Toc28947 \h </w:instrText>
          </w:r>
          <w:r>
            <w:rPr>
              <w:color w:val="auto"/>
              <w:highlight w:val="none"/>
            </w:rPr>
            <w:fldChar w:fldCharType="separate"/>
          </w:r>
          <w:r>
            <w:rPr>
              <w:color w:val="auto"/>
              <w:highlight w:val="none"/>
            </w:rPr>
            <w:t>- 45 -</w:t>
          </w:r>
          <w:r>
            <w:rPr>
              <w:color w:val="auto"/>
              <w:highlight w:val="none"/>
            </w:rPr>
            <w:fldChar w:fldCharType="end"/>
          </w:r>
          <w:r>
            <w:rPr>
              <w:color w:val="auto"/>
              <w:highlight w:val="none"/>
            </w:rPr>
            <w:fldChar w:fldCharType="end"/>
          </w:r>
        </w:p>
        <w:p w14:paraId="4F577181">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"_Toc7285" </w:instrText>
          </w:r>
          <w:r>
            <w:rPr>
              <w:color w:val="auto"/>
              <w:highlight w:val="none"/>
            </w:rPr>
            <w:fldChar w:fldCharType="separate"/>
          </w:r>
          <w:r>
            <w:rPr>
              <w:rFonts w:asciiTheme="majorEastAsia" w:hAnsiTheme="majorEastAsia" w:eastAsiaTheme="majorEastAsia" w:cstheme="majorEastAsia"/>
              <w:bCs/>
              <w:color w:val="auto"/>
              <w:szCs w:val="32"/>
              <w:highlight w:val="none"/>
            </w:rPr>
            <w:t>第七章 履约验收</w:t>
          </w:r>
          <w:r>
            <w:rPr>
              <w:color w:val="auto"/>
              <w:highlight w:val="none"/>
            </w:rPr>
            <w:tab/>
          </w:r>
          <w:r>
            <w:rPr>
              <w:color w:val="auto"/>
              <w:highlight w:val="none"/>
            </w:rPr>
            <w:fldChar w:fldCharType="begin"/>
          </w:r>
          <w:r>
            <w:rPr>
              <w:color w:val="auto"/>
              <w:highlight w:val="none"/>
            </w:rPr>
            <w:instrText xml:space="preserve"> PAGEREF _Toc7285 \h </w:instrText>
          </w:r>
          <w:r>
            <w:rPr>
              <w:color w:val="auto"/>
              <w:highlight w:val="none"/>
            </w:rPr>
            <w:fldChar w:fldCharType="separate"/>
          </w:r>
          <w:r>
            <w:rPr>
              <w:color w:val="auto"/>
              <w:highlight w:val="none"/>
            </w:rPr>
            <w:t>- 47 -</w:t>
          </w:r>
          <w:r>
            <w:rPr>
              <w:color w:val="auto"/>
              <w:highlight w:val="none"/>
            </w:rPr>
            <w:fldChar w:fldCharType="end"/>
          </w:r>
          <w:r>
            <w:rPr>
              <w:color w:val="auto"/>
              <w:highlight w:val="none"/>
            </w:rPr>
            <w:fldChar w:fldCharType="end"/>
          </w:r>
        </w:p>
        <w:p w14:paraId="5B36C492">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"_Toc14191" </w:instrText>
          </w:r>
          <w:r>
            <w:rPr>
              <w:color w:val="auto"/>
              <w:highlight w:val="none"/>
            </w:rPr>
            <w:fldChar w:fldCharType="separate"/>
          </w:r>
          <w:r>
            <w:rPr>
              <w:rFonts w:hint="eastAsia" w:asciiTheme="minorEastAsia" w:hAnsiTheme="minorEastAsia" w:eastAsiaTheme="minorEastAsia" w:cstheme="minorEastAsia"/>
              <w:color w:val="auto"/>
              <w:szCs w:val="36"/>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_Toc14191 \h </w:instrText>
          </w:r>
          <w:r>
            <w:rPr>
              <w:color w:val="auto"/>
              <w:highlight w:val="none"/>
            </w:rPr>
            <w:fldChar w:fldCharType="separate"/>
          </w:r>
          <w:r>
            <w:rPr>
              <w:color w:val="auto"/>
              <w:highlight w:val="none"/>
            </w:rPr>
            <w:t>- 48 -</w:t>
          </w:r>
          <w:r>
            <w:rPr>
              <w:color w:val="auto"/>
              <w:highlight w:val="none"/>
            </w:rPr>
            <w:fldChar w:fldCharType="end"/>
          </w:r>
          <w:r>
            <w:rPr>
              <w:color w:val="auto"/>
              <w:highlight w:val="none"/>
            </w:rPr>
            <w:fldChar w:fldCharType="end"/>
          </w:r>
        </w:p>
        <w:p w14:paraId="6CAFA668">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"_Toc7574" </w:instrText>
          </w:r>
          <w:r>
            <w:rPr>
              <w:color w:val="auto"/>
              <w:highlight w:val="none"/>
            </w:rPr>
            <w:fldChar w:fldCharType="separate"/>
          </w:r>
          <w:r>
            <w:rPr>
              <w:rFonts w:hint="eastAsia" w:ascii="宋体" w:hAnsi="宋体" w:cs="宋体"/>
              <w:color w:val="auto"/>
              <w:szCs w:val="36"/>
              <w:highlight w:val="none"/>
            </w:rPr>
            <w:t>河南省政府采购合同融资政策告知函</w:t>
          </w:r>
          <w:r>
            <w:rPr>
              <w:color w:val="auto"/>
              <w:highlight w:val="none"/>
            </w:rPr>
            <w:tab/>
          </w:r>
          <w:r>
            <w:rPr>
              <w:color w:val="auto"/>
              <w:highlight w:val="none"/>
            </w:rPr>
            <w:fldChar w:fldCharType="begin"/>
          </w:r>
          <w:r>
            <w:rPr>
              <w:color w:val="auto"/>
              <w:highlight w:val="none"/>
            </w:rPr>
            <w:instrText xml:space="preserve"> PAGEREF _Toc7574 \h </w:instrText>
          </w:r>
          <w:r>
            <w:rPr>
              <w:color w:val="auto"/>
              <w:highlight w:val="none"/>
            </w:rPr>
            <w:fldChar w:fldCharType="separate"/>
          </w:r>
          <w:r>
            <w:rPr>
              <w:color w:val="auto"/>
              <w:highlight w:val="none"/>
            </w:rPr>
            <w:t>- 64 -</w:t>
          </w:r>
          <w:r>
            <w:rPr>
              <w:color w:val="auto"/>
              <w:highlight w:val="none"/>
            </w:rPr>
            <w:fldChar w:fldCharType="end"/>
          </w:r>
          <w:r>
            <w:rPr>
              <w:color w:val="auto"/>
              <w:highlight w:val="none"/>
            </w:rPr>
            <w:fldChar w:fldCharType="end"/>
          </w:r>
        </w:p>
        <w:p w14:paraId="3CF38207">
          <w:pPr>
            <w:pStyle w:val="37"/>
            <w:tabs>
              <w:tab w:val="right" w:leader="dot" w:pos="9880"/>
            </w:tabs>
            <w:rPr>
              <w:color w:val="auto"/>
              <w:highlight w:val="none"/>
            </w:rPr>
          </w:pPr>
          <w:r>
            <w:rPr>
              <w:color w:val="auto"/>
              <w:highlight w:val="none"/>
            </w:rPr>
            <w:fldChar w:fldCharType="begin"/>
          </w:r>
          <w:r>
            <w:rPr>
              <w:color w:val="auto"/>
              <w:highlight w:val="none"/>
            </w:rPr>
            <w:instrText xml:space="preserve"> HYPERLINK \l "_Toc30161" </w:instrText>
          </w:r>
          <w:r>
            <w:rPr>
              <w:color w:val="auto"/>
              <w:highlight w:val="none"/>
            </w:rPr>
            <w:fldChar w:fldCharType="separate"/>
          </w:r>
          <w:r>
            <w:rPr>
              <w:rFonts w:hint="eastAsia" w:ascii="宋体" w:hAnsi="宋体"/>
              <w:color w:val="auto"/>
              <w:szCs w:val="32"/>
              <w:highlight w:val="none"/>
            </w:rPr>
            <w:t>焦作市政府采购合同融资合作企业</w:t>
          </w:r>
          <w:r>
            <w:rPr>
              <w:color w:val="auto"/>
              <w:highlight w:val="none"/>
            </w:rPr>
            <w:tab/>
          </w:r>
          <w:r>
            <w:rPr>
              <w:color w:val="auto"/>
              <w:highlight w:val="none"/>
            </w:rPr>
            <w:fldChar w:fldCharType="begin"/>
          </w:r>
          <w:r>
            <w:rPr>
              <w:color w:val="auto"/>
              <w:highlight w:val="none"/>
            </w:rPr>
            <w:instrText xml:space="preserve"> PAGEREF _Toc30161 \h </w:instrText>
          </w:r>
          <w:r>
            <w:rPr>
              <w:color w:val="auto"/>
              <w:highlight w:val="none"/>
            </w:rPr>
            <w:fldChar w:fldCharType="separate"/>
          </w:r>
          <w:r>
            <w:rPr>
              <w:color w:val="auto"/>
              <w:highlight w:val="none"/>
            </w:rPr>
            <w:t>- 64 -</w:t>
          </w:r>
          <w:r>
            <w:rPr>
              <w:color w:val="auto"/>
              <w:highlight w:val="none"/>
            </w:rPr>
            <w:fldChar w:fldCharType="end"/>
          </w:r>
          <w:r>
            <w:rPr>
              <w:color w:val="auto"/>
              <w:highlight w:val="none"/>
            </w:rPr>
            <w:fldChar w:fldCharType="end"/>
          </w:r>
        </w:p>
        <w:p w14:paraId="158B203D">
          <w:pPr>
            <w:pStyle w:val="20"/>
            <w:spacing w:line="360" w:lineRule="auto"/>
            <w:ind w:right="-63" w:rightChars="-30"/>
            <w:outlineLvl w:val="9"/>
            <w:rPr>
              <w:rFonts w:asciiTheme="minorEastAsia" w:hAnsiTheme="minorEastAsia" w:eastAsiaTheme="minorEastAsia" w:cstheme="minorEastAsia"/>
              <w:bCs/>
              <w:color w:val="auto"/>
              <w:highlight w:val="none"/>
            </w:rPr>
          </w:pPr>
          <w:r>
            <w:rPr>
              <w:rFonts w:asciiTheme="minorEastAsia" w:hAnsiTheme="minorEastAsia" w:eastAsiaTheme="minorEastAsia" w:cstheme="minorEastAsia"/>
              <w:bCs/>
              <w:color w:val="auto"/>
              <w:highlight w:val="none"/>
            </w:rPr>
            <w:fldChar w:fldCharType="end"/>
          </w:r>
        </w:p>
      </w:sdtContent>
    </w:sdt>
    <w:p w14:paraId="77977634">
      <w:pPr>
        <w:pStyle w:val="20"/>
        <w:spacing w:line="360" w:lineRule="auto"/>
        <w:ind w:right="-63" w:rightChars="-30"/>
        <w:outlineLvl w:val="9"/>
        <w:rPr>
          <w:rFonts w:asciiTheme="minorEastAsia" w:hAnsiTheme="minorEastAsia" w:eastAsiaTheme="minorEastAsia" w:cstheme="minorEastAsia"/>
          <w:bCs/>
          <w:color w:val="auto"/>
          <w:highlight w:val="none"/>
        </w:rPr>
      </w:pPr>
    </w:p>
    <w:p w14:paraId="649B2577">
      <w:pPr>
        <w:pStyle w:val="20"/>
        <w:spacing w:line="360" w:lineRule="auto"/>
        <w:ind w:right="-63" w:rightChars="-30"/>
        <w:outlineLvl w:val="9"/>
        <w:rPr>
          <w:rFonts w:asciiTheme="minorEastAsia" w:hAnsiTheme="minorEastAsia" w:eastAsiaTheme="minorEastAsia" w:cstheme="minorEastAsia"/>
          <w:bCs/>
          <w:color w:val="auto"/>
          <w:highlight w:val="none"/>
        </w:rPr>
      </w:pPr>
    </w:p>
    <w:p w14:paraId="0BB67181">
      <w:pPr>
        <w:pStyle w:val="9"/>
        <w:rPr>
          <w:rFonts w:ascii="宋体" w:hAnsi="宋体" w:cs="宋体"/>
          <w:color w:val="auto"/>
          <w:highlight w:val="none"/>
        </w:rPr>
      </w:pPr>
      <w:bookmarkStart w:id="2" w:name="_Toc27735"/>
      <w:bookmarkStart w:id="3" w:name="_Toc2173"/>
      <w:r>
        <w:rPr>
          <w:rFonts w:hint="eastAsia"/>
          <w:color w:val="auto"/>
          <w:highlight w:val="none"/>
        </w:rPr>
        <w:t>重要事项提示</w:t>
      </w:r>
      <w:bookmarkEnd w:id="2"/>
      <w:bookmarkEnd w:id="3"/>
    </w:p>
    <w:p w14:paraId="5E90AF26">
      <w:pPr>
        <w:spacing w:line="360" w:lineRule="auto"/>
        <w:rPr>
          <w:rFonts w:ascii="宋体" w:hAnsi="宋体" w:cs="宋体"/>
          <w:color w:val="auto"/>
          <w:sz w:val="24"/>
          <w:highlight w:val="none"/>
        </w:rPr>
      </w:pPr>
    </w:p>
    <w:p w14:paraId="4740C1E9">
      <w:pPr>
        <w:spacing w:line="360" w:lineRule="auto"/>
        <w:rPr>
          <w:rFonts w:ascii="宋体" w:hAnsi="宋体" w:cs="宋体"/>
          <w:color w:val="auto"/>
          <w:sz w:val="24"/>
          <w:highlight w:val="none"/>
        </w:rPr>
      </w:pPr>
      <w:r>
        <w:rPr>
          <w:rFonts w:hint="eastAsia" w:ascii="宋体" w:hAnsi="宋体" w:cs="宋体"/>
          <w:color w:val="auto"/>
          <w:sz w:val="24"/>
          <w:highlight w:val="none"/>
        </w:rPr>
        <w:t>各潜在供应商：</w:t>
      </w:r>
    </w:p>
    <w:p w14:paraId="0D90E9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以下环节是此采购文件中需要重点关注的环节，对以下内容的忽视，可能是影响贵公司中标的重要因素。请在编制相应文件参与政府采购时高度重视。</w:t>
      </w:r>
    </w:p>
    <w:p w14:paraId="0F9512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1、采购文件应通过焦作市公共资源交易中心网站会员系统进行网上下载；未使用</w:t>
      </w:r>
      <w:r>
        <w:rPr>
          <w:rFonts w:hint="eastAsia" w:ascii="宋体" w:hAnsi="宋体"/>
          <w:bCs/>
          <w:color w:val="auto"/>
          <w:kern w:val="0"/>
          <w:sz w:val="24"/>
          <w:highlight w:val="none"/>
        </w:rPr>
        <w:t>企业 CA 密匙</w:t>
      </w:r>
      <w:r>
        <w:rPr>
          <w:rFonts w:hint="eastAsia" w:ascii="宋体" w:hAnsi="宋体" w:cs="宋体"/>
          <w:color w:val="auto"/>
          <w:sz w:val="24"/>
          <w:highlight w:val="none"/>
        </w:rPr>
        <w:t>登录焦作市公共资源交易中心网站会员系统进行网上下载文件的，投标视为无效；</w:t>
      </w:r>
    </w:p>
    <w:p w14:paraId="4BEA3097">
      <w:pPr>
        <w:pStyle w:val="19"/>
        <w:spacing w:before="0" w:beforeAutospacing="0" w:after="0" w:afterAutospacing="0" w:line="360" w:lineRule="auto"/>
        <w:ind w:firstLine="480" w:firstLineChars="200"/>
        <w:jc w:val="both"/>
        <w:rPr>
          <w:color w:val="auto"/>
          <w:highlight w:val="none"/>
        </w:rPr>
      </w:pPr>
      <w:r>
        <w:rPr>
          <w:rFonts w:hint="eastAsia"/>
          <w:color w:val="auto"/>
          <w:highlight w:val="none"/>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14:paraId="338FDBED">
      <w:pPr>
        <w:pStyle w:val="19"/>
        <w:spacing w:before="0" w:beforeAutospacing="0" w:after="0" w:afterAutospacing="0" w:line="360" w:lineRule="auto"/>
        <w:ind w:firstLine="480" w:firstLineChars="200"/>
        <w:jc w:val="both"/>
        <w:rPr>
          <w:color w:val="auto"/>
          <w:highlight w:val="none"/>
        </w:rPr>
      </w:pPr>
      <w:r>
        <w:rPr>
          <w:rFonts w:hint="eastAsia"/>
          <w:color w:val="auto"/>
          <w:highlight w:val="none"/>
        </w:rPr>
        <w:t>供应商无需到现场参加开标会议，无需到达现场提交原件资料。供应商应当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14:paraId="00E25CA2">
      <w:pPr>
        <w:pStyle w:val="19"/>
        <w:numPr>
          <w:ilvl w:val="0"/>
          <w:numId w:val="1"/>
        </w:numPr>
        <w:spacing w:before="0" w:beforeAutospacing="0" w:after="0" w:afterAutospacing="0" w:line="360" w:lineRule="auto"/>
        <w:ind w:firstLine="480" w:firstLineChars="200"/>
        <w:jc w:val="both"/>
        <w:rPr>
          <w:color w:val="auto"/>
          <w:highlight w:val="none"/>
        </w:rPr>
      </w:pPr>
      <w:r>
        <w:rPr>
          <w:rFonts w:hint="eastAsia"/>
          <w:color w:val="auto"/>
          <w:highlight w:val="none"/>
        </w:rPr>
        <w:t>有下列情形之一的，将作为自动放弃、无效投标或废标处理：</w:t>
      </w:r>
    </w:p>
    <w:p w14:paraId="16D4ABA1">
      <w:pPr>
        <w:pStyle w:val="19"/>
        <w:numPr>
          <w:ilvl w:val="0"/>
          <w:numId w:val="2"/>
        </w:numPr>
        <w:spacing w:before="0" w:beforeAutospacing="0" w:after="0" w:afterAutospacing="0" w:line="360" w:lineRule="auto"/>
        <w:ind w:left="-60" w:firstLine="480"/>
        <w:jc w:val="both"/>
        <w:rPr>
          <w:rFonts w:cs="Times New Roman"/>
          <w:color w:val="auto"/>
          <w:highlight w:val="none"/>
        </w:rPr>
      </w:pPr>
      <w:r>
        <w:rPr>
          <w:rFonts w:hint="eastAsia" w:cs="Times New Roman"/>
          <w:color w:val="auto"/>
          <w:highlight w:val="none"/>
        </w:rPr>
        <w:t>在投标文件中对同一采购项目有两个或多个报价，且未声明哪一个有效的；</w:t>
      </w:r>
    </w:p>
    <w:p w14:paraId="522BC378">
      <w:pPr>
        <w:pStyle w:val="19"/>
        <w:numPr>
          <w:ilvl w:val="0"/>
          <w:numId w:val="2"/>
        </w:numPr>
        <w:spacing w:before="0" w:beforeAutospacing="0" w:after="0" w:afterAutospacing="0" w:line="360" w:lineRule="auto"/>
        <w:ind w:left="-60" w:firstLine="480"/>
        <w:jc w:val="both"/>
        <w:rPr>
          <w:rFonts w:cs="Times New Roman"/>
          <w:color w:val="auto"/>
          <w:highlight w:val="none"/>
        </w:rPr>
      </w:pPr>
      <w:r>
        <w:rPr>
          <w:rFonts w:hint="eastAsia" w:cs="Times New Roman"/>
          <w:color w:val="auto"/>
          <w:highlight w:val="none"/>
        </w:rPr>
        <w:t>投标文件的关键内容（</w:t>
      </w:r>
      <w:r>
        <w:rPr>
          <w:rFonts w:hint="eastAsia" w:ascii="宋体" w:hAnsi="宋体" w:eastAsia="宋体" w:cs="宋体"/>
          <w:color w:val="auto"/>
          <w:sz w:val="24"/>
          <w:szCs w:val="24"/>
          <w:highlight w:val="none"/>
        </w:rPr>
        <w:t>运行周期</w:t>
      </w:r>
      <w:r>
        <w:rPr>
          <w:rFonts w:hint="eastAsia" w:cs="Times New Roman"/>
          <w:color w:val="auto"/>
          <w:highlight w:val="none"/>
        </w:rPr>
        <w:t>、质量标准等）未填写或填写字迹模糊无法辨认的；</w:t>
      </w:r>
    </w:p>
    <w:p w14:paraId="147DF770">
      <w:pPr>
        <w:pStyle w:val="19"/>
        <w:numPr>
          <w:ilvl w:val="0"/>
          <w:numId w:val="2"/>
        </w:numPr>
        <w:spacing w:before="0" w:beforeAutospacing="0" w:after="0" w:afterAutospacing="0" w:line="360" w:lineRule="auto"/>
        <w:ind w:left="-60" w:firstLine="480"/>
        <w:jc w:val="both"/>
        <w:rPr>
          <w:rFonts w:cs="Times New Roman"/>
          <w:color w:val="auto"/>
          <w:highlight w:val="none"/>
        </w:rPr>
      </w:pPr>
      <w:r>
        <w:rPr>
          <w:rFonts w:hint="eastAsia" w:cs="Times New Roman"/>
          <w:color w:val="auto"/>
          <w:highlight w:val="none"/>
        </w:rPr>
        <w:t>采购报价超出控制价的；</w:t>
      </w:r>
    </w:p>
    <w:p w14:paraId="28903633">
      <w:pPr>
        <w:pStyle w:val="19"/>
        <w:numPr>
          <w:ilvl w:val="0"/>
          <w:numId w:val="2"/>
        </w:numPr>
        <w:spacing w:before="0" w:beforeAutospacing="0" w:after="0" w:afterAutospacing="0" w:line="360" w:lineRule="auto"/>
        <w:ind w:left="-60" w:firstLine="480"/>
        <w:jc w:val="both"/>
        <w:rPr>
          <w:rFonts w:cs="Times New Roman"/>
          <w:color w:val="auto"/>
          <w:highlight w:val="none"/>
        </w:rPr>
      </w:pPr>
      <w:r>
        <w:rPr>
          <w:rFonts w:hint="eastAsia" w:cs="Times New Roman"/>
          <w:color w:val="auto"/>
          <w:highlight w:val="none"/>
        </w:rPr>
        <w:t>投标文件中附有采购人不能接受的条件的；</w:t>
      </w:r>
    </w:p>
    <w:p w14:paraId="101B480E">
      <w:pPr>
        <w:pStyle w:val="19"/>
        <w:numPr>
          <w:ilvl w:val="0"/>
          <w:numId w:val="2"/>
        </w:numPr>
        <w:spacing w:before="0" w:beforeAutospacing="0" w:after="0" w:afterAutospacing="0" w:line="360" w:lineRule="auto"/>
        <w:ind w:left="-60" w:firstLine="480"/>
        <w:jc w:val="both"/>
        <w:rPr>
          <w:color w:val="auto"/>
          <w:highlight w:val="none"/>
        </w:rPr>
      </w:pPr>
      <w:r>
        <w:rPr>
          <w:rFonts w:hint="eastAsia" w:cs="Times New Roman"/>
          <w:color w:val="auto"/>
          <w:highlight w:val="none"/>
        </w:rPr>
        <w:t>投标文件有明显不符合采购文件其它要求和有关法律法规的；</w:t>
      </w:r>
    </w:p>
    <w:p w14:paraId="1C28A206">
      <w:pPr>
        <w:pStyle w:val="19"/>
        <w:numPr>
          <w:ilvl w:val="0"/>
          <w:numId w:val="2"/>
        </w:numPr>
        <w:spacing w:before="0" w:beforeAutospacing="0" w:after="0" w:afterAutospacing="0" w:line="360" w:lineRule="auto"/>
        <w:ind w:left="-60" w:firstLine="480"/>
        <w:jc w:val="both"/>
        <w:rPr>
          <w:color w:val="auto"/>
          <w:highlight w:val="none"/>
        </w:rPr>
      </w:pPr>
      <w:r>
        <w:rPr>
          <w:rFonts w:hint="eastAsia" w:cs="Times New Roman"/>
          <w:color w:val="auto"/>
          <w:highlight w:val="none"/>
        </w:rPr>
        <w:t>如因两个或两个以上供应商使用同一台计算</w:t>
      </w:r>
      <w:r>
        <w:rPr>
          <w:rFonts w:hint="eastAsia" w:cs="Times New Roman"/>
          <w:color w:val="auto"/>
          <w:highlight w:val="none"/>
          <w:lang w:val="en-US" w:eastAsia="zh-CN"/>
        </w:rPr>
        <w:t>机</w:t>
      </w:r>
      <w:r>
        <w:rPr>
          <w:rFonts w:hint="eastAsia" w:cs="Times New Roman"/>
          <w:color w:val="auto"/>
          <w:highlight w:val="none"/>
        </w:rPr>
        <w:t>或同一个IP上传投标文件，被不见面开标系统提示为“投标文件制作机器码一致”的，则视其投标无效。若经查实有《政府采购法实施条例》第七十四条情形，监管部门将依法做出处理；</w:t>
      </w:r>
    </w:p>
    <w:p w14:paraId="22A22C5C">
      <w:pPr>
        <w:pStyle w:val="19"/>
        <w:numPr>
          <w:ilvl w:val="0"/>
          <w:numId w:val="2"/>
        </w:numPr>
        <w:spacing w:before="0" w:beforeAutospacing="0" w:after="0" w:afterAutospacing="0" w:line="360" w:lineRule="auto"/>
        <w:ind w:left="-60" w:firstLine="480"/>
        <w:jc w:val="both"/>
        <w:rPr>
          <w:color w:val="auto"/>
          <w:highlight w:val="none"/>
        </w:rPr>
      </w:pPr>
      <w:r>
        <w:rPr>
          <w:rFonts w:hint="eastAsia"/>
          <w:color w:val="auto"/>
          <w:highlight w:val="none"/>
        </w:rPr>
        <w:t>在评标过程中，评标委员会发现投标单位的报价明显低于其它采购报价，使得其采购报价可能低于其个别成本的，应当要求该供应商作出书面说明并提供相关证明材料。供应商不能合理说明或者不能提供相关证明材料的，由评标委员会认定该供应商以低于成本报价竞标的。</w:t>
      </w:r>
    </w:p>
    <w:p w14:paraId="66DACB5C">
      <w:pPr>
        <w:rPr>
          <w:rFonts w:ascii="宋体" w:hAnsi="宋体" w:cs="宋体"/>
          <w:color w:val="auto"/>
          <w:sz w:val="32"/>
          <w:szCs w:val="32"/>
          <w:highlight w:val="none"/>
        </w:rPr>
      </w:pPr>
    </w:p>
    <w:p w14:paraId="64D359EA">
      <w:pPr>
        <w:rPr>
          <w:rFonts w:ascii="宋体" w:hAnsi="宋体" w:cs="宋体"/>
          <w:color w:val="auto"/>
          <w:sz w:val="32"/>
          <w:szCs w:val="32"/>
          <w:highlight w:val="none"/>
        </w:rPr>
      </w:pPr>
    </w:p>
    <w:p w14:paraId="12A2929D">
      <w:pPr>
        <w:rPr>
          <w:rFonts w:ascii="宋体" w:hAnsi="宋体" w:cs="宋体"/>
          <w:b/>
          <w:bCs/>
          <w:color w:val="auto"/>
          <w:sz w:val="32"/>
          <w:szCs w:val="32"/>
          <w:highlight w:val="none"/>
        </w:rPr>
      </w:pPr>
    </w:p>
    <w:p w14:paraId="5B2FE2F1">
      <w:pPr>
        <w:jc w:val="center"/>
        <w:rPr>
          <w:rFonts w:asciiTheme="minorEastAsia" w:hAnsiTheme="minorEastAsia" w:eastAsiaTheme="minorEastAsia" w:cstheme="minorEastAsia"/>
          <w:b/>
          <w:bCs/>
          <w:color w:val="auto"/>
          <w:sz w:val="32"/>
          <w:szCs w:val="32"/>
          <w:highlight w:val="none"/>
        </w:rPr>
      </w:pPr>
    </w:p>
    <w:p w14:paraId="0BDD74D9">
      <w:pPr>
        <w:pStyle w:val="20"/>
        <w:spacing w:line="360" w:lineRule="auto"/>
        <w:ind w:right="-63" w:rightChars="-30"/>
        <w:jc w:val="both"/>
        <w:outlineLvl w:val="9"/>
        <w:rPr>
          <w:rFonts w:asciiTheme="minorEastAsia" w:hAnsiTheme="minorEastAsia" w:eastAsiaTheme="minorEastAsia" w:cstheme="minorEastAsia"/>
          <w:bCs/>
          <w:color w:val="auto"/>
          <w:highlight w:val="none"/>
        </w:rPr>
      </w:pPr>
    </w:p>
    <w:p w14:paraId="791102F7">
      <w:pPr>
        <w:rPr>
          <w:rFonts w:asciiTheme="minorEastAsia" w:hAnsiTheme="minorEastAsia" w:eastAsiaTheme="minorEastAsia" w:cstheme="minorEastAsia"/>
          <w:bCs/>
          <w:color w:val="auto"/>
          <w:highlight w:val="none"/>
        </w:rPr>
      </w:pPr>
    </w:p>
    <w:p w14:paraId="74CFE6BE">
      <w:pPr>
        <w:pStyle w:val="3"/>
        <w:rPr>
          <w:rFonts w:asciiTheme="minorEastAsia" w:hAnsiTheme="minorEastAsia" w:eastAsiaTheme="minorEastAsia" w:cstheme="minorEastAsia"/>
          <w:bCs/>
          <w:color w:val="auto"/>
          <w:highlight w:val="none"/>
        </w:rPr>
      </w:pPr>
    </w:p>
    <w:p w14:paraId="4454F343">
      <w:pPr>
        <w:pStyle w:val="18"/>
        <w:rPr>
          <w:rFonts w:asciiTheme="minorEastAsia" w:hAnsiTheme="minorEastAsia" w:eastAsiaTheme="minorEastAsia" w:cstheme="minorEastAsia"/>
          <w:bCs/>
          <w:color w:val="auto"/>
          <w:highlight w:val="none"/>
        </w:rPr>
      </w:pPr>
    </w:p>
    <w:p w14:paraId="362E0105">
      <w:pPr>
        <w:pStyle w:val="3"/>
        <w:rPr>
          <w:rFonts w:asciiTheme="minorEastAsia" w:hAnsiTheme="minorEastAsia" w:eastAsiaTheme="minorEastAsia" w:cstheme="minorEastAsia"/>
          <w:bCs/>
          <w:color w:val="auto"/>
          <w:highlight w:val="none"/>
        </w:rPr>
      </w:pPr>
    </w:p>
    <w:p w14:paraId="1B9769DA">
      <w:pPr>
        <w:pStyle w:val="3"/>
        <w:rPr>
          <w:color w:val="auto"/>
          <w:highlight w:val="none"/>
        </w:rPr>
      </w:pPr>
    </w:p>
    <w:p w14:paraId="7D32AE45">
      <w:pPr>
        <w:pStyle w:val="18"/>
        <w:rPr>
          <w:color w:val="auto"/>
          <w:highlight w:val="none"/>
        </w:rPr>
      </w:pPr>
    </w:p>
    <w:p w14:paraId="015E2481">
      <w:pPr>
        <w:pStyle w:val="18"/>
        <w:rPr>
          <w:color w:val="auto"/>
          <w:highlight w:val="none"/>
        </w:rPr>
      </w:pPr>
    </w:p>
    <w:p w14:paraId="18FE0C94">
      <w:pPr>
        <w:pStyle w:val="3"/>
        <w:rPr>
          <w:color w:val="auto"/>
          <w:highlight w:val="none"/>
        </w:rPr>
      </w:pPr>
    </w:p>
    <w:p w14:paraId="5DAC5A08">
      <w:pPr>
        <w:pStyle w:val="35"/>
        <w:rPr>
          <w:rFonts w:hint="default"/>
          <w:color w:val="auto"/>
          <w:highlight w:val="none"/>
        </w:rPr>
      </w:pPr>
    </w:p>
    <w:p w14:paraId="24018936">
      <w:pPr>
        <w:rPr>
          <w:rFonts w:hint="default"/>
        </w:rPr>
      </w:pPr>
    </w:p>
    <w:p w14:paraId="3486A676">
      <w:pPr>
        <w:pStyle w:val="20"/>
        <w:numPr>
          <w:ilvl w:val="0"/>
          <w:numId w:val="3"/>
        </w:numPr>
        <w:spacing w:line="360" w:lineRule="auto"/>
        <w:ind w:right="-63" w:rightChars="-30"/>
        <w:rPr>
          <w:color w:val="auto"/>
          <w:highlight w:val="none"/>
        </w:rPr>
      </w:pPr>
      <w:r>
        <w:rPr>
          <w:rFonts w:hint="eastAsia" w:asciiTheme="minorEastAsia" w:hAnsiTheme="minorEastAsia" w:eastAsiaTheme="minorEastAsia" w:cstheme="minorEastAsia"/>
          <w:bCs/>
          <w:color w:val="auto"/>
          <w:highlight w:val="none"/>
        </w:rPr>
        <w:t xml:space="preserve">  </w:t>
      </w:r>
      <w:bookmarkStart w:id="4" w:name="_Toc24751"/>
      <w:bookmarkStart w:id="5" w:name="_Toc23622"/>
      <w:r>
        <w:rPr>
          <w:rFonts w:hint="eastAsia" w:asciiTheme="minorEastAsia" w:hAnsiTheme="minorEastAsia" w:eastAsiaTheme="minorEastAsia" w:cstheme="minorEastAsia"/>
          <w:bCs/>
          <w:color w:val="auto"/>
          <w:highlight w:val="none"/>
        </w:rPr>
        <w:t>招标公告</w:t>
      </w:r>
      <w:bookmarkEnd w:id="4"/>
      <w:bookmarkEnd w:id="5"/>
    </w:p>
    <w:p w14:paraId="306AC81A">
      <w:pPr>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博爱县垃圾处理场渗滤液处理设备及运行提标改造项目</w:t>
      </w:r>
    </w:p>
    <w:p w14:paraId="3FF47D35">
      <w:pPr>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招标公告（不见面开标）</w:t>
      </w:r>
    </w:p>
    <w:tbl>
      <w:tblPr>
        <w:tblStyle w:val="21"/>
        <w:tblW w:w="9620"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0"/>
      </w:tblGrid>
      <w:tr w14:paraId="0C361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9620" w:type="dxa"/>
          </w:tcPr>
          <w:p w14:paraId="72F46B27">
            <w:pPr>
              <w:pStyle w:val="5"/>
              <w:spacing w:line="440" w:lineRule="exact"/>
              <w:ind w:firstLine="480"/>
              <w:rPr>
                <w:rFonts w:ascii="宋体" w:hAnsi="宋体" w:cs="宋体"/>
                <w:color w:val="auto"/>
                <w:sz w:val="24"/>
                <w:highlight w:val="none"/>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博爱县垃圾处理场渗滤液处理设备及运行提标改造项目</w:t>
            </w:r>
            <w:r>
              <w:rPr>
                <w:rFonts w:hint="eastAsia" w:ascii="宋体" w:hAnsi="宋体" w:cs="宋体"/>
                <w:color w:val="auto"/>
                <w:sz w:val="24"/>
                <w:highlight w:val="none"/>
              </w:rPr>
              <w:t>的潜在供应商应在焦作市公共资源交易中心网站获取采购文件，并于</w:t>
            </w:r>
            <w:r>
              <w:rPr>
                <w:rFonts w:hint="eastAsia" w:ascii="宋体" w:hAnsi="宋体" w:cs="宋体"/>
                <w:b/>
                <w:bCs/>
                <w:color w:val="auto"/>
                <w:kern w:val="0"/>
                <w:sz w:val="24"/>
                <w:highlight w:val="none"/>
                <w:u w:val="single"/>
              </w:rPr>
              <w:t>2024年</w:t>
            </w:r>
            <w:r>
              <w:rPr>
                <w:rFonts w:hint="eastAsia" w:ascii="宋体" w:hAnsi="宋体" w:cs="宋体"/>
                <w:b/>
                <w:bCs/>
                <w:color w:val="auto"/>
                <w:kern w:val="0"/>
                <w:sz w:val="24"/>
                <w:highlight w:val="none"/>
                <w:u w:val="single"/>
                <w:lang w:val="en-US" w:eastAsia="zh-CN"/>
              </w:rPr>
              <w:t>07</w:t>
            </w:r>
            <w:r>
              <w:rPr>
                <w:rFonts w:hint="eastAsia" w:ascii="宋体" w:hAnsi="宋体" w:cs="宋体"/>
                <w:b/>
                <w:bCs/>
                <w:color w:val="auto"/>
                <w:kern w:val="0"/>
                <w:sz w:val="24"/>
                <w:highlight w:val="none"/>
                <w:u w:val="single"/>
              </w:rPr>
              <w:t>月</w:t>
            </w:r>
            <w:r>
              <w:rPr>
                <w:rFonts w:hint="eastAsia" w:ascii="宋体" w:hAnsi="宋体" w:cs="宋体"/>
                <w:b/>
                <w:bCs/>
                <w:color w:val="auto"/>
                <w:kern w:val="0"/>
                <w:sz w:val="24"/>
                <w:highlight w:val="none"/>
                <w:u w:val="single"/>
                <w:lang w:val="en-US" w:eastAsia="zh-CN"/>
              </w:rPr>
              <w:t>25</w:t>
            </w:r>
            <w:r>
              <w:rPr>
                <w:rFonts w:hint="eastAsia" w:ascii="宋体" w:hAnsi="宋体" w:cs="宋体"/>
                <w:b/>
                <w:bCs/>
                <w:color w:val="auto"/>
                <w:kern w:val="0"/>
                <w:sz w:val="24"/>
                <w:highlight w:val="none"/>
                <w:u w:val="single"/>
              </w:rPr>
              <w:t>日上午9点00分</w:t>
            </w:r>
            <w:r>
              <w:rPr>
                <w:rFonts w:hint="eastAsia" w:ascii="宋体" w:hAnsi="宋体" w:cs="宋体"/>
                <w:b/>
                <w:bCs/>
                <w:color w:val="auto"/>
                <w:sz w:val="24"/>
                <w:highlight w:val="none"/>
                <w:u w:val="single"/>
              </w:rPr>
              <w:t>（北京时间）</w:t>
            </w:r>
            <w:r>
              <w:rPr>
                <w:rFonts w:hint="eastAsia" w:ascii="宋体" w:hAnsi="宋体" w:cs="宋体"/>
                <w:color w:val="auto"/>
                <w:sz w:val="24"/>
                <w:highlight w:val="none"/>
              </w:rPr>
              <w:t>前提交投标文件。</w:t>
            </w:r>
          </w:p>
        </w:tc>
      </w:tr>
    </w:tbl>
    <w:p w14:paraId="3AE393E1">
      <w:pPr>
        <w:pStyle w:val="38"/>
        <w:spacing w:line="440" w:lineRule="exact"/>
        <w:ind w:left="0" w:firstLine="0"/>
        <w:rPr>
          <w:b/>
          <w:bCs/>
          <w:color w:val="auto"/>
          <w:sz w:val="24"/>
          <w:highlight w:val="none"/>
          <w:lang w:eastAsia="zh-CN"/>
        </w:rPr>
      </w:pPr>
      <w:r>
        <w:rPr>
          <w:rFonts w:hint="eastAsia"/>
          <w:b/>
          <w:bCs/>
          <w:color w:val="auto"/>
          <w:sz w:val="24"/>
          <w:highlight w:val="none"/>
          <w:lang w:eastAsia="zh-CN"/>
        </w:rPr>
        <w:t>一、项目基本情况</w:t>
      </w:r>
    </w:p>
    <w:p w14:paraId="43C5AC9B">
      <w:pPr>
        <w:widowControl/>
        <w:spacing w:line="440" w:lineRule="exact"/>
        <w:ind w:firstLine="480" w:firstLineChars="200"/>
        <w:jc w:val="left"/>
        <w:rPr>
          <w:rFonts w:hint="eastAsia" w:ascii="宋体" w:hAnsi="宋体" w:cs="宋体"/>
          <w:color w:val="auto"/>
          <w:sz w:val="24"/>
          <w:highlight w:val="none"/>
          <w:shd w:val="clear" w:color="auto" w:fill="FFFFFF"/>
          <w:lang w:val="en-US" w:eastAsia="zh-CN"/>
        </w:rPr>
      </w:pPr>
      <w:r>
        <w:rPr>
          <w:rFonts w:hint="eastAsia" w:ascii="宋体" w:hAnsi="宋体" w:cs="宋体"/>
          <w:color w:val="auto"/>
          <w:sz w:val="24"/>
          <w:highlight w:val="none"/>
          <w:shd w:val="clear" w:color="auto" w:fill="FFFFFF"/>
        </w:rPr>
        <w:t>1</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rPr>
        <w:t>项目编号：</w:t>
      </w:r>
      <w:r>
        <w:rPr>
          <w:rFonts w:hint="eastAsia" w:ascii="宋体" w:hAnsi="宋体" w:cs="宋体"/>
          <w:color w:val="auto"/>
          <w:sz w:val="24"/>
          <w:highlight w:val="none"/>
          <w:shd w:val="clear" w:color="auto" w:fill="FFFFFF"/>
          <w:lang w:val="en-US" w:eastAsia="zh-CN"/>
        </w:rPr>
        <w:t>博政采购〔2024〕76号</w:t>
      </w:r>
    </w:p>
    <w:p w14:paraId="3403BA3A">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rPr>
        <w:t>项目名称：</w:t>
      </w:r>
      <w:r>
        <w:rPr>
          <w:rFonts w:hint="eastAsia" w:ascii="宋体" w:hAnsi="宋体" w:cs="宋体"/>
          <w:color w:val="auto"/>
          <w:sz w:val="24"/>
          <w:highlight w:val="none"/>
          <w:shd w:val="clear" w:color="auto" w:fill="FFFFFF"/>
          <w:lang w:eastAsia="zh-CN"/>
        </w:rPr>
        <w:t>博爱县垃圾处理场渗滤液处理设备及运行提标改造项目</w:t>
      </w:r>
    </w:p>
    <w:p w14:paraId="78495772">
      <w:pPr>
        <w:widowControl/>
        <w:spacing w:line="440" w:lineRule="exact"/>
        <w:ind w:firstLine="480" w:firstLineChars="20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rPr>
        <w:t>采购方式：公开招标</w:t>
      </w:r>
    </w:p>
    <w:p w14:paraId="40335093">
      <w:pPr>
        <w:widowControl/>
        <w:spacing w:line="440" w:lineRule="exact"/>
        <w:ind w:firstLine="480" w:firstLineChars="20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rPr>
        <w:t>预算金额：820</w:t>
      </w:r>
      <w:r>
        <w:rPr>
          <w:rFonts w:hint="eastAsia" w:ascii="宋体" w:hAnsi="宋体" w:cs="宋体"/>
          <w:color w:val="auto"/>
          <w:sz w:val="24"/>
          <w:highlight w:val="none"/>
          <w:shd w:val="clear" w:color="auto" w:fill="FFFFFF"/>
          <w:lang w:val="en-US" w:eastAsia="zh-CN"/>
        </w:rPr>
        <w:t>0000.00</w:t>
      </w:r>
      <w:r>
        <w:rPr>
          <w:rFonts w:hint="eastAsia" w:ascii="宋体" w:hAnsi="宋体" w:cs="宋体"/>
          <w:color w:val="auto"/>
          <w:sz w:val="24"/>
          <w:highlight w:val="none"/>
          <w:shd w:val="clear" w:color="auto" w:fill="FFFFFF"/>
          <w:lang w:eastAsia="zh-CN"/>
        </w:rPr>
        <w:t>元</w:t>
      </w:r>
    </w:p>
    <w:p w14:paraId="4AE64F39">
      <w:pPr>
        <w:widowControl/>
        <w:spacing w:line="440" w:lineRule="exact"/>
        <w:ind w:firstLine="720" w:firstLineChars="30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最高限价：</w:t>
      </w:r>
      <w:r>
        <w:rPr>
          <w:rFonts w:hint="eastAsia" w:ascii="宋体" w:hAnsi="宋体" w:cs="宋体"/>
          <w:color w:val="auto"/>
          <w:sz w:val="24"/>
          <w:highlight w:val="none"/>
          <w:shd w:val="clear" w:color="auto" w:fill="FFFFFF"/>
        </w:rPr>
        <w:t>820</w:t>
      </w:r>
      <w:r>
        <w:rPr>
          <w:rFonts w:hint="eastAsia" w:ascii="宋体" w:hAnsi="宋体" w:cs="宋体"/>
          <w:color w:val="auto"/>
          <w:sz w:val="24"/>
          <w:highlight w:val="none"/>
          <w:shd w:val="clear" w:color="auto" w:fill="FFFFFF"/>
          <w:lang w:val="en-US" w:eastAsia="zh-CN"/>
        </w:rPr>
        <w:t>0000.00</w:t>
      </w:r>
      <w:r>
        <w:rPr>
          <w:rFonts w:hint="eastAsia" w:ascii="宋体" w:hAnsi="宋体" w:cs="宋体"/>
          <w:color w:val="auto"/>
          <w:sz w:val="24"/>
          <w:highlight w:val="none"/>
          <w:shd w:val="clear" w:color="auto" w:fill="FFFFFF"/>
        </w:rPr>
        <w:t>元</w:t>
      </w:r>
    </w:p>
    <w:tbl>
      <w:tblPr>
        <w:tblStyle w:val="22"/>
        <w:tblW w:w="9809"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562"/>
        <w:gridCol w:w="3610"/>
        <w:gridCol w:w="2056"/>
        <w:gridCol w:w="2100"/>
      </w:tblGrid>
      <w:tr w14:paraId="4B3D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81" w:type="dxa"/>
            <w:noWrap w:val="0"/>
            <w:vAlign w:val="center"/>
          </w:tcPr>
          <w:p w14:paraId="6B19B207">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序号</w:t>
            </w:r>
          </w:p>
        </w:tc>
        <w:tc>
          <w:tcPr>
            <w:tcW w:w="1562" w:type="dxa"/>
            <w:noWrap w:val="0"/>
            <w:vAlign w:val="center"/>
          </w:tcPr>
          <w:p w14:paraId="27690F28">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包号</w:t>
            </w:r>
          </w:p>
        </w:tc>
        <w:tc>
          <w:tcPr>
            <w:tcW w:w="3610" w:type="dxa"/>
            <w:noWrap w:val="0"/>
            <w:vAlign w:val="center"/>
          </w:tcPr>
          <w:p w14:paraId="1F685C87">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包名称</w:t>
            </w:r>
          </w:p>
        </w:tc>
        <w:tc>
          <w:tcPr>
            <w:tcW w:w="2056" w:type="dxa"/>
            <w:noWrap w:val="0"/>
            <w:vAlign w:val="center"/>
          </w:tcPr>
          <w:p w14:paraId="2DD1F434">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包预算（元）</w:t>
            </w:r>
          </w:p>
        </w:tc>
        <w:tc>
          <w:tcPr>
            <w:tcW w:w="2100" w:type="dxa"/>
            <w:noWrap w:val="0"/>
            <w:vAlign w:val="center"/>
          </w:tcPr>
          <w:p w14:paraId="6FECA47E">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包最高限价（元）</w:t>
            </w:r>
          </w:p>
        </w:tc>
      </w:tr>
      <w:tr w14:paraId="14C2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81" w:type="dxa"/>
            <w:noWrap w:val="0"/>
            <w:vAlign w:val="center"/>
          </w:tcPr>
          <w:p w14:paraId="52B9AE44">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1</w:t>
            </w:r>
          </w:p>
        </w:tc>
        <w:tc>
          <w:tcPr>
            <w:tcW w:w="1562" w:type="dxa"/>
            <w:noWrap w:val="0"/>
            <w:vAlign w:val="center"/>
          </w:tcPr>
          <w:p w14:paraId="66AD0724">
            <w:pPr>
              <w:keepNext w:val="0"/>
              <w:keepLines w:val="0"/>
              <w:widowControl/>
              <w:suppressLineNumbers w:val="0"/>
              <w:wordWrap w:val="0"/>
              <w:spacing w:before="0" w:beforeAutospacing="0" w:after="0" w:afterAutospacing="0" w:line="360" w:lineRule="auto"/>
              <w:ind w:left="0" w:leftChars="0" w:right="0" w:rightChars="0"/>
              <w:jc w:val="center"/>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博政采购〔2024〕</w:t>
            </w:r>
            <w:r>
              <w:rPr>
                <w:rFonts w:hint="eastAsia" w:ascii="宋体" w:hAnsi="宋体" w:cs="宋体"/>
                <w:color w:val="auto"/>
                <w:sz w:val="24"/>
                <w:szCs w:val="24"/>
                <w:highlight w:val="none"/>
                <w:lang w:val="en-US" w:eastAsia="zh-CN"/>
              </w:rPr>
              <w:t>76</w:t>
            </w:r>
            <w:r>
              <w:rPr>
                <w:rFonts w:hint="eastAsia" w:ascii="宋体" w:hAnsi="宋体" w:eastAsia="宋体" w:cs="宋体"/>
                <w:color w:val="auto"/>
                <w:sz w:val="24"/>
                <w:szCs w:val="24"/>
                <w:highlight w:val="none"/>
                <w:lang w:val="en-US" w:eastAsia="zh-CN"/>
              </w:rPr>
              <w:t>号</w:t>
            </w:r>
          </w:p>
        </w:tc>
        <w:tc>
          <w:tcPr>
            <w:tcW w:w="3610" w:type="dxa"/>
            <w:noWrap w:val="0"/>
            <w:vAlign w:val="center"/>
          </w:tcPr>
          <w:p w14:paraId="1E5C3D98">
            <w:pPr>
              <w:keepNext w:val="0"/>
              <w:keepLines w:val="0"/>
              <w:widowControl/>
              <w:suppressLineNumbers w:val="0"/>
              <w:wordWrap w:val="0"/>
              <w:spacing w:before="0" w:beforeAutospacing="0" w:after="0" w:afterAutospacing="0" w:line="360" w:lineRule="auto"/>
              <w:ind w:left="0" w:leftChars="0" w:right="0" w:rightChars="0"/>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highlight w:val="none"/>
                <w:shd w:val="clear" w:color="auto" w:fill="FFFFFF"/>
                <w:lang w:eastAsia="zh-CN"/>
              </w:rPr>
              <w:t>博爱县垃圾处理场渗滤液处理设备及运行提标改造项目</w:t>
            </w:r>
          </w:p>
        </w:tc>
        <w:tc>
          <w:tcPr>
            <w:tcW w:w="2056" w:type="dxa"/>
            <w:noWrap w:val="0"/>
            <w:vAlign w:val="center"/>
          </w:tcPr>
          <w:p w14:paraId="2EDC6B5B">
            <w:pPr>
              <w:keepNext w:val="0"/>
              <w:keepLines w:val="0"/>
              <w:widowControl/>
              <w:suppressLineNumbers w:val="0"/>
              <w:wordWrap w:val="0"/>
              <w:spacing w:before="0" w:beforeAutospacing="0" w:after="0" w:afterAutospacing="0" w:line="360" w:lineRule="auto"/>
              <w:ind w:left="0" w:leftChars="0" w:right="0" w:rightChars="0"/>
              <w:jc w:val="center"/>
              <w:rPr>
                <w:rFonts w:hint="default" w:ascii="宋体" w:hAnsi="宋体" w:eastAsia="宋体" w:cs="宋体"/>
                <w:b w:val="0"/>
                <w:bCs w:val="0"/>
                <w:i w:val="0"/>
                <w:iCs w:val="0"/>
                <w:color w:val="auto"/>
                <w:kern w:val="0"/>
                <w:sz w:val="24"/>
                <w:szCs w:val="24"/>
                <w:highlight w:val="none"/>
                <w:lang w:val="en-US" w:eastAsia="zh-CN" w:bidi="ar"/>
              </w:rPr>
            </w:pPr>
            <w:r>
              <w:rPr>
                <w:rFonts w:hint="default" w:ascii="宋体" w:hAnsi="宋体" w:eastAsia="宋体" w:cs="宋体"/>
                <w:b w:val="0"/>
                <w:bCs w:val="0"/>
                <w:i w:val="0"/>
                <w:iCs w:val="0"/>
                <w:color w:val="auto"/>
                <w:kern w:val="0"/>
                <w:sz w:val="24"/>
                <w:szCs w:val="24"/>
                <w:highlight w:val="none"/>
                <w:lang w:val="en-US" w:eastAsia="zh-CN" w:bidi="ar"/>
              </w:rPr>
              <w:t>8200000</w:t>
            </w:r>
            <w:r>
              <w:rPr>
                <w:rFonts w:hint="eastAsia" w:ascii="宋体" w:hAnsi="宋体" w:cs="宋体"/>
                <w:b w:val="0"/>
                <w:bCs w:val="0"/>
                <w:i w:val="0"/>
                <w:iCs w:val="0"/>
                <w:color w:val="auto"/>
                <w:kern w:val="0"/>
                <w:sz w:val="24"/>
                <w:szCs w:val="24"/>
                <w:highlight w:val="none"/>
                <w:lang w:val="en-US" w:eastAsia="zh-CN" w:bidi="ar"/>
              </w:rPr>
              <w:t xml:space="preserve"> </w:t>
            </w:r>
          </w:p>
        </w:tc>
        <w:tc>
          <w:tcPr>
            <w:tcW w:w="2100" w:type="dxa"/>
            <w:noWrap w:val="0"/>
            <w:vAlign w:val="center"/>
          </w:tcPr>
          <w:p w14:paraId="185E405E">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val="0"/>
                <w:bCs w:val="0"/>
                <w:i w:val="0"/>
                <w:i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8200000</w:t>
            </w:r>
          </w:p>
        </w:tc>
      </w:tr>
    </w:tbl>
    <w:p w14:paraId="7A1C4B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采购需求（包括但不限于标的的名称、数量、简要技术需求或服务要求等）</w:t>
      </w:r>
    </w:p>
    <w:p w14:paraId="37966989">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rPr>
        <w:t>：</w:t>
      </w:r>
      <w:r>
        <w:rPr>
          <w:rFonts w:hint="eastAsia" w:ascii="宋体" w:hAnsi="宋体" w:cs="宋体"/>
          <w:color w:val="auto"/>
          <w:sz w:val="24"/>
          <w:highlight w:val="none"/>
          <w:shd w:val="clear" w:color="auto" w:fill="FFFFFF"/>
          <w:lang w:val="en-US" w:eastAsia="zh-CN"/>
        </w:rPr>
        <w:t>采购内容为对垃圾渗滤液进行处理，日处理渗滤液为100吨(进水)，出水率不低于70%</w:t>
      </w:r>
      <w:r>
        <w:rPr>
          <w:rFonts w:hint="eastAsia" w:ascii="宋体" w:hAnsi="宋体" w:cs="宋体"/>
          <w:color w:val="auto"/>
          <w:sz w:val="24"/>
          <w:highlight w:val="none"/>
          <w:shd w:val="clear" w:color="auto" w:fill="FFFFFF"/>
        </w:rPr>
        <w:t>（详见招标文件）。</w:t>
      </w:r>
    </w:p>
    <w:p w14:paraId="523089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）运行周期</w:t>
      </w:r>
      <w:r>
        <w:rPr>
          <w:rFonts w:hint="eastAsia"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lang w:val="en-US" w:eastAsia="zh-CN"/>
        </w:rPr>
        <w:t>2年</w:t>
      </w:r>
    </w:p>
    <w:p w14:paraId="23BE39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val="en-US" w:eastAsia="zh-CN"/>
        </w:rPr>
        <w:t>730日历天</w:t>
      </w:r>
    </w:p>
    <w:p w14:paraId="0B5614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本项目是否接受联合体投标：否 </w:t>
      </w:r>
    </w:p>
    <w:p w14:paraId="58CA7F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是否接受进口产品：否 </w:t>
      </w:r>
    </w:p>
    <w:p w14:paraId="2A91D7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highlight w:val="none"/>
          <w:lang w:eastAsia="zh-CN"/>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是否专门面向中小企业：</w:t>
      </w:r>
      <w:r>
        <w:rPr>
          <w:rFonts w:hint="eastAsia" w:ascii="宋体" w:hAnsi="宋体" w:cs="宋体"/>
          <w:color w:val="auto"/>
          <w:sz w:val="24"/>
          <w:szCs w:val="24"/>
          <w:highlight w:val="none"/>
          <w:lang w:val="en-US" w:eastAsia="zh-CN"/>
        </w:rPr>
        <w:t>是</w:t>
      </w:r>
    </w:p>
    <w:p w14:paraId="3639575C">
      <w:pPr>
        <w:adjustRightInd w:val="0"/>
        <w:snapToGrid w:val="0"/>
        <w:spacing w:line="440" w:lineRule="exact"/>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14:paraId="731B7FCE">
      <w:pPr>
        <w:widowControl/>
        <w:spacing w:line="440" w:lineRule="exact"/>
        <w:ind w:firstLine="480" w:firstLineChars="20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1.符合《中华人民共和国政府采购法》第二十二条之规定；</w:t>
      </w:r>
    </w:p>
    <w:p w14:paraId="43F0957F">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rPr>
        <w:t>2. 落实政府采购政策需满足的资格要求：</w:t>
      </w:r>
      <w:r>
        <w:rPr>
          <w:rFonts w:hint="eastAsia" w:ascii="宋体" w:hAnsi="宋体" w:cs="宋体"/>
          <w:sz w:val="24"/>
          <w:highlight w:val="none"/>
          <w:shd w:val="clear" w:color="auto" w:fill="FFFFFF"/>
        </w:rPr>
        <w:t>促进政府强制采购节能产品及环境标志产品优先采购，该项目全</w:t>
      </w:r>
      <w:r>
        <w:rPr>
          <w:rFonts w:hint="eastAsia" w:ascii="宋体" w:hAnsi="宋体" w:cs="宋体"/>
          <w:sz w:val="24"/>
          <w:highlight w:val="none"/>
          <w:shd w:val="clear" w:color="auto" w:fill="FFFFFF"/>
          <w:lang w:val="en-US" w:eastAsia="zh-CN"/>
        </w:rPr>
        <w:t>部</w:t>
      </w:r>
      <w:r>
        <w:rPr>
          <w:rFonts w:hint="eastAsia" w:ascii="宋体" w:hAnsi="宋体" w:cs="宋体"/>
          <w:sz w:val="24"/>
          <w:highlight w:val="none"/>
          <w:shd w:val="clear" w:color="auto" w:fill="FFFFFF"/>
        </w:rPr>
        <w:t>面向中小企业采购，需要提供中小企业声明函。</w:t>
      </w:r>
      <w:r>
        <w:rPr>
          <w:rFonts w:hint="eastAsia" w:ascii="宋体" w:hAnsi="宋体" w:cs="宋体"/>
          <w:color w:val="auto"/>
          <w:sz w:val="24"/>
          <w:highlight w:val="none"/>
          <w:shd w:val="clear" w:color="auto" w:fill="FFFFFF"/>
          <w:lang w:val="en-US" w:eastAsia="zh-CN"/>
        </w:rPr>
        <w:t xml:space="preserve"> </w:t>
      </w:r>
    </w:p>
    <w:p w14:paraId="6DF80F64">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rPr>
        <w:t>本项目的特定资格要求：</w:t>
      </w:r>
    </w:p>
    <w:p w14:paraId="11D5108A">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3.1.投标人须具有有效的营业执照，并具有实施完成本项目的经营实力和完善的售后服务体系；</w:t>
      </w:r>
    </w:p>
    <w:p w14:paraId="3CD11CA6">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 </w:t>
      </w:r>
    </w:p>
    <w:p w14:paraId="53251B92">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3.3.本项目不接受联合体投标；</w:t>
      </w:r>
    </w:p>
    <w:p w14:paraId="122B0695">
      <w:pPr>
        <w:widowControl/>
        <w:spacing w:line="440" w:lineRule="exact"/>
        <w:ind w:firstLine="480" w:firstLineChars="20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3.4.资格审查方式：资格后审。</w:t>
      </w:r>
    </w:p>
    <w:p w14:paraId="7499DCA3">
      <w:pPr>
        <w:widowControl/>
        <w:spacing w:line="44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三、获取采购文件</w:t>
      </w:r>
    </w:p>
    <w:p w14:paraId="5A11D576">
      <w:pPr>
        <w:pStyle w:val="19"/>
        <w:shd w:val="clear" w:color="auto" w:fill="FFFFFF"/>
        <w:autoSpaceDE w:val="0"/>
        <w:spacing w:before="0" w:beforeAutospacing="0" w:after="0" w:afterAutospacing="0" w:line="44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1.时间：</w:t>
      </w:r>
      <w:r>
        <w:rPr>
          <w:rFonts w:hint="eastAsia" w:ascii="宋体" w:hAnsi="宋体" w:eastAsia="宋体" w:cs="宋体"/>
          <w:color w:val="auto"/>
          <w:highlight w:val="none"/>
          <w:u w:val="single"/>
          <w:lang w:val="en-US" w:eastAsia="zh-CN"/>
        </w:rPr>
        <w:t>2024年</w:t>
      </w:r>
      <w:r>
        <w:rPr>
          <w:rFonts w:hint="eastAsia" w:cs="宋体"/>
          <w:color w:val="auto"/>
          <w:highlight w:val="none"/>
          <w:u w:val="single"/>
          <w:lang w:val="en-US" w:eastAsia="zh-CN"/>
        </w:rPr>
        <w:t>07</w:t>
      </w:r>
      <w:r>
        <w:rPr>
          <w:rFonts w:hint="eastAsia" w:ascii="宋体" w:hAnsi="宋体" w:eastAsia="宋体" w:cs="宋体"/>
          <w:color w:val="auto"/>
          <w:highlight w:val="none"/>
          <w:u w:val="single"/>
          <w:lang w:val="en-US" w:eastAsia="zh-CN"/>
        </w:rPr>
        <w:t>月</w:t>
      </w:r>
      <w:r>
        <w:rPr>
          <w:rFonts w:hint="eastAsia" w:cs="宋体"/>
          <w:color w:val="auto"/>
          <w:highlight w:val="none"/>
          <w:u w:val="single"/>
          <w:lang w:val="en-US" w:eastAsia="zh-CN"/>
        </w:rPr>
        <w:t>05</w:t>
      </w:r>
      <w:r>
        <w:rPr>
          <w:rFonts w:hint="eastAsia" w:ascii="宋体" w:hAnsi="宋体" w:eastAsia="宋体" w:cs="宋体"/>
          <w:color w:val="auto"/>
          <w:highlight w:val="none"/>
          <w:u w:val="single"/>
          <w:lang w:val="en-US" w:eastAsia="zh-CN"/>
        </w:rPr>
        <w:t>日至2024年</w:t>
      </w:r>
      <w:r>
        <w:rPr>
          <w:rFonts w:hint="eastAsia" w:cs="宋体"/>
          <w:color w:val="auto"/>
          <w:highlight w:val="none"/>
          <w:u w:val="single"/>
          <w:lang w:val="en-US" w:eastAsia="zh-CN"/>
        </w:rPr>
        <w:t>07月11</w:t>
      </w:r>
      <w:r>
        <w:rPr>
          <w:rFonts w:hint="eastAsia" w:ascii="宋体" w:hAnsi="宋体" w:eastAsia="宋体" w:cs="宋体"/>
          <w:color w:val="auto"/>
          <w:highlight w:val="none"/>
          <w:u w:val="single"/>
          <w:lang w:val="en-US" w:eastAsia="zh-CN"/>
        </w:rPr>
        <w:t>日</w:t>
      </w:r>
      <w:r>
        <w:rPr>
          <w:rFonts w:hint="eastAsia" w:ascii="宋体" w:hAnsi="宋体" w:eastAsia="宋体" w:cs="宋体"/>
          <w:color w:val="auto"/>
          <w:highlight w:val="none"/>
          <w:lang w:val="en-US" w:eastAsia="zh-CN"/>
        </w:rPr>
        <w:t>每天上午08:00至12:00，下午12:00至23:00（北京时间，法定节假日除外。）</w:t>
      </w:r>
    </w:p>
    <w:p w14:paraId="713E07C9">
      <w:pPr>
        <w:pStyle w:val="19"/>
        <w:shd w:val="clear" w:color="auto" w:fill="FFFFFF"/>
        <w:autoSpaceDE w:val="0"/>
        <w:spacing w:before="0" w:beforeAutospacing="0" w:after="0" w:afterAutospacing="0" w:line="44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2.地点：焦作市公共资源交易中心网站交易平台。</w:t>
      </w:r>
    </w:p>
    <w:p w14:paraId="7B964A1A">
      <w:pPr>
        <w:pStyle w:val="19"/>
        <w:shd w:val="clear" w:color="auto" w:fill="FFFFFF"/>
        <w:autoSpaceDE w:val="0"/>
        <w:spacing w:before="0" w:beforeAutospacing="0" w:after="0" w:afterAutospacing="0" w:line="44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3.方式：本项目采用电子开评标（不见面开标），凡有意参加投标者，请登陆焦作市公共资源交易中心网站交易平台“交易主体登录”栏目下载招标文件。</w:t>
      </w:r>
    </w:p>
    <w:p w14:paraId="31346C74">
      <w:pPr>
        <w:pStyle w:val="19"/>
        <w:shd w:val="clear" w:color="auto" w:fill="FFFFFF"/>
        <w:autoSpaceDE w:val="0"/>
        <w:spacing w:before="0" w:beforeAutospacing="0" w:after="0" w:afterAutospacing="0" w:line="440" w:lineRule="atLeast"/>
        <w:ind w:firstLine="480" w:firstLineChars="200"/>
        <w:rPr>
          <w:rFonts w:hint="eastAsia"/>
          <w:color w:val="auto"/>
          <w:highlight w:val="none"/>
        </w:rPr>
      </w:pPr>
      <w:r>
        <w:rPr>
          <w:rFonts w:hint="eastAsia" w:ascii="宋体" w:hAnsi="宋体" w:eastAsia="宋体" w:cs="宋体"/>
          <w:color w:val="auto"/>
          <w:highlight w:val="none"/>
          <w:lang w:val="en-US" w:eastAsia="zh-CN"/>
        </w:rPr>
        <w:t>4.售价：0元。</w:t>
      </w:r>
    </w:p>
    <w:p w14:paraId="4EE947F7">
      <w:pPr>
        <w:adjustRightInd w:val="0"/>
        <w:snapToGrid w:val="0"/>
        <w:spacing w:line="440" w:lineRule="exact"/>
        <w:rPr>
          <w:rFonts w:hint="eastAsia" w:ascii="宋体" w:hAnsi="宋体" w:eastAsia="宋体" w:cs="宋体"/>
          <w:b/>
          <w:bCs/>
          <w:color w:val="auto"/>
          <w:kern w:val="0"/>
          <w:sz w:val="24"/>
          <w:highlight w:val="none"/>
        </w:rPr>
      </w:pPr>
      <w:r>
        <w:rPr>
          <w:rFonts w:hint="eastAsia" w:ascii="宋体" w:hAnsi="宋体" w:cs="宋体"/>
          <w:b/>
          <w:color w:val="auto"/>
          <w:kern w:val="0"/>
          <w:sz w:val="24"/>
          <w:highlight w:val="none"/>
        </w:rPr>
        <w:t>四、</w:t>
      </w:r>
      <w:r>
        <w:rPr>
          <w:rFonts w:hint="eastAsia" w:ascii="宋体" w:hAnsi="宋体" w:eastAsia="宋体" w:cs="宋体"/>
          <w:b/>
          <w:bCs/>
          <w:color w:val="auto"/>
          <w:kern w:val="0"/>
          <w:sz w:val="24"/>
          <w:highlight w:val="none"/>
          <w:lang w:val="en-US" w:eastAsia="zh-CN"/>
        </w:rPr>
        <w:t>投标截止时间及地点：</w:t>
      </w:r>
    </w:p>
    <w:p w14:paraId="26D00417">
      <w:pPr>
        <w:pStyle w:val="19"/>
        <w:shd w:val="clear" w:color="auto" w:fill="FFFFFF"/>
        <w:autoSpaceDE w:val="0"/>
        <w:spacing w:before="0" w:beforeAutospacing="0" w:after="0" w:afterAutospacing="0" w:line="440" w:lineRule="atLeas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1.时间：</w:t>
      </w:r>
      <w:r>
        <w:rPr>
          <w:rFonts w:hint="eastAsia" w:ascii="宋体" w:hAnsi="宋体" w:cs="宋体"/>
          <w:b/>
          <w:bCs/>
          <w:color w:val="auto"/>
          <w:kern w:val="0"/>
          <w:sz w:val="24"/>
          <w:highlight w:val="none"/>
          <w:u w:val="single"/>
        </w:rPr>
        <w:t>2024年</w:t>
      </w:r>
      <w:r>
        <w:rPr>
          <w:rFonts w:hint="eastAsia" w:ascii="宋体" w:hAnsi="宋体" w:cs="宋体"/>
          <w:b/>
          <w:bCs/>
          <w:color w:val="auto"/>
          <w:kern w:val="0"/>
          <w:sz w:val="24"/>
          <w:highlight w:val="none"/>
          <w:u w:val="single"/>
          <w:lang w:val="en-US" w:eastAsia="zh-CN"/>
        </w:rPr>
        <w:t>07</w:t>
      </w:r>
      <w:r>
        <w:rPr>
          <w:rFonts w:hint="eastAsia" w:ascii="宋体" w:hAnsi="宋体" w:cs="宋体"/>
          <w:b/>
          <w:bCs/>
          <w:color w:val="auto"/>
          <w:kern w:val="0"/>
          <w:sz w:val="24"/>
          <w:highlight w:val="none"/>
          <w:u w:val="single"/>
        </w:rPr>
        <w:t>月</w:t>
      </w:r>
      <w:r>
        <w:rPr>
          <w:rFonts w:hint="eastAsia" w:ascii="宋体" w:hAnsi="宋体" w:cs="宋体"/>
          <w:b/>
          <w:bCs/>
          <w:color w:val="auto"/>
          <w:kern w:val="0"/>
          <w:sz w:val="24"/>
          <w:highlight w:val="none"/>
          <w:u w:val="single"/>
          <w:lang w:val="en-US" w:eastAsia="zh-CN"/>
        </w:rPr>
        <w:t>25</w:t>
      </w:r>
      <w:r>
        <w:rPr>
          <w:rFonts w:hint="eastAsia" w:ascii="宋体" w:hAnsi="宋体" w:cs="宋体"/>
          <w:b/>
          <w:bCs/>
          <w:color w:val="auto"/>
          <w:kern w:val="0"/>
          <w:sz w:val="24"/>
          <w:highlight w:val="none"/>
          <w:u w:val="single"/>
        </w:rPr>
        <w:t>日上午9点00分</w:t>
      </w:r>
      <w:r>
        <w:rPr>
          <w:rFonts w:hint="eastAsia" w:ascii="宋体" w:hAnsi="宋体" w:cs="宋体"/>
          <w:b/>
          <w:bCs/>
          <w:color w:val="auto"/>
          <w:sz w:val="24"/>
          <w:highlight w:val="none"/>
          <w:u w:val="single"/>
        </w:rPr>
        <w:t>（北京时间）</w:t>
      </w:r>
      <w:r>
        <w:rPr>
          <w:rFonts w:hint="eastAsia" w:cs="宋体"/>
          <w:color w:val="auto"/>
          <w:highlight w:val="none"/>
          <w:lang w:val="en-US" w:eastAsia="zh-CN"/>
        </w:rPr>
        <w:t>；</w:t>
      </w:r>
    </w:p>
    <w:p w14:paraId="3C4632EC">
      <w:pPr>
        <w:pStyle w:val="19"/>
        <w:shd w:val="clear" w:color="auto" w:fill="FFFFFF"/>
        <w:autoSpaceDE w:val="0"/>
        <w:spacing w:before="0" w:beforeAutospacing="0" w:after="0" w:afterAutospacing="0" w:line="440" w:lineRule="atLeas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2.地点：博爱县公共资源交易中心二楼不见面开标二室。</w:t>
      </w:r>
    </w:p>
    <w:p w14:paraId="087F5B8A">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五、</w:t>
      </w:r>
      <w:r>
        <w:rPr>
          <w:rFonts w:hint="eastAsia" w:ascii="宋体" w:hAnsi="宋体" w:eastAsia="宋体" w:cs="宋体"/>
          <w:b/>
          <w:bCs/>
          <w:color w:val="auto"/>
          <w:kern w:val="0"/>
          <w:sz w:val="24"/>
          <w:highlight w:val="none"/>
          <w:lang w:val="en-US" w:eastAsia="zh-CN"/>
        </w:rPr>
        <w:t>开标时间及地点：</w:t>
      </w:r>
    </w:p>
    <w:p w14:paraId="4F94F541">
      <w:pPr>
        <w:pStyle w:val="19"/>
        <w:shd w:val="clear" w:color="auto" w:fill="FFFFFF"/>
        <w:autoSpaceDE w:val="0"/>
        <w:spacing w:before="0" w:beforeAutospacing="0" w:after="0" w:afterAutospacing="0" w:line="440" w:lineRule="atLeas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1.时间：</w:t>
      </w:r>
      <w:r>
        <w:rPr>
          <w:rFonts w:hint="eastAsia" w:ascii="宋体" w:hAnsi="宋体" w:cs="宋体"/>
          <w:b/>
          <w:bCs/>
          <w:color w:val="auto"/>
          <w:kern w:val="0"/>
          <w:sz w:val="24"/>
          <w:highlight w:val="none"/>
          <w:u w:val="single"/>
        </w:rPr>
        <w:t>2024年</w:t>
      </w:r>
      <w:r>
        <w:rPr>
          <w:rFonts w:hint="eastAsia" w:ascii="宋体" w:hAnsi="宋体" w:cs="宋体"/>
          <w:b/>
          <w:bCs/>
          <w:color w:val="auto"/>
          <w:kern w:val="0"/>
          <w:sz w:val="24"/>
          <w:highlight w:val="none"/>
          <w:u w:val="single"/>
          <w:lang w:val="en-US" w:eastAsia="zh-CN"/>
        </w:rPr>
        <w:t>07</w:t>
      </w:r>
      <w:r>
        <w:rPr>
          <w:rFonts w:hint="eastAsia" w:ascii="宋体" w:hAnsi="宋体" w:cs="宋体"/>
          <w:b/>
          <w:bCs/>
          <w:color w:val="auto"/>
          <w:kern w:val="0"/>
          <w:sz w:val="24"/>
          <w:highlight w:val="none"/>
          <w:u w:val="single"/>
        </w:rPr>
        <w:t>月</w:t>
      </w:r>
      <w:r>
        <w:rPr>
          <w:rFonts w:hint="eastAsia" w:ascii="宋体" w:hAnsi="宋体" w:cs="宋体"/>
          <w:b/>
          <w:bCs/>
          <w:color w:val="auto"/>
          <w:kern w:val="0"/>
          <w:sz w:val="24"/>
          <w:highlight w:val="none"/>
          <w:u w:val="single"/>
          <w:lang w:val="en-US" w:eastAsia="zh-CN"/>
        </w:rPr>
        <w:t>25</w:t>
      </w:r>
      <w:r>
        <w:rPr>
          <w:rFonts w:hint="eastAsia" w:ascii="宋体" w:hAnsi="宋体" w:cs="宋体"/>
          <w:b/>
          <w:bCs/>
          <w:color w:val="auto"/>
          <w:kern w:val="0"/>
          <w:sz w:val="24"/>
          <w:highlight w:val="none"/>
          <w:u w:val="single"/>
        </w:rPr>
        <w:t>日上午9点00分</w:t>
      </w:r>
      <w:r>
        <w:rPr>
          <w:rFonts w:hint="eastAsia" w:ascii="宋体" w:hAnsi="宋体" w:cs="宋体"/>
          <w:b/>
          <w:bCs/>
          <w:color w:val="auto"/>
          <w:sz w:val="24"/>
          <w:highlight w:val="none"/>
          <w:u w:val="single"/>
        </w:rPr>
        <w:t>（北京时间）</w:t>
      </w:r>
      <w:r>
        <w:rPr>
          <w:rFonts w:hint="eastAsia" w:ascii="宋体" w:hAnsi="宋体" w:eastAsia="宋体" w:cs="宋体"/>
          <w:color w:val="0000FF"/>
          <w:highlight w:val="none"/>
          <w:lang w:val="en-US" w:eastAsia="zh-CN"/>
        </w:rPr>
        <w:t>；</w:t>
      </w:r>
    </w:p>
    <w:p w14:paraId="4E3F3302">
      <w:pPr>
        <w:pStyle w:val="19"/>
        <w:shd w:val="clear" w:color="auto" w:fill="FFFFFF"/>
        <w:autoSpaceDE w:val="0"/>
        <w:spacing w:before="0" w:beforeAutospacing="0" w:after="0" w:afterAutospacing="0" w:line="440" w:lineRule="atLeas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2.地点：博爱县公共资源交易中心二楼不见面开标二室；</w:t>
      </w:r>
    </w:p>
    <w:p w14:paraId="1666DEEF">
      <w:pPr>
        <w:adjustRightInd w:val="0"/>
        <w:snapToGrid w:val="0"/>
        <w:spacing w:line="440" w:lineRule="exact"/>
        <w:rPr>
          <w:rFonts w:hint="eastAsia" w:ascii="宋体" w:hAnsi="宋体" w:eastAsia="宋体" w:cs="宋体"/>
          <w:b/>
          <w:bCs/>
          <w:color w:val="auto"/>
          <w:sz w:val="24"/>
          <w:highlight w:val="none"/>
        </w:rPr>
      </w:pPr>
      <w:r>
        <w:rPr>
          <w:rFonts w:hint="eastAsia" w:ascii="宋体" w:hAnsi="宋体" w:cs="宋体"/>
          <w:b/>
          <w:bCs/>
          <w:color w:val="auto"/>
          <w:sz w:val="24"/>
          <w:highlight w:val="none"/>
        </w:rPr>
        <w:t>六、</w:t>
      </w:r>
      <w:r>
        <w:rPr>
          <w:rFonts w:hint="eastAsia" w:ascii="宋体" w:hAnsi="宋体" w:eastAsia="宋体" w:cs="宋体"/>
          <w:b/>
          <w:bCs/>
          <w:color w:val="auto"/>
          <w:sz w:val="24"/>
          <w:highlight w:val="none"/>
          <w:lang w:val="en-US" w:eastAsia="zh-CN"/>
        </w:rPr>
        <w:t>发布公告的媒介及招标公告期限：</w:t>
      </w:r>
    </w:p>
    <w:p w14:paraId="4A49E92C">
      <w:pPr>
        <w:pStyle w:val="19"/>
        <w:shd w:val="clear" w:color="auto" w:fill="FFFFFF"/>
        <w:autoSpaceDE w:val="0"/>
        <w:spacing w:before="0" w:beforeAutospacing="0" w:after="0" w:afterAutospacing="0" w:line="440" w:lineRule="atLeas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次本公告在中国招标投标公共服务平台、河南省政府采购网、焦作市政府采购网、焦作市公共资源交易中心网、博爱县人民政府网、博爱县公共资源交易中心网http://www.baxggzyjyzx.cn/上发布，招标公告期限为五个工作日。</w:t>
      </w:r>
    </w:p>
    <w:p w14:paraId="4FE2ABC9">
      <w:pPr>
        <w:adjustRightInd w:val="0"/>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3533407B">
      <w:pPr>
        <w:pStyle w:val="19"/>
        <w:spacing w:beforeAutospacing="0" w:afterAutospacing="0" w:line="440" w:lineRule="exact"/>
        <w:ind w:firstLine="468" w:firstLineChars="195"/>
        <w:jc w:val="both"/>
        <w:rPr>
          <w:color w:val="auto"/>
          <w:highlight w:val="none"/>
        </w:rPr>
      </w:pPr>
      <w:r>
        <w:rPr>
          <w:rFonts w:hint="eastAsia"/>
          <w:color w:val="auto"/>
          <w:highlight w:val="none"/>
          <w:lang w:val="en-US" w:eastAsia="zh-CN"/>
        </w:rPr>
        <w:t>1</w:t>
      </w:r>
      <w:r>
        <w:rPr>
          <w:rFonts w:hint="eastAsia"/>
          <w:color w:val="auto"/>
          <w:highlight w:val="none"/>
        </w:rPr>
        <w:t>.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14:paraId="363CB0EB">
      <w:pPr>
        <w:pStyle w:val="19"/>
        <w:spacing w:beforeAutospacing="0" w:afterAutospacing="0" w:line="440" w:lineRule="exact"/>
        <w:ind w:firstLine="468" w:firstLineChars="195"/>
        <w:jc w:val="both"/>
        <w:rPr>
          <w:color w:val="auto"/>
          <w:highlight w:val="none"/>
        </w:rPr>
      </w:pPr>
      <w:r>
        <w:rPr>
          <w:rFonts w:hint="eastAsia"/>
          <w:color w:val="auto"/>
          <w:highlight w:val="none"/>
          <w:lang w:val="en-US" w:eastAsia="zh-CN"/>
        </w:rPr>
        <w:t>2</w:t>
      </w:r>
      <w:r>
        <w:rPr>
          <w:rFonts w:hint="eastAsia"/>
          <w:color w:val="auto"/>
          <w:highlight w:val="none"/>
        </w:rPr>
        <w:t>.供应商无需到现场参加开标会议，无需到达现场提交原件资料。供应商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14:paraId="56D51A92">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14:paraId="0D00F4DA">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14:paraId="146A42A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440" w:lineRule="exact"/>
        <w:ind w:firstLine="440" w:firstLineChars="200"/>
        <w:textAlignment w:val="baseline"/>
        <w:outlineLvl w:val="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采购人：</w:t>
      </w:r>
      <w:r>
        <w:rPr>
          <w:rFonts w:hint="eastAsia" w:ascii="宋体" w:hAnsi="宋体" w:cs="宋体"/>
          <w:color w:val="auto"/>
          <w:spacing w:val="-10"/>
          <w:sz w:val="24"/>
          <w:szCs w:val="24"/>
          <w:highlight w:val="none"/>
          <w:lang w:val="en-US" w:eastAsia="zh-CN"/>
        </w:rPr>
        <w:t>博爱县城市管理局</w:t>
      </w:r>
      <w:r>
        <w:rPr>
          <w:rFonts w:hint="eastAsia" w:ascii="宋体" w:hAnsi="宋体" w:eastAsia="宋体" w:cs="宋体"/>
          <w:color w:val="auto"/>
          <w:spacing w:val="-10"/>
          <w:sz w:val="24"/>
          <w:szCs w:val="24"/>
          <w:highlight w:val="none"/>
          <w:lang w:val="en-US" w:eastAsia="zh-CN"/>
        </w:rPr>
        <w:t xml:space="preserve"> </w:t>
      </w:r>
    </w:p>
    <w:p w14:paraId="20A5E8E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440" w:lineRule="exact"/>
        <w:ind w:firstLine="440" w:firstLineChars="200"/>
        <w:textAlignment w:val="baseline"/>
        <w:outlineLvl w:val="0"/>
        <w:rPr>
          <w:rFonts w:ascii="宋体" w:hAnsi="宋体" w:cs="宋体"/>
          <w:color w:val="auto"/>
          <w:kern w:val="0"/>
          <w:sz w:val="24"/>
          <w:highlight w:val="none"/>
        </w:rPr>
      </w:pPr>
      <w:r>
        <w:rPr>
          <w:rFonts w:hint="eastAsia" w:ascii="宋体" w:hAnsi="宋体" w:eastAsia="宋体" w:cs="宋体"/>
          <w:color w:val="auto"/>
          <w:spacing w:val="-10"/>
          <w:sz w:val="24"/>
          <w:szCs w:val="24"/>
          <w:highlight w:val="none"/>
          <w:lang w:val="en-US" w:eastAsia="zh-CN"/>
        </w:rPr>
        <w:t>地  址：</w:t>
      </w:r>
      <w:r>
        <w:rPr>
          <w:rFonts w:hint="eastAsia" w:ascii="宋体" w:hAnsi="宋体" w:eastAsia="宋体" w:cs="宋体"/>
          <w:color w:val="auto"/>
          <w:spacing w:val="-6"/>
          <w:sz w:val="24"/>
          <w:szCs w:val="24"/>
        </w:rPr>
        <w:t>博爱县</w:t>
      </w:r>
      <w:r>
        <w:rPr>
          <w:rFonts w:hint="eastAsia" w:ascii="宋体" w:hAnsi="宋体" w:eastAsia="宋体" w:cs="宋体"/>
          <w:color w:val="auto"/>
          <w:spacing w:val="-6"/>
          <w:sz w:val="24"/>
          <w:szCs w:val="24"/>
          <w:lang w:val="en-US" w:eastAsia="zh-CN"/>
        </w:rPr>
        <w:t>鸿昌街道办事处劳动街</w:t>
      </w:r>
      <w:r>
        <w:rPr>
          <w:rFonts w:hint="eastAsia" w:ascii="宋体" w:hAnsi="宋体" w:cs="宋体"/>
          <w:color w:val="auto"/>
          <w:spacing w:val="-10"/>
          <w:sz w:val="24"/>
          <w:szCs w:val="24"/>
          <w:highlight w:val="none"/>
          <w:lang w:val="en-US" w:eastAsia="zh-CN"/>
        </w:rPr>
        <w:t xml:space="preserve"> </w:t>
      </w:r>
    </w:p>
    <w:p w14:paraId="38C1EBDF">
      <w:pPr>
        <w:adjustRightInd w:val="0"/>
        <w:snapToGrid w:val="0"/>
        <w:spacing w:line="440" w:lineRule="exact"/>
        <w:ind w:firstLine="480" w:firstLineChars="200"/>
        <w:rPr>
          <w:rFonts w:hint="eastAsia" w:ascii="宋体" w:hAnsi="宋体" w:eastAsia="宋体" w:cs="宋体"/>
          <w:color w:val="auto"/>
          <w:spacing w:val="-6"/>
          <w:sz w:val="24"/>
          <w:szCs w:val="24"/>
          <w:lang w:val="en-US" w:eastAsia="zh-CN"/>
        </w:rPr>
      </w:pPr>
      <w:r>
        <w:rPr>
          <w:rFonts w:hint="eastAsia" w:ascii="宋体" w:hAnsi="宋体" w:cs="宋体"/>
          <w:color w:val="auto"/>
          <w:kern w:val="0"/>
          <w:sz w:val="24"/>
          <w:highlight w:val="none"/>
        </w:rPr>
        <w:t>联系人：</w:t>
      </w:r>
      <w:r>
        <w:rPr>
          <w:rFonts w:hint="eastAsia" w:ascii="宋体" w:hAnsi="宋体" w:cs="宋体"/>
          <w:color w:val="auto"/>
          <w:spacing w:val="-6"/>
          <w:sz w:val="24"/>
          <w:szCs w:val="24"/>
          <w:lang w:val="en-US" w:eastAsia="zh-CN"/>
        </w:rPr>
        <w:t>杨</w:t>
      </w:r>
      <w:r>
        <w:rPr>
          <w:rFonts w:hint="eastAsia" w:ascii="宋体" w:hAnsi="宋体" w:eastAsia="宋体" w:cs="宋体"/>
          <w:color w:val="auto"/>
          <w:spacing w:val="-6"/>
          <w:sz w:val="24"/>
          <w:szCs w:val="24"/>
          <w:lang w:val="en-US" w:eastAsia="zh-CN"/>
        </w:rPr>
        <w:t>先生</w:t>
      </w:r>
    </w:p>
    <w:p w14:paraId="7AABCAC9">
      <w:pPr>
        <w:adjustRightInd w:val="0"/>
        <w:snapToGrid w:val="0"/>
        <w:spacing w:line="44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电话：</w:t>
      </w:r>
      <w:r>
        <w:rPr>
          <w:rFonts w:hint="eastAsia" w:ascii="宋体" w:hAnsi="宋体" w:cs="宋体"/>
          <w:color w:val="auto"/>
          <w:spacing w:val="-6"/>
          <w:sz w:val="24"/>
          <w:szCs w:val="24"/>
          <w:lang w:val="en-US" w:eastAsia="zh-CN"/>
        </w:rPr>
        <w:t>13782674338</w:t>
      </w:r>
    </w:p>
    <w:p w14:paraId="11F69B30">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14:paraId="3067D04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440" w:lineRule="exact"/>
        <w:ind w:firstLine="440" w:firstLineChars="200"/>
        <w:textAlignment w:val="baseline"/>
        <w:outlineLvl w:val="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名  称：河南古基工程管理有限公司</w:t>
      </w:r>
    </w:p>
    <w:p w14:paraId="6FAA25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440" w:lineRule="exact"/>
        <w:ind w:firstLine="440" w:firstLineChars="200"/>
        <w:textAlignment w:val="baseline"/>
        <w:outlineLvl w:val="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地址：河南省安阳市汤阴县城关镇集贤路15号院</w:t>
      </w:r>
    </w:p>
    <w:p w14:paraId="6E0F6FA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440" w:lineRule="exact"/>
        <w:ind w:firstLine="440" w:firstLineChars="200"/>
        <w:textAlignment w:val="baseline"/>
        <w:outlineLvl w:val="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联系人：王先生</w:t>
      </w:r>
    </w:p>
    <w:p w14:paraId="322FB0A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440" w:lineRule="exact"/>
        <w:ind w:firstLine="440" w:firstLineChars="200"/>
        <w:textAlignment w:val="baseline"/>
        <w:outlineLvl w:val="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电话：15539150112</w:t>
      </w:r>
      <w:r>
        <w:rPr>
          <w:rFonts w:hint="eastAsia" w:ascii="宋体" w:hAnsi="宋体" w:cs="宋体"/>
          <w:color w:val="auto"/>
          <w:spacing w:val="-10"/>
          <w:sz w:val="24"/>
          <w:szCs w:val="24"/>
          <w:highlight w:val="none"/>
          <w:lang w:val="en-US" w:eastAsia="zh-CN"/>
        </w:rPr>
        <w:t xml:space="preserve"> </w:t>
      </w:r>
    </w:p>
    <w:p w14:paraId="7B2E4BD4">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r>
        <w:rPr>
          <w:rFonts w:hint="eastAsia" w:ascii="宋体" w:hAnsi="宋体" w:cs="宋体"/>
          <w:color w:val="auto"/>
          <w:sz w:val="24"/>
          <w:highlight w:val="none"/>
        </w:rPr>
        <w:tab/>
      </w:r>
    </w:p>
    <w:p w14:paraId="34B9326F">
      <w:pPr>
        <w:adjustRightInd w:val="0"/>
        <w:snapToGrid w:val="0"/>
        <w:spacing w:line="440" w:lineRule="exact"/>
        <w:ind w:firstLine="480" w:firstLineChars="200"/>
        <w:rPr>
          <w:rFonts w:hint="eastAsia" w:ascii="宋体" w:hAnsi="宋体" w:eastAsia="宋体" w:cs="宋体"/>
          <w:color w:val="auto"/>
          <w:spacing w:val="-6"/>
          <w:sz w:val="24"/>
          <w:szCs w:val="24"/>
          <w:lang w:val="en-US" w:eastAsia="zh-CN"/>
        </w:rPr>
      </w:pPr>
      <w:r>
        <w:rPr>
          <w:rFonts w:hint="eastAsia" w:ascii="宋体" w:hAnsi="宋体" w:cs="宋体"/>
          <w:color w:val="auto"/>
          <w:sz w:val="24"/>
          <w:highlight w:val="none"/>
        </w:rPr>
        <w:t>项目联系人：</w:t>
      </w:r>
      <w:r>
        <w:rPr>
          <w:rFonts w:hint="eastAsia" w:ascii="宋体" w:hAnsi="宋体" w:cs="宋体"/>
          <w:color w:val="auto"/>
          <w:spacing w:val="-6"/>
          <w:sz w:val="24"/>
          <w:szCs w:val="24"/>
          <w:lang w:val="en-US" w:eastAsia="zh-CN"/>
        </w:rPr>
        <w:t>杨</w:t>
      </w:r>
      <w:r>
        <w:rPr>
          <w:rFonts w:hint="eastAsia" w:ascii="宋体" w:hAnsi="宋体" w:eastAsia="宋体" w:cs="宋体"/>
          <w:color w:val="auto"/>
          <w:spacing w:val="-6"/>
          <w:sz w:val="24"/>
          <w:szCs w:val="24"/>
          <w:lang w:val="en-US" w:eastAsia="zh-CN"/>
        </w:rPr>
        <w:t>先生</w:t>
      </w:r>
    </w:p>
    <w:p w14:paraId="60DA560B">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电话：</w:t>
      </w:r>
      <w:r>
        <w:rPr>
          <w:rFonts w:hint="eastAsia" w:ascii="宋体" w:hAnsi="宋体" w:cs="宋体"/>
          <w:color w:val="auto"/>
          <w:spacing w:val="-6"/>
          <w:sz w:val="24"/>
          <w:szCs w:val="24"/>
          <w:lang w:val="en-US" w:eastAsia="zh-CN"/>
        </w:rPr>
        <w:t>13782674338</w:t>
      </w:r>
    </w:p>
    <w:p w14:paraId="7FB9736B">
      <w:pPr>
        <w:widowControl/>
        <w:spacing w:line="440" w:lineRule="exact"/>
        <w:rPr>
          <w:rFonts w:ascii="宋体" w:hAnsi="宋体" w:cs="宋体"/>
          <w:color w:val="auto"/>
          <w:sz w:val="24"/>
          <w:highlight w:val="none"/>
        </w:rPr>
      </w:pPr>
    </w:p>
    <w:p w14:paraId="2C57E1E3">
      <w:pPr>
        <w:widowControl/>
        <w:spacing w:line="440" w:lineRule="exact"/>
        <w:ind w:left="2940" w:firstLine="42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shd w:val="clear" w:color="auto" w:fill="FFFFFF"/>
          <w:lang w:eastAsia="zh-CN"/>
        </w:rPr>
        <w:t>博爱县城市管理局</w:t>
      </w:r>
    </w:p>
    <w:p w14:paraId="69B98C8A">
      <w:pPr>
        <w:widowControl/>
        <w:spacing w:line="440" w:lineRule="exact"/>
        <w:ind w:left="2940" w:firstLine="42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rPr>
        <w:t>采购代理机构：</w:t>
      </w:r>
      <w:r>
        <w:rPr>
          <w:rFonts w:hint="eastAsia" w:ascii="宋体" w:hAnsi="宋体" w:cs="宋体"/>
          <w:color w:val="auto"/>
          <w:sz w:val="24"/>
          <w:highlight w:val="none"/>
          <w:shd w:val="clear" w:color="auto" w:fill="FFFFFF"/>
          <w:lang w:eastAsia="zh-CN"/>
        </w:rPr>
        <w:t>河南古基工程管理有限公司</w:t>
      </w:r>
    </w:p>
    <w:p w14:paraId="58464F51">
      <w:pPr>
        <w:widowControl/>
        <w:spacing w:line="440" w:lineRule="exact"/>
        <w:ind w:left="2940" w:firstLine="420"/>
        <w:rPr>
          <w:color w:val="auto"/>
          <w:highlight w:val="none"/>
        </w:rPr>
      </w:pPr>
      <w:r>
        <w:rPr>
          <w:rFonts w:hint="eastAsia" w:ascii="宋体" w:hAnsi="宋体" w:cs="宋体"/>
          <w:color w:val="auto"/>
          <w:sz w:val="24"/>
          <w:highlight w:val="none"/>
        </w:rPr>
        <w:t>发布时间：2024年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04</w:t>
      </w:r>
      <w:r>
        <w:rPr>
          <w:rFonts w:hint="eastAsia" w:ascii="宋体" w:hAnsi="宋体" w:cs="宋体"/>
          <w:color w:val="auto"/>
          <w:sz w:val="24"/>
          <w:highlight w:val="none"/>
        </w:rPr>
        <w:t>日</w:t>
      </w:r>
    </w:p>
    <w:p w14:paraId="1B579A79">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bookmarkStart w:id="6" w:name="_Toc27816"/>
      <w:bookmarkStart w:id="7" w:name="_Toc21974"/>
    </w:p>
    <w:p w14:paraId="3B110AB0">
      <w:pPr>
        <w:autoSpaceDE w:val="0"/>
        <w:autoSpaceDN w:val="0"/>
        <w:adjustRightIn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第二章  供应商须知</w:t>
      </w:r>
      <w:bookmarkEnd w:id="6"/>
      <w:bookmarkEnd w:id="7"/>
    </w:p>
    <w:bookmarkEnd w:id="0"/>
    <w:p w14:paraId="0A24045D">
      <w:pPr>
        <w:pStyle w:val="20"/>
        <w:spacing w:before="0" w:after="0" w:line="360" w:lineRule="auto"/>
        <w:ind w:right="-23" w:rightChars="-11"/>
        <w:outlineLvl w:val="1"/>
        <w:rPr>
          <w:rFonts w:asciiTheme="minorEastAsia" w:hAnsiTheme="minorEastAsia" w:eastAsiaTheme="minorEastAsia" w:cstheme="minorEastAsia"/>
          <w:color w:val="auto"/>
          <w:sz w:val="30"/>
          <w:szCs w:val="30"/>
          <w:highlight w:val="none"/>
        </w:rPr>
      </w:pPr>
      <w:bookmarkStart w:id="8" w:name="_Toc426369478"/>
      <w:bookmarkStart w:id="9" w:name="_Toc14655"/>
      <w:bookmarkStart w:id="10" w:name="_Toc403122490"/>
      <w:bookmarkStart w:id="11" w:name="_Toc9161"/>
      <w:bookmarkStart w:id="12" w:name="_Toc32497"/>
      <w:bookmarkStart w:id="13" w:name="_Toc31932"/>
      <w:r>
        <w:rPr>
          <w:rFonts w:hint="eastAsia" w:asciiTheme="minorEastAsia" w:hAnsiTheme="minorEastAsia" w:eastAsiaTheme="minorEastAsia" w:cstheme="minorEastAsia"/>
          <w:color w:val="auto"/>
          <w:sz w:val="30"/>
          <w:szCs w:val="30"/>
          <w:highlight w:val="none"/>
        </w:rPr>
        <w:t>供应商须知前附表</w:t>
      </w:r>
      <w:bookmarkEnd w:id="8"/>
      <w:bookmarkEnd w:id="9"/>
      <w:bookmarkEnd w:id="10"/>
      <w:bookmarkEnd w:id="11"/>
      <w:bookmarkEnd w:id="12"/>
      <w:bookmarkEnd w:id="13"/>
    </w:p>
    <w:tbl>
      <w:tblPr>
        <w:tblStyle w:val="21"/>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14:paraId="4AB8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43E0EF5">
            <w:pPr>
              <w:pStyle w:val="15"/>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条款号</w:t>
            </w:r>
          </w:p>
        </w:tc>
        <w:tc>
          <w:tcPr>
            <w:tcW w:w="2318" w:type="dxa"/>
            <w:vAlign w:val="center"/>
          </w:tcPr>
          <w:p w14:paraId="6E4C63E0">
            <w:pPr>
              <w:pStyle w:val="15"/>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条款名称</w:t>
            </w:r>
          </w:p>
        </w:tc>
        <w:tc>
          <w:tcPr>
            <w:tcW w:w="6112" w:type="dxa"/>
            <w:vAlign w:val="center"/>
          </w:tcPr>
          <w:p w14:paraId="0F5E0D72">
            <w:pPr>
              <w:pStyle w:val="15"/>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编列内容</w:t>
            </w:r>
          </w:p>
        </w:tc>
      </w:tr>
      <w:tr w14:paraId="697C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E6893AC">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14:paraId="5937D61B">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w:t>
            </w:r>
          </w:p>
        </w:tc>
        <w:tc>
          <w:tcPr>
            <w:tcW w:w="6112" w:type="dxa"/>
            <w:vAlign w:val="center"/>
          </w:tcPr>
          <w:p w14:paraId="4E4632A0">
            <w:pPr>
              <w:pStyle w:val="15"/>
              <w:spacing w:line="36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名称</w:t>
            </w:r>
            <w:r>
              <w:rPr>
                <w:rFonts w:hint="default"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eastAsia="zh-CN"/>
              </w:rPr>
              <w:t>博爱县城市管理局</w:t>
            </w:r>
            <w:r>
              <w:rPr>
                <w:rFonts w:hint="default" w:asciiTheme="minorEastAsia" w:hAnsiTheme="minorEastAsia" w:eastAsiaTheme="minorEastAsia" w:cstheme="minorEastAsia"/>
                <w:color w:val="auto"/>
                <w:highlight w:val="none"/>
                <w:lang w:val="en-US" w:eastAsia="zh-CN"/>
              </w:rPr>
              <w:t xml:space="preserve"> </w:t>
            </w:r>
          </w:p>
          <w:p w14:paraId="342C0060">
            <w:pPr>
              <w:pStyle w:val="15"/>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lang w:val="en-US" w:eastAsia="zh-CN"/>
              </w:rPr>
              <w:t>地  址：</w:t>
            </w:r>
            <w:r>
              <w:rPr>
                <w:rFonts w:hint="default" w:asciiTheme="minorEastAsia" w:hAnsiTheme="minorEastAsia" w:eastAsiaTheme="minorEastAsia" w:cstheme="minorEastAsia"/>
                <w:color w:val="auto"/>
                <w:highlight w:val="none"/>
              </w:rPr>
              <w:t>博爱县</w:t>
            </w:r>
            <w:r>
              <w:rPr>
                <w:rFonts w:hint="default" w:asciiTheme="minorEastAsia" w:hAnsiTheme="minorEastAsia" w:eastAsiaTheme="minorEastAsia" w:cstheme="minorEastAsia"/>
                <w:color w:val="auto"/>
                <w:highlight w:val="none"/>
                <w:lang w:val="en-US" w:eastAsia="zh-CN"/>
              </w:rPr>
              <w:t xml:space="preserve">鸿昌街道办事处劳动街 </w:t>
            </w:r>
          </w:p>
          <w:p w14:paraId="1295E8CB">
            <w:pPr>
              <w:pStyle w:val="15"/>
              <w:spacing w:line="360" w:lineRule="exact"/>
              <w:rPr>
                <w:rFonts w:hint="default" w:asciiTheme="minorEastAsia" w:hAnsiTheme="minorEastAsia" w:eastAsiaTheme="minorEastAsia" w:cstheme="minorEastAsia"/>
                <w:color w:val="auto"/>
                <w:highlight w:val="none"/>
                <w:lang w:val="en-US" w:eastAsia="zh-CN"/>
              </w:rPr>
            </w:pPr>
            <w:r>
              <w:rPr>
                <w:rFonts w:hint="default" w:asciiTheme="minorEastAsia" w:hAnsiTheme="minorEastAsia" w:eastAsiaTheme="minorEastAsia" w:cstheme="minorEastAsia"/>
                <w:color w:val="auto"/>
                <w:highlight w:val="none"/>
              </w:rPr>
              <w:t>联系人：</w:t>
            </w:r>
            <w:r>
              <w:rPr>
                <w:rFonts w:hint="default" w:asciiTheme="minorEastAsia" w:hAnsiTheme="minorEastAsia" w:eastAsiaTheme="minorEastAsia" w:cstheme="minorEastAsia"/>
                <w:color w:val="auto"/>
                <w:highlight w:val="none"/>
                <w:lang w:val="en-US" w:eastAsia="zh-CN"/>
              </w:rPr>
              <w:t>杨先生</w:t>
            </w:r>
          </w:p>
          <w:p w14:paraId="11394127">
            <w:pPr>
              <w:pStyle w:val="15"/>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电话：</w:t>
            </w:r>
            <w:r>
              <w:rPr>
                <w:rFonts w:hint="default" w:asciiTheme="minorEastAsia" w:hAnsiTheme="minorEastAsia" w:eastAsiaTheme="minorEastAsia" w:cstheme="minorEastAsia"/>
                <w:color w:val="auto"/>
                <w:highlight w:val="none"/>
                <w:lang w:val="en-US" w:eastAsia="zh-CN"/>
              </w:rPr>
              <w:t>13782674338</w:t>
            </w:r>
          </w:p>
        </w:tc>
      </w:tr>
      <w:tr w14:paraId="37FD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46D55E3">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1.1.3</w:t>
            </w:r>
          </w:p>
        </w:tc>
        <w:tc>
          <w:tcPr>
            <w:tcW w:w="2318" w:type="dxa"/>
            <w:vAlign w:val="center"/>
          </w:tcPr>
          <w:p w14:paraId="32AE600B">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采购代理机构</w:t>
            </w:r>
          </w:p>
        </w:tc>
        <w:tc>
          <w:tcPr>
            <w:tcW w:w="6112" w:type="dxa"/>
            <w:vAlign w:val="center"/>
          </w:tcPr>
          <w:p w14:paraId="18E987B6">
            <w:pPr>
              <w:pStyle w:val="15"/>
              <w:spacing w:line="360" w:lineRule="exact"/>
              <w:rPr>
                <w:rFonts w:hint="default" w:asciiTheme="minorEastAsia" w:hAnsiTheme="minorEastAsia" w:eastAsiaTheme="minorEastAsia" w:cstheme="minorEastAsia"/>
                <w:color w:val="auto"/>
                <w:highlight w:val="none"/>
                <w:lang w:val="en-US" w:eastAsia="zh-CN"/>
              </w:rPr>
            </w:pPr>
            <w:r>
              <w:rPr>
                <w:rFonts w:hint="default" w:asciiTheme="minorEastAsia" w:hAnsiTheme="minorEastAsia" w:eastAsiaTheme="minorEastAsia" w:cstheme="minorEastAsia"/>
                <w:color w:val="auto"/>
                <w:highlight w:val="none"/>
                <w:lang w:val="en-US" w:eastAsia="zh-CN"/>
              </w:rPr>
              <w:t>名  称：河南古基工程管理有限公司</w:t>
            </w:r>
          </w:p>
          <w:p w14:paraId="1729C351">
            <w:pPr>
              <w:pStyle w:val="15"/>
              <w:spacing w:line="360" w:lineRule="exact"/>
              <w:rPr>
                <w:rFonts w:hint="default" w:asciiTheme="minorEastAsia" w:hAnsiTheme="minorEastAsia" w:eastAsiaTheme="minorEastAsia" w:cstheme="minorEastAsia"/>
                <w:color w:val="auto"/>
                <w:highlight w:val="none"/>
                <w:lang w:val="en-US" w:eastAsia="zh-CN"/>
              </w:rPr>
            </w:pPr>
            <w:r>
              <w:rPr>
                <w:rFonts w:hint="default" w:asciiTheme="minorEastAsia" w:hAnsiTheme="minorEastAsia" w:eastAsiaTheme="minorEastAsia" w:cstheme="minorEastAsia"/>
                <w:color w:val="auto"/>
                <w:highlight w:val="none"/>
                <w:lang w:val="en-US" w:eastAsia="zh-CN"/>
              </w:rPr>
              <w:t>地址：河南省安阳市汤阴县城关镇集贤路15号院</w:t>
            </w:r>
          </w:p>
          <w:p w14:paraId="1B6E2756">
            <w:pPr>
              <w:pStyle w:val="15"/>
              <w:spacing w:line="360" w:lineRule="exact"/>
              <w:rPr>
                <w:rFonts w:hint="default" w:asciiTheme="minorEastAsia" w:hAnsiTheme="minorEastAsia" w:eastAsiaTheme="minorEastAsia" w:cstheme="minorEastAsia"/>
                <w:color w:val="auto"/>
                <w:highlight w:val="none"/>
                <w:lang w:val="en-US" w:eastAsia="zh-CN"/>
              </w:rPr>
            </w:pPr>
            <w:r>
              <w:rPr>
                <w:rFonts w:hint="default" w:asciiTheme="minorEastAsia" w:hAnsiTheme="minorEastAsia" w:eastAsiaTheme="minorEastAsia" w:cstheme="minorEastAsia"/>
                <w:color w:val="auto"/>
                <w:highlight w:val="none"/>
                <w:lang w:val="en-US" w:eastAsia="zh-CN"/>
              </w:rPr>
              <w:t>联系人：王先生</w:t>
            </w:r>
          </w:p>
          <w:p w14:paraId="0E707308">
            <w:pPr>
              <w:pStyle w:val="3"/>
              <w:rPr>
                <w:rFonts w:hint="default"/>
                <w:color w:val="auto"/>
                <w:highlight w:val="none"/>
              </w:rPr>
            </w:pPr>
            <w:r>
              <w:rPr>
                <w:rFonts w:hint="default"/>
                <w:color w:val="auto"/>
                <w:highlight w:val="none"/>
              </w:rPr>
              <w:t>电话：</w:t>
            </w:r>
            <w:r>
              <w:rPr>
                <w:rFonts w:hint="default" w:asciiTheme="minorEastAsia" w:hAnsiTheme="minorEastAsia" w:eastAsiaTheme="minorEastAsia" w:cstheme="minorEastAsia"/>
                <w:color w:val="auto"/>
                <w:kern w:val="2"/>
                <w:sz w:val="21"/>
                <w:szCs w:val="21"/>
                <w:highlight w:val="none"/>
                <w:lang w:val="en-US" w:eastAsia="zh-CN" w:bidi="ar-SA"/>
              </w:rPr>
              <w:t>15539150112</w:t>
            </w:r>
          </w:p>
        </w:tc>
      </w:tr>
      <w:tr w14:paraId="2522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015650FF">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1.1.4</w:t>
            </w:r>
          </w:p>
        </w:tc>
        <w:tc>
          <w:tcPr>
            <w:tcW w:w="2318" w:type="dxa"/>
            <w:vAlign w:val="center"/>
          </w:tcPr>
          <w:p w14:paraId="62DAC97E">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112" w:type="dxa"/>
            <w:vAlign w:val="center"/>
          </w:tcPr>
          <w:p w14:paraId="3ABE51E5">
            <w:pPr>
              <w:adjustRightInd w:val="0"/>
              <w:snapToGrid w:val="0"/>
              <w:spacing w:line="4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Cs/>
                <w:iCs/>
                <w:color w:val="auto"/>
                <w:szCs w:val="21"/>
                <w:highlight w:val="none"/>
                <w:lang w:eastAsia="zh-CN"/>
              </w:rPr>
              <w:t>博爱县垃圾处理场渗滤液处理设备及运行提标改造项目</w:t>
            </w:r>
          </w:p>
        </w:tc>
      </w:tr>
      <w:tr w14:paraId="5C72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79628B4A">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1.1.5</w:t>
            </w:r>
          </w:p>
        </w:tc>
        <w:tc>
          <w:tcPr>
            <w:tcW w:w="2318" w:type="dxa"/>
            <w:vAlign w:val="center"/>
          </w:tcPr>
          <w:p w14:paraId="73D62743">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iCs/>
                <w:color w:val="auto"/>
                <w:szCs w:val="21"/>
                <w:highlight w:val="none"/>
                <w:lang w:val="en-US" w:eastAsia="zh-CN"/>
              </w:rPr>
              <w:t>服务</w:t>
            </w:r>
            <w:r>
              <w:rPr>
                <w:rFonts w:hint="eastAsia" w:asciiTheme="minorEastAsia" w:hAnsiTheme="minorEastAsia" w:eastAsiaTheme="minorEastAsia" w:cstheme="minorEastAsia"/>
                <w:bCs/>
                <w:iCs/>
                <w:color w:val="auto"/>
                <w:szCs w:val="21"/>
                <w:highlight w:val="none"/>
              </w:rPr>
              <w:t>地点</w:t>
            </w:r>
          </w:p>
        </w:tc>
        <w:tc>
          <w:tcPr>
            <w:tcW w:w="6112" w:type="dxa"/>
            <w:vAlign w:val="center"/>
          </w:tcPr>
          <w:p w14:paraId="35C76E27">
            <w:pPr>
              <w:pStyle w:val="15"/>
              <w:spacing w:line="3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博爱县</w:t>
            </w:r>
          </w:p>
        </w:tc>
      </w:tr>
      <w:tr w14:paraId="3628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CC39385">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1.2.1</w:t>
            </w:r>
          </w:p>
        </w:tc>
        <w:tc>
          <w:tcPr>
            <w:tcW w:w="2318" w:type="dxa"/>
            <w:vAlign w:val="center"/>
          </w:tcPr>
          <w:p w14:paraId="70047A98">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资金来源</w:t>
            </w:r>
          </w:p>
        </w:tc>
        <w:tc>
          <w:tcPr>
            <w:tcW w:w="6112" w:type="dxa"/>
            <w:vAlign w:val="center"/>
          </w:tcPr>
          <w:p w14:paraId="62055B91">
            <w:pPr>
              <w:pStyle w:val="15"/>
              <w:spacing w:line="360" w:lineRule="exact"/>
              <w:rPr>
                <w:rFonts w:hint="default" w:asciiTheme="minorEastAsia" w:hAnsiTheme="minorEastAsia" w:eastAsiaTheme="minorEastAsia" w:cstheme="minorEastAsia"/>
                <w:i/>
                <w:iCs/>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本级财政资金</w:t>
            </w:r>
          </w:p>
        </w:tc>
      </w:tr>
      <w:tr w14:paraId="2871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2BDF7FA">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1.2.2</w:t>
            </w:r>
          </w:p>
        </w:tc>
        <w:tc>
          <w:tcPr>
            <w:tcW w:w="2318" w:type="dxa"/>
            <w:vAlign w:val="center"/>
          </w:tcPr>
          <w:p w14:paraId="7AAF47E3">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bCs/>
                <w:iCs/>
                <w:color w:val="auto"/>
                <w:highlight w:val="none"/>
              </w:rPr>
              <w:t>资金落实情况</w:t>
            </w:r>
          </w:p>
        </w:tc>
        <w:tc>
          <w:tcPr>
            <w:tcW w:w="6112" w:type="dxa"/>
            <w:vAlign w:val="center"/>
          </w:tcPr>
          <w:p w14:paraId="607C92DE">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已落实</w:t>
            </w:r>
          </w:p>
        </w:tc>
      </w:tr>
      <w:tr w14:paraId="1F9B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shd w:val="clear" w:color="auto" w:fill="auto"/>
            <w:vAlign w:val="center"/>
          </w:tcPr>
          <w:p w14:paraId="4B617089">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1.3.1</w:t>
            </w:r>
          </w:p>
        </w:tc>
        <w:tc>
          <w:tcPr>
            <w:tcW w:w="2318" w:type="dxa"/>
            <w:shd w:val="clear" w:color="auto" w:fill="auto"/>
            <w:vAlign w:val="center"/>
          </w:tcPr>
          <w:p w14:paraId="5451520D">
            <w:pPr>
              <w:pStyle w:val="15"/>
              <w:spacing w:line="360" w:lineRule="exact"/>
              <w:ind w:firstLine="420" w:firstLineChars="200"/>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bCs/>
                <w:iCs/>
                <w:color w:val="auto"/>
                <w:highlight w:val="none"/>
              </w:rPr>
              <w:t>采购内容</w:t>
            </w:r>
          </w:p>
        </w:tc>
        <w:tc>
          <w:tcPr>
            <w:tcW w:w="6112" w:type="dxa"/>
            <w:shd w:val="clear" w:color="auto" w:fill="auto"/>
          </w:tcPr>
          <w:p w14:paraId="60567C16">
            <w:pPr>
              <w:pStyle w:val="15"/>
              <w:spacing w:line="360" w:lineRule="exact"/>
              <w:ind w:firstLine="420" w:firstLineChars="200"/>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lang w:val="en-US" w:eastAsia="zh-CN"/>
              </w:rPr>
              <w:t>采购内容为对垃圾渗滤液进行处理，日处 理渗滤液为 100 吨(进水)，出水率不低于 70%</w:t>
            </w:r>
            <w:r>
              <w:rPr>
                <w:rFonts w:hint="default" w:asciiTheme="minorEastAsia" w:hAnsiTheme="minorEastAsia" w:eastAsiaTheme="minorEastAsia" w:cstheme="minorEastAsia"/>
                <w:color w:val="auto"/>
                <w:highlight w:val="none"/>
              </w:rPr>
              <w:t>（详见招标文件）。</w:t>
            </w:r>
          </w:p>
        </w:tc>
      </w:tr>
      <w:tr w14:paraId="3F9E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14:paraId="721BEF52">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1.3.2</w:t>
            </w:r>
          </w:p>
        </w:tc>
        <w:tc>
          <w:tcPr>
            <w:tcW w:w="2318" w:type="dxa"/>
            <w:shd w:val="clear" w:color="auto" w:fill="auto"/>
            <w:vAlign w:val="center"/>
          </w:tcPr>
          <w:p w14:paraId="4036B3AF">
            <w:pPr>
              <w:pStyle w:val="15"/>
              <w:spacing w:line="360" w:lineRule="exact"/>
              <w:jc w:val="center"/>
              <w:rPr>
                <w:rFonts w:hint="default" w:asciiTheme="minorEastAsia" w:hAnsiTheme="minorEastAsia" w:eastAsiaTheme="minorEastAsia" w:cstheme="minorEastAsia"/>
                <w:bCs/>
                <w:iCs/>
                <w:color w:val="auto"/>
                <w:highlight w:val="none"/>
                <w:lang w:val="en-US" w:eastAsia="zh-CN"/>
              </w:rPr>
            </w:pPr>
            <w:r>
              <w:rPr>
                <w:rFonts w:hint="default" w:asciiTheme="minorEastAsia" w:hAnsiTheme="minorEastAsia" w:eastAsiaTheme="minorEastAsia" w:cstheme="minorEastAsia"/>
                <w:bCs/>
                <w:iCs/>
                <w:color w:val="auto"/>
                <w:highlight w:val="none"/>
                <w:lang w:val="en-US" w:eastAsia="zh-CN"/>
              </w:rPr>
              <w:t>运行周期</w:t>
            </w:r>
          </w:p>
        </w:tc>
        <w:tc>
          <w:tcPr>
            <w:tcW w:w="6112" w:type="dxa"/>
            <w:shd w:val="clear" w:color="auto" w:fill="auto"/>
            <w:vAlign w:val="center"/>
          </w:tcPr>
          <w:p w14:paraId="3B03719D">
            <w:pPr>
              <w:pStyle w:val="15"/>
              <w:spacing w:line="360" w:lineRule="exact"/>
              <w:jc w:val="left"/>
              <w:rPr>
                <w:rFonts w:hint="default" w:asciiTheme="minorEastAsia" w:hAnsiTheme="minorEastAsia" w:eastAsiaTheme="minorEastAsia" w:cstheme="minorEastAsia"/>
                <w:bCs/>
                <w:iCs/>
                <w:color w:val="auto"/>
                <w:highlight w:val="none"/>
                <w:lang w:val="en-US" w:eastAsia="zh-CN"/>
              </w:rPr>
            </w:pPr>
            <w:r>
              <w:rPr>
                <w:rFonts w:hint="eastAsia" w:asciiTheme="minorEastAsia" w:hAnsiTheme="minorEastAsia" w:eastAsiaTheme="minorEastAsia" w:cstheme="minorEastAsia"/>
                <w:bCs/>
                <w:iCs/>
                <w:color w:val="auto"/>
                <w:highlight w:val="none"/>
                <w:lang w:val="en-US" w:eastAsia="zh-CN"/>
              </w:rPr>
              <w:t xml:space="preserve"> </w:t>
            </w:r>
            <w:r>
              <w:rPr>
                <w:rFonts w:hint="eastAsia" w:asciiTheme="minorEastAsia" w:hAnsiTheme="minorEastAsia" w:eastAsiaTheme="minorEastAsia" w:cstheme="minorEastAsia"/>
                <w:color w:val="auto"/>
                <w:highlight w:val="none"/>
                <w:lang w:val="en-US" w:eastAsia="zh-CN"/>
              </w:rPr>
              <w:t xml:space="preserve"> 2年</w:t>
            </w:r>
          </w:p>
        </w:tc>
      </w:tr>
      <w:tr w14:paraId="268D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14:paraId="76B74618">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1.3.3</w:t>
            </w:r>
          </w:p>
        </w:tc>
        <w:tc>
          <w:tcPr>
            <w:tcW w:w="2318" w:type="dxa"/>
            <w:shd w:val="clear" w:color="auto" w:fill="auto"/>
            <w:vAlign w:val="center"/>
          </w:tcPr>
          <w:p w14:paraId="19CCE189">
            <w:pPr>
              <w:pStyle w:val="15"/>
              <w:spacing w:line="360" w:lineRule="exact"/>
              <w:jc w:val="center"/>
              <w:rPr>
                <w:rFonts w:hint="default" w:hAnsi="宋体" w:cs="宋体"/>
                <w:color w:val="auto"/>
                <w:kern w:val="0"/>
                <w:highlight w:val="none"/>
              </w:rPr>
            </w:pPr>
            <w:r>
              <w:rPr>
                <w:rFonts w:hint="default" w:hAnsi="宋体" w:cs="宋体"/>
                <w:color w:val="auto"/>
                <w:kern w:val="0"/>
                <w:highlight w:val="none"/>
              </w:rPr>
              <w:t>质量标准</w:t>
            </w:r>
          </w:p>
        </w:tc>
        <w:tc>
          <w:tcPr>
            <w:tcW w:w="6112" w:type="dxa"/>
            <w:shd w:val="clear" w:color="auto" w:fill="auto"/>
            <w:vAlign w:val="center"/>
          </w:tcPr>
          <w:p w14:paraId="014E7E89">
            <w:pPr>
              <w:spacing w:line="400" w:lineRule="exact"/>
              <w:rPr>
                <w:rFonts w:ascii="宋体" w:hAnsi="宋体" w:cs="宋体"/>
                <w:color w:val="auto"/>
                <w:kern w:val="0"/>
                <w:szCs w:val="21"/>
                <w:highlight w:val="none"/>
              </w:rPr>
            </w:pPr>
            <w:r>
              <w:rPr>
                <w:rFonts w:ascii="宋体" w:hAnsi="宋体" w:cs="宋体"/>
                <w:color w:val="auto"/>
                <w:kern w:val="0"/>
                <w:szCs w:val="21"/>
                <w:highlight w:val="none"/>
              </w:rPr>
              <w:t>按照《城市生活垃圾卫生填埋处理技术 规范》（GB 50869-2013）渗滤液处理相关技术要求进行 处理 ， 出水满足生活垃圾填埋场污染控制标准（ GB 16889-2008）表二标准后排放。</w:t>
            </w:r>
          </w:p>
        </w:tc>
      </w:tr>
      <w:tr w14:paraId="6118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6992EE61">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1.4.1</w:t>
            </w:r>
          </w:p>
        </w:tc>
        <w:tc>
          <w:tcPr>
            <w:tcW w:w="2318" w:type="dxa"/>
            <w:vAlign w:val="center"/>
          </w:tcPr>
          <w:p w14:paraId="5F6CC98C">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供应商资质条件</w:t>
            </w:r>
          </w:p>
        </w:tc>
        <w:tc>
          <w:tcPr>
            <w:tcW w:w="6112" w:type="dxa"/>
            <w:vAlign w:val="center"/>
          </w:tcPr>
          <w:p w14:paraId="484D5ABC">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1、符合《中华人民共和国政府采购法》第二十二条之规定；</w:t>
            </w:r>
          </w:p>
          <w:p w14:paraId="13AD570D">
            <w:pPr>
              <w:pStyle w:val="15"/>
              <w:spacing w:line="360" w:lineRule="exact"/>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落实政府采购政策需满足的资格要求：</w:t>
            </w:r>
            <w:r>
              <w:rPr>
                <w:rFonts w:hint="eastAsia" w:asciiTheme="minorEastAsia" w:hAnsiTheme="minorEastAsia" w:eastAsiaTheme="minorEastAsia" w:cstheme="minorEastAsia"/>
                <w:highlight w:val="none"/>
              </w:rPr>
              <w:t>促进政府强制采购节能产品及环境标志产品优先采购，该项目全</w:t>
            </w:r>
            <w:r>
              <w:rPr>
                <w:rFonts w:hint="eastAsia" w:asciiTheme="minorEastAsia" w:hAnsiTheme="minorEastAsia" w:eastAsiaTheme="minorEastAsia" w:cstheme="minorEastAsia"/>
                <w:highlight w:val="none"/>
                <w:lang w:val="en-US" w:eastAsia="zh-CN"/>
              </w:rPr>
              <w:t>部</w:t>
            </w:r>
            <w:r>
              <w:rPr>
                <w:rFonts w:hint="eastAsia" w:asciiTheme="minorEastAsia" w:hAnsiTheme="minorEastAsia" w:eastAsiaTheme="minorEastAsia" w:cstheme="minorEastAsia"/>
                <w:highlight w:val="none"/>
              </w:rPr>
              <w:t>面向中小企业采购，需要提供中小企业声明函</w:t>
            </w:r>
            <w:r>
              <w:rPr>
                <w:rFonts w:hint="eastAsia" w:asciiTheme="minorEastAsia" w:hAnsiTheme="minorEastAsia" w:eastAsiaTheme="minorEastAsia" w:cstheme="minorEastAsia"/>
                <w:color w:val="auto"/>
                <w:highlight w:val="none"/>
              </w:rPr>
              <w:t>。</w:t>
            </w:r>
          </w:p>
          <w:p w14:paraId="274A7E55">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3、本项目的特定资格要求：</w:t>
            </w:r>
          </w:p>
          <w:p w14:paraId="6AAE7A29">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3.1投标人须具有有效的营业执照，并具有实施完成本项目的经营实力和完善的售后服务体系；</w:t>
            </w:r>
          </w:p>
          <w:p w14:paraId="23EFD192">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 </w:t>
            </w:r>
          </w:p>
          <w:p w14:paraId="2F9856A2">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3.3本项目不接受联合体投标；</w:t>
            </w:r>
          </w:p>
          <w:p w14:paraId="28BBC106">
            <w:pPr>
              <w:pStyle w:val="15"/>
              <w:spacing w:line="360" w:lineRule="exact"/>
              <w:rPr>
                <w:rFonts w:hint="eastAsia" w:eastAsia="宋体"/>
                <w:color w:val="auto"/>
                <w:highlight w:val="none"/>
                <w:lang w:eastAsia="zh-CN"/>
              </w:rPr>
            </w:pPr>
            <w:r>
              <w:rPr>
                <w:rFonts w:asciiTheme="minorEastAsia" w:hAnsiTheme="minorEastAsia" w:eastAsiaTheme="minorEastAsia" w:cstheme="minorEastAsia"/>
                <w:color w:val="auto"/>
                <w:highlight w:val="none"/>
              </w:rPr>
              <w:t>3.4资格审查方式：资格后审。</w:t>
            </w:r>
          </w:p>
        </w:tc>
      </w:tr>
      <w:tr w14:paraId="6FCC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F24C322">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1.4.2</w:t>
            </w:r>
          </w:p>
        </w:tc>
        <w:tc>
          <w:tcPr>
            <w:tcW w:w="2318" w:type="dxa"/>
            <w:vAlign w:val="center"/>
          </w:tcPr>
          <w:p w14:paraId="4748E219">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是否接受联合体</w:t>
            </w:r>
          </w:p>
        </w:tc>
        <w:tc>
          <w:tcPr>
            <w:tcW w:w="6112" w:type="dxa"/>
            <w:vAlign w:val="center"/>
          </w:tcPr>
          <w:p w14:paraId="1ABD47EB">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不接受</w:t>
            </w:r>
          </w:p>
        </w:tc>
      </w:tr>
      <w:tr w14:paraId="0061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14:paraId="3997633E">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1.10.1</w:t>
            </w:r>
          </w:p>
        </w:tc>
        <w:tc>
          <w:tcPr>
            <w:tcW w:w="2318" w:type="dxa"/>
            <w:vAlign w:val="center"/>
          </w:tcPr>
          <w:p w14:paraId="60214237">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投标预备会</w:t>
            </w:r>
          </w:p>
        </w:tc>
        <w:tc>
          <w:tcPr>
            <w:tcW w:w="6112" w:type="dxa"/>
            <w:vAlign w:val="center"/>
          </w:tcPr>
          <w:p w14:paraId="0ACCD7C4">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不召开</w:t>
            </w:r>
          </w:p>
        </w:tc>
      </w:tr>
      <w:tr w14:paraId="58FE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2D9A56B">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1.10.2</w:t>
            </w:r>
          </w:p>
        </w:tc>
        <w:tc>
          <w:tcPr>
            <w:tcW w:w="2318" w:type="dxa"/>
            <w:vAlign w:val="center"/>
          </w:tcPr>
          <w:p w14:paraId="488EDE58">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供应商提出问题的</w:t>
            </w:r>
          </w:p>
          <w:p w14:paraId="34E892BE">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截止时间</w:t>
            </w:r>
          </w:p>
        </w:tc>
        <w:tc>
          <w:tcPr>
            <w:tcW w:w="6112" w:type="dxa"/>
            <w:vAlign w:val="center"/>
          </w:tcPr>
          <w:p w14:paraId="731F9AD3">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14:paraId="4893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03153FEC">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1.10.3</w:t>
            </w:r>
          </w:p>
        </w:tc>
        <w:tc>
          <w:tcPr>
            <w:tcW w:w="2318" w:type="dxa"/>
            <w:vAlign w:val="center"/>
          </w:tcPr>
          <w:p w14:paraId="66F13F3A">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采购人说明澄清的时间</w:t>
            </w:r>
          </w:p>
        </w:tc>
        <w:tc>
          <w:tcPr>
            <w:tcW w:w="6112" w:type="dxa"/>
            <w:vAlign w:val="center"/>
          </w:tcPr>
          <w:p w14:paraId="17ECD71B">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招标文件规定的投标截止时间15天前</w:t>
            </w:r>
          </w:p>
        </w:tc>
      </w:tr>
      <w:tr w14:paraId="458C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14:paraId="19813347">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1.11</w:t>
            </w:r>
          </w:p>
        </w:tc>
        <w:tc>
          <w:tcPr>
            <w:tcW w:w="2318" w:type="dxa"/>
            <w:vAlign w:val="center"/>
          </w:tcPr>
          <w:p w14:paraId="22407681">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分包</w:t>
            </w:r>
          </w:p>
        </w:tc>
        <w:tc>
          <w:tcPr>
            <w:tcW w:w="6112" w:type="dxa"/>
            <w:vAlign w:val="center"/>
          </w:tcPr>
          <w:p w14:paraId="7FFC32E3">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14:paraId="1221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CFA8763">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2.2.1</w:t>
            </w:r>
          </w:p>
        </w:tc>
        <w:tc>
          <w:tcPr>
            <w:tcW w:w="2318" w:type="dxa"/>
            <w:vAlign w:val="center"/>
          </w:tcPr>
          <w:p w14:paraId="16584DE6">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供应商要求澄清招标文件的截止时间</w:t>
            </w:r>
          </w:p>
        </w:tc>
        <w:tc>
          <w:tcPr>
            <w:tcW w:w="6112" w:type="dxa"/>
            <w:vAlign w:val="center"/>
          </w:tcPr>
          <w:p w14:paraId="5E5CD8F9">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14:paraId="2605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14:paraId="428DA19B">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2.2.2</w:t>
            </w:r>
          </w:p>
        </w:tc>
        <w:tc>
          <w:tcPr>
            <w:tcW w:w="2318" w:type="dxa"/>
            <w:vAlign w:val="center"/>
          </w:tcPr>
          <w:p w14:paraId="35F0EB0A">
            <w:pPr>
              <w:pStyle w:val="15"/>
              <w:spacing w:line="360" w:lineRule="exact"/>
              <w:jc w:val="center"/>
              <w:rPr>
                <w:rFonts w:hint="default" w:asciiTheme="minorEastAsia" w:hAnsiTheme="minorEastAsia" w:eastAsiaTheme="minorEastAsia" w:cstheme="minorEastAsia"/>
                <w:b/>
                <w:bCs/>
                <w:color w:val="auto"/>
                <w:highlight w:val="none"/>
              </w:rPr>
            </w:pPr>
            <w:r>
              <w:rPr>
                <w:rFonts w:asciiTheme="minorEastAsia" w:hAnsiTheme="minorEastAsia" w:eastAsiaTheme="minorEastAsia" w:cstheme="minorEastAsia"/>
                <w:color w:val="auto"/>
                <w:highlight w:val="none"/>
              </w:rPr>
              <w:t>投标截止时间</w:t>
            </w:r>
          </w:p>
        </w:tc>
        <w:tc>
          <w:tcPr>
            <w:tcW w:w="6112" w:type="dxa"/>
            <w:vAlign w:val="center"/>
          </w:tcPr>
          <w:p w14:paraId="2B241576">
            <w:pPr>
              <w:spacing w:line="360" w:lineRule="exact"/>
              <w:jc w:val="left"/>
              <w:rPr>
                <w:rFonts w:asciiTheme="minorEastAsia" w:hAnsiTheme="minorEastAsia" w:eastAsiaTheme="minorEastAsia" w:cstheme="minorEastAsia"/>
                <w:b/>
                <w:bCs/>
                <w:color w:val="auto"/>
                <w:highlight w:val="none"/>
              </w:rPr>
            </w:pPr>
            <w:r>
              <w:rPr>
                <w:rFonts w:hint="eastAsia" w:ascii="宋体" w:hAnsi="宋体" w:cs="宋体"/>
                <w:b/>
                <w:bCs/>
                <w:color w:val="auto"/>
                <w:kern w:val="0"/>
                <w:sz w:val="24"/>
                <w:highlight w:val="none"/>
                <w:u w:val="single"/>
              </w:rPr>
              <w:t>2024年</w:t>
            </w:r>
            <w:r>
              <w:rPr>
                <w:rFonts w:hint="eastAsia" w:ascii="宋体" w:hAnsi="宋体" w:cs="宋体"/>
                <w:b/>
                <w:bCs/>
                <w:color w:val="auto"/>
                <w:kern w:val="0"/>
                <w:sz w:val="24"/>
                <w:highlight w:val="none"/>
                <w:u w:val="single"/>
                <w:lang w:val="en-US" w:eastAsia="zh-CN"/>
              </w:rPr>
              <w:t>07</w:t>
            </w:r>
            <w:r>
              <w:rPr>
                <w:rFonts w:hint="eastAsia" w:ascii="宋体" w:hAnsi="宋体" w:cs="宋体"/>
                <w:b/>
                <w:bCs/>
                <w:color w:val="auto"/>
                <w:kern w:val="0"/>
                <w:sz w:val="24"/>
                <w:highlight w:val="none"/>
                <w:u w:val="single"/>
              </w:rPr>
              <w:t>月</w:t>
            </w:r>
            <w:r>
              <w:rPr>
                <w:rFonts w:hint="eastAsia" w:ascii="宋体" w:hAnsi="宋体" w:cs="宋体"/>
                <w:b/>
                <w:bCs/>
                <w:color w:val="auto"/>
                <w:kern w:val="0"/>
                <w:sz w:val="24"/>
                <w:highlight w:val="none"/>
                <w:u w:val="single"/>
                <w:lang w:val="en-US" w:eastAsia="zh-CN"/>
              </w:rPr>
              <w:t>25</w:t>
            </w:r>
            <w:r>
              <w:rPr>
                <w:rFonts w:hint="eastAsia" w:ascii="宋体" w:hAnsi="宋体" w:cs="宋体"/>
                <w:b/>
                <w:bCs/>
                <w:color w:val="auto"/>
                <w:kern w:val="0"/>
                <w:sz w:val="24"/>
                <w:highlight w:val="none"/>
                <w:u w:val="single"/>
              </w:rPr>
              <w:t>日上午9点00分</w:t>
            </w:r>
            <w:r>
              <w:rPr>
                <w:rFonts w:hint="eastAsia" w:ascii="宋体" w:hAnsi="宋体" w:eastAsia="宋体" w:cs="宋体"/>
                <w:b/>
                <w:bCs/>
                <w:color w:val="auto"/>
                <w:highlight w:val="none"/>
                <w:u w:val="single"/>
                <w:lang w:val="en-US" w:eastAsia="zh-CN"/>
              </w:rPr>
              <w:t>（北京时间）</w:t>
            </w:r>
          </w:p>
        </w:tc>
      </w:tr>
      <w:tr w14:paraId="593A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AA4663D">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w:t>
            </w:r>
          </w:p>
        </w:tc>
        <w:tc>
          <w:tcPr>
            <w:tcW w:w="2318" w:type="dxa"/>
            <w:vAlign w:val="center"/>
          </w:tcPr>
          <w:p w14:paraId="24BCE22A">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构成投标文件的</w:t>
            </w:r>
          </w:p>
          <w:p w14:paraId="44AAD738">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其他材料</w:t>
            </w:r>
          </w:p>
        </w:tc>
        <w:tc>
          <w:tcPr>
            <w:tcW w:w="6112" w:type="dxa"/>
            <w:vAlign w:val="center"/>
          </w:tcPr>
          <w:p w14:paraId="63CAF09D">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招标文件中要求的其他资料。 </w:t>
            </w:r>
          </w:p>
        </w:tc>
      </w:tr>
      <w:tr w14:paraId="59CD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14:paraId="51F574CD">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w:t>
            </w:r>
          </w:p>
        </w:tc>
        <w:tc>
          <w:tcPr>
            <w:tcW w:w="2318" w:type="dxa"/>
            <w:vAlign w:val="center"/>
          </w:tcPr>
          <w:p w14:paraId="6CD18A7C">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投标有效期</w:t>
            </w:r>
          </w:p>
        </w:tc>
        <w:tc>
          <w:tcPr>
            <w:tcW w:w="6112" w:type="dxa"/>
            <w:vAlign w:val="center"/>
          </w:tcPr>
          <w:p w14:paraId="2F3FF5E3">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60日历天（从投标截止之日算起）</w:t>
            </w:r>
          </w:p>
        </w:tc>
      </w:tr>
      <w:tr w14:paraId="7641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24DF749">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3.6</w:t>
            </w:r>
          </w:p>
        </w:tc>
        <w:tc>
          <w:tcPr>
            <w:tcW w:w="2318" w:type="dxa"/>
            <w:vAlign w:val="center"/>
          </w:tcPr>
          <w:p w14:paraId="43BC01E2">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是否允许递交备选</w:t>
            </w:r>
          </w:p>
          <w:p w14:paraId="459DE649">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投标方案</w:t>
            </w:r>
          </w:p>
        </w:tc>
        <w:tc>
          <w:tcPr>
            <w:tcW w:w="6112" w:type="dxa"/>
            <w:vAlign w:val="center"/>
          </w:tcPr>
          <w:p w14:paraId="51F8454E">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14:paraId="2585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14:paraId="0A12C790">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3.7.3</w:t>
            </w:r>
          </w:p>
        </w:tc>
        <w:tc>
          <w:tcPr>
            <w:tcW w:w="2318" w:type="dxa"/>
            <w:shd w:val="clear" w:color="auto" w:fill="auto"/>
            <w:vAlign w:val="center"/>
          </w:tcPr>
          <w:p w14:paraId="33DE8539">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签字盖章要求</w:t>
            </w:r>
          </w:p>
        </w:tc>
        <w:tc>
          <w:tcPr>
            <w:tcW w:w="6112" w:type="dxa"/>
            <w:shd w:val="clear" w:color="auto" w:fill="auto"/>
            <w:vAlign w:val="center"/>
          </w:tcPr>
          <w:p w14:paraId="163A3B55">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w:t>
            </w:r>
            <w:r>
              <w:rPr>
                <w:rFonts w:asciiTheme="minorEastAsia" w:hAnsiTheme="minorEastAsia" w:eastAsiaTheme="minorEastAsia" w:cstheme="minorEastAsia"/>
                <w:color w:val="auto"/>
                <w:highlight w:val="none"/>
              </w:rPr>
              <w:t>所有要求供应商加盖公章的地方都须加盖供应商单位的 CA 印章。</w:t>
            </w:r>
          </w:p>
          <w:p w14:paraId="5CCA22C2">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w:t>
            </w:r>
            <w:r>
              <w:rPr>
                <w:rFonts w:asciiTheme="minorEastAsia" w:hAnsiTheme="minorEastAsia" w:eastAsiaTheme="minorEastAsia" w:cstheme="minorEastAsia"/>
                <w:color w:val="auto"/>
                <w:highlight w:val="none"/>
              </w:rPr>
              <w:t>要求法定代表人签字或盖章的，法定代表人在签字或盖章的地方上传手写签名的扫描件或加盖法定代表人CA印章。</w:t>
            </w:r>
          </w:p>
          <w:p w14:paraId="0F2F0879">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w:t>
            </w:r>
            <w:r>
              <w:rPr>
                <w:rFonts w:asciiTheme="minorEastAsia" w:hAnsiTheme="minorEastAsia" w:eastAsiaTheme="minorEastAsia" w:cstheme="minorEastAsia"/>
                <w:color w:val="auto"/>
                <w:highlight w:val="none"/>
              </w:rPr>
              <w:t>要求委托代理人签字或盖章的，委托代理人在签字或盖章的地方上传手写签名的扫描件或加盖委托代理人CA印章。</w:t>
            </w:r>
          </w:p>
        </w:tc>
      </w:tr>
      <w:tr w14:paraId="4CA5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14:paraId="4148F240">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3.7.4</w:t>
            </w:r>
          </w:p>
        </w:tc>
        <w:tc>
          <w:tcPr>
            <w:tcW w:w="2318" w:type="dxa"/>
            <w:vAlign w:val="center"/>
          </w:tcPr>
          <w:p w14:paraId="23195676">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投标文件份数</w:t>
            </w:r>
          </w:p>
        </w:tc>
        <w:tc>
          <w:tcPr>
            <w:tcW w:w="6112" w:type="dxa"/>
            <w:vAlign w:val="center"/>
          </w:tcPr>
          <w:p w14:paraId="2FA5A9CF">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加密的电子投标文件壹份（.jztf 格式在会员系统指定位置上传）；自备非加密的电子投标文件一份，如有紧急情况，在不见面开标按要求上传。</w:t>
            </w:r>
          </w:p>
        </w:tc>
      </w:tr>
      <w:tr w14:paraId="07F1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14:paraId="416D45CD">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4.2.2</w:t>
            </w:r>
          </w:p>
        </w:tc>
        <w:tc>
          <w:tcPr>
            <w:tcW w:w="2318" w:type="dxa"/>
            <w:vAlign w:val="center"/>
          </w:tcPr>
          <w:p w14:paraId="27B061E1">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递交投标文件方式和</w:t>
            </w:r>
          </w:p>
          <w:p w14:paraId="2BD654D7">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地点</w:t>
            </w:r>
          </w:p>
        </w:tc>
        <w:tc>
          <w:tcPr>
            <w:tcW w:w="6112" w:type="dxa"/>
            <w:vAlign w:val="center"/>
          </w:tcPr>
          <w:p w14:paraId="039F0AB8">
            <w:pPr>
              <w:pStyle w:val="15"/>
              <w:spacing w:line="400" w:lineRule="exact"/>
              <w:rPr>
                <w:rFonts w:hint="default" w:hAnsi="宋体"/>
                <w:color w:val="auto"/>
                <w:highlight w:val="none"/>
              </w:rPr>
            </w:pPr>
            <w:r>
              <w:rPr>
                <w:rFonts w:hAnsi="宋体"/>
                <w:color w:val="auto"/>
                <w:highlight w:val="none"/>
              </w:rPr>
              <w:t xml:space="preserve">本项目采用“远程不见面”开标方式，远程开标大厅网址为http://122.112.246.33/BidOpening/bidopeninghallaction/hall/login。供应商不需到开标现场参加开标会议，不需提交原件资料等。 </w:t>
            </w:r>
          </w:p>
          <w:p w14:paraId="3DEFC5AE">
            <w:pPr>
              <w:pStyle w:val="15"/>
              <w:spacing w:line="400" w:lineRule="exact"/>
              <w:rPr>
                <w:rFonts w:hint="default" w:hAnsi="宋体"/>
                <w:color w:val="auto"/>
                <w:highlight w:val="none"/>
              </w:rPr>
            </w:pPr>
            <w:r>
              <w:rPr>
                <w:rFonts w:hAnsi="宋体"/>
                <w:color w:val="auto"/>
                <w:highlight w:val="none"/>
              </w:rPr>
              <w:t>（1）电子投标文件的递交</w:t>
            </w:r>
          </w:p>
          <w:p w14:paraId="0B84949D">
            <w:pPr>
              <w:pStyle w:val="15"/>
              <w:spacing w:line="400" w:lineRule="exact"/>
              <w:rPr>
                <w:rFonts w:hint="default" w:hAnsi="宋体"/>
                <w:color w:val="auto"/>
                <w:highlight w:val="none"/>
              </w:rPr>
            </w:pPr>
            <w:r>
              <w:rPr>
                <w:rFonts w:hAnsi="宋体"/>
                <w:color w:val="auto"/>
                <w:highlight w:val="none"/>
              </w:rPr>
              <w:t>a、各供应商应在投标截止时间前上传加密的电子投标文件</w:t>
            </w:r>
          </w:p>
          <w:p w14:paraId="36791F42">
            <w:pPr>
              <w:pStyle w:val="15"/>
              <w:spacing w:line="400" w:lineRule="exact"/>
              <w:rPr>
                <w:rFonts w:hint="default" w:hAnsi="宋体"/>
                <w:color w:val="auto"/>
                <w:highlight w:val="none"/>
              </w:rPr>
            </w:pPr>
            <w:r>
              <w:rPr>
                <w:rFonts w:hAnsi="宋体"/>
                <w:color w:val="auto"/>
                <w:highlight w:val="none"/>
              </w:rPr>
              <w:t>（.jztf 格式）到会员系统的指定位置。上传时必须得到电脑“上传成功”的确认回复。请供应商在上传时认真检查上传投标文件是否完整、正确。</w:t>
            </w:r>
          </w:p>
          <w:p w14:paraId="17B4E178">
            <w:pPr>
              <w:pStyle w:val="15"/>
              <w:spacing w:line="400" w:lineRule="exact"/>
              <w:rPr>
                <w:rFonts w:hint="default"/>
                <w:color w:val="auto"/>
                <w:highlight w:val="none"/>
              </w:rPr>
            </w:pPr>
            <w:r>
              <w:rPr>
                <w:rFonts w:hAnsi="宋体"/>
                <w:color w:val="auto"/>
                <w:highlight w:val="none"/>
              </w:rPr>
              <w:t>b、如系统故障需上传非加密文件时，供应商应按照采购人指示将非加密文件递交给采购人。</w:t>
            </w:r>
          </w:p>
        </w:tc>
      </w:tr>
      <w:tr w14:paraId="064F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CFB5FD2">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4.2.3</w:t>
            </w:r>
          </w:p>
        </w:tc>
        <w:tc>
          <w:tcPr>
            <w:tcW w:w="2318" w:type="dxa"/>
            <w:vAlign w:val="center"/>
          </w:tcPr>
          <w:p w14:paraId="128E310E">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是否退还投标文件</w:t>
            </w:r>
          </w:p>
        </w:tc>
        <w:tc>
          <w:tcPr>
            <w:tcW w:w="6112" w:type="dxa"/>
            <w:vAlign w:val="center"/>
          </w:tcPr>
          <w:p w14:paraId="1CFBED4C">
            <w:pPr>
              <w:pStyle w:val="15"/>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否</w:t>
            </w:r>
          </w:p>
        </w:tc>
      </w:tr>
      <w:tr w14:paraId="7810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F1EEEB3">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5.1</w:t>
            </w:r>
          </w:p>
        </w:tc>
        <w:tc>
          <w:tcPr>
            <w:tcW w:w="2318" w:type="dxa"/>
            <w:vAlign w:val="center"/>
          </w:tcPr>
          <w:p w14:paraId="20B92B68">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开标时间和地点</w:t>
            </w:r>
          </w:p>
        </w:tc>
        <w:tc>
          <w:tcPr>
            <w:tcW w:w="6112" w:type="dxa"/>
            <w:vAlign w:val="center"/>
          </w:tcPr>
          <w:p w14:paraId="400DD5DA">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开标时间：同投标截止时间。登录远程开标大厅，凭制作投标文件所用的企业 CA 密匙在线签到、解密文件等，解密时间为投标截止时后30分钟内。</w:t>
            </w:r>
          </w:p>
          <w:p w14:paraId="425AEDA4">
            <w:pPr>
              <w:spacing w:line="360" w:lineRule="exact"/>
              <w:ind w:left="700" w:hanging="700"/>
              <w:jc w:val="left"/>
              <w:rPr>
                <w:rFonts w:asciiTheme="minorEastAsia" w:hAnsiTheme="minorEastAsia" w:eastAsiaTheme="minorEastAsia" w:cstheme="minorEastAsia"/>
                <w:color w:val="auto"/>
                <w:highlight w:val="none"/>
              </w:rPr>
            </w:pPr>
            <w:r>
              <w:rPr>
                <w:rFonts w:hint="eastAsia" w:ascii="宋体" w:hAnsi="宋体"/>
                <w:color w:val="auto"/>
                <w:szCs w:val="21"/>
                <w:highlight w:val="none"/>
              </w:rPr>
              <w:t>现场开标地点：博爱县公共资源交易中心二楼第二开标室</w:t>
            </w:r>
          </w:p>
        </w:tc>
      </w:tr>
      <w:tr w14:paraId="0116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14:paraId="7AA2AABD">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w:t>
            </w:r>
          </w:p>
        </w:tc>
        <w:tc>
          <w:tcPr>
            <w:tcW w:w="2318" w:type="dxa"/>
            <w:vAlign w:val="center"/>
          </w:tcPr>
          <w:p w14:paraId="4B5C7D0E">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评标委员会的组建</w:t>
            </w:r>
          </w:p>
        </w:tc>
        <w:tc>
          <w:tcPr>
            <w:tcW w:w="6112" w:type="dxa"/>
            <w:vAlign w:val="center"/>
          </w:tcPr>
          <w:p w14:paraId="2318343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评标委员会构成：由采购人代表1人和政府采购专家库中随机抽</w:t>
            </w:r>
          </w:p>
          <w:p w14:paraId="66860905">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取的评审专家4人，共5人组成。</w:t>
            </w:r>
            <w:r>
              <w:rPr>
                <w:rFonts w:hint="eastAsia" w:ascii="宋体" w:hAnsi="宋体"/>
                <w:b/>
                <w:bCs/>
                <w:color w:val="auto"/>
                <w:szCs w:val="21"/>
                <w:highlight w:val="none"/>
              </w:rPr>
              <w:t>注</w:t>
            </w:r>
            <w:r>
              <w:rPr>
                <w:rFonts w:hint="eastAsia" w:ascii="宋体" w:hAnsi="宋体"/>
                <w:color w:val="auto"/>
                <w:szCs w:val="21"/>
                <w:highlight w:val="none"/>
              </w:rPr>
              <w:t>：</w:t>
            </w:r>
            <w:r>
              <w:rPr>
                <w:rFonts w:hint="eastAsia" w:ascii="宋体" w:hAnsi="宋体"/>
                <w:b/>
                <w:bCs/>
                <w:color w:val="auto"/>
                <w:szCs w:val="21"/>
                <w:highlight w:val="none"/>
                <w:u w:val="single"/>
              </w:rPr>
              <w:t>根据《财政部令第87号》第四十五条规定，采购人代表不得担任评标委员会组长。</w:t>
            </w:r>
          </w:p>
          <w:p w14:paraId="7AAE5918">
            <w:pPr>
              <w:spacing w:line="360" w:lineRule="exact"/>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highlight w:val="none"/>
              </w:rPr>
              <w:t>评审专家确定方式：在开标前从有关政府部门设立的评标专家中随机抽取确定。</w:t>
            </w:r>
          </w:p>
        </w:tc>
      </w:tr>
      <w:tr w14:paraId="3110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3BBF80C">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p>
        </w:tc>
        <w:tc>
          <w:tcPr>
            <w:tcW w:w="2318" w:type="dxa"/>
            <w:vAlign w:val="center"/>
          </w:tcPr>
          <w:p w14:paraId="21D3D81D">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是否授权评标委员会确定中标人</w:t>
            </w:r>
          </w:p>
        </w:tc>
        <w:tc>
          <w:tcPr>
            <w:tcW w:w="6112" w:type="dxa"/>
            <w:vAlign w:val="center"/>
          </w:tcPr>
          <w:p w14:paraId="480502E3">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否，由评标委员会从认定的合理报价中，按得分由高到低的顺序，依次推荐1～3名中标候选人。</w:t>
            </w:r>
          </w:p>
          <w:p w14:paraId="07C26748">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14:paraId="25713699">
            <w:pPr>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14:paraId="203A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9E56F86">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7.3.1</w:t>
            </w:r>
          </w:p>
        </w:tc>
        <w:tc>
          <w:tcPr>
            <w:tcW w:w="2318" w:type="dxa"/>
            <w:vAlign w:val="center"/>
          </w:tcPr>
          <w:p w14:paraId="798EC6B6">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112" w:type="dxa"/>
            <w:vAlign w:val="center"/>
          </w:tcPr>
          <w:p w14:paraId="1AFC29B2">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14:paraId="56CA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14:paraId="2EA1361E">
            <w:pPr>
              <w:pStyle w:val="15"/>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7.3.2</w:t>
            </w:r>
          </w:p>
        </w:tc>
        <w:tc>
          <w:tcPr>
            <w:tcW w:w="2318" w:type="dxa"/>
            <w:shd w:val="clear" w:color="auto" w:fill="auto"/>
            <w:vAlign w:val="center"/>
          </w:tcPr>
          <w:p w14:paraId="79950CA9">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w:t>
            </w:r>
          </w:p>
        </w:tc>
        <w:tc>
          <w:tcPr>
            <w:tcW w:w="6112" w:type="dxa"/>
            <w:shd w:val="clear" w:color="auto" w:fill="auto"/>
            <w:vAlign w:val="center"/>
          </w:tcPr>
          <w:p w14:paraId="4B6F9CE8">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14:paraId="3BA4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14:paraId="142B86BE">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10</w:t>
            </w:r>
          </w:p>
        </w:tc>
        <w:tc>
          <w:tcPr>
            <w:tcW w:w="8430" w:type="dxa"/>
            <w:gridSpan w:val="2"/>
            <w:shd w:val="clear" w:color="auto" w:fill="auto"/>
            <w:vAlign w:val="bottom"/>
          </w:tcPr>
          <w:p w14:paraId="71C55897">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需要补充的其他内容</w:t>
            </w:r>
          </w:p>
        </w:tc>
      </w:tr>
      <w:tr w14:paraId="35EE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14:paraId="40AF7D2F">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w:t>
            </w:r>
          </w:p>
        </w:tc>
        <w:tc>
          <w:tcPr>
            <w:tcW w:w="2318" w:type="dxa"/>
            <w:shd w:val="clear" w:color="auto" w:fill="auto"/>
            <w:vAlign w:val="center"/>
          </w:tcPr>
          <w:p w14:paraId="29202D26">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w:t>
            </w:r>
          </w:p>
        </w:tc>
        <w:tc>
          <w:tcPr>
            <w:tcW w:w="6112" w:type="dxa"/>
            <w:shd w:val="clear" w:color="auto" w:fill="auto"/>
            <w:vAlign w:val="bottom"/>
          </w:tcPr>
          <w:p w14:paraId="4649CA81">
            <w:pPr>
              <w:pStyle w:val="49"/>
              <w:spacing w:before="183" w:line="468" w:lineRule="exact"/>
              <w:rPr>
                <w:b/>
                <w:bCs/>
                <w:color w:val="auto"/>
                <w:position w:val="17"/>
                <w:highlight w:val="none"/>
              </w:rPr>
            </w:pPr>
            <w:r>
              <w:rPr>
                <w:b/>
                <w:bCs/>
                <w:color w:val="auto"/>
                <w:position w:val="17"/>
                <w:highlight w:val="none"/>
                <w:shd w:val="clear"/>
              </w:rPr>
              <w:t>采购预算控制</w:t>
            </w:r>
            <w:r>
              <w:rPr>
                <w:rFonts w:hint="eastAsia"/>
                <w:b/>
                <w:bCs/>
                <w:color w:val="auto"/>
                <w:position w:val="17"/>
                <w:highlight w:val="none"/>
                <w:shd w:val="clear"/>
                <w:lang w:val="en-US" w:eastAsia="zh-CN"/>
              </w:rPr>
              <w:t>单价</w:t>
            </w:r>
            <w:r>
              <w:rPr>
                <w:rFonts w:hint="eastAsia"/>
                <w:b/>
                <w:bCs/>
                <w:color w:val="auto"/>
                <w:position w:val="17"/>
                <w:highlight w:val="none"/>
                <w:shd w:val="clear"/>
                <w:lang w:eastAsia="zh-CN"/>
              </w:rPr>
              <w:t>：159.8 元</w:t>
            </w:r>
            <w:r>
              <w:rPr>
                <w:rFonts w:hint="eastAsia"/>
                <w:b/>
                <w:bCs/>
                <w:color w:val="auto"/>
                <w:position w:val="17"/>
                <w:highlight w:val="none"/>
                <w:shd w:val="clear"/>
                <w:lang w:val="en-US" w:eastAsia="zh-CN"/>
              </w:rPr>
              <w:t>/</w:t>
            </w:r>
            <w:r>
              <w:rPr>
                <w:rFonts w:hint="eastAsia"/>
                <w:b/>
                <w:bCs/>
                <w:color w:val="auto"/>
                <w:position w:val="17"/>
                <w:highlight w:val="none"/>
                <w:shd w:val="clear"/>
                <w:lang w:eastAsia="zh-CN"/>
              </w:rPr>
              <w:t>吨</w:t>
            </w:r>
            <w:r>
              <w:rPr>
                <w:rFonts w:hint="eastAsia"/>
                <w:b/>
                <w:bCs/>
                <w:color w:val="auto"/>
                <w:position w:val="17"/>
                <w:highlight w:val="none"/>
                <w:shd w:val="clear"/>
                <w:lang w:val="en-US" w:eastAsia="zh-CN"/>
              </w:rPr>
              <w:t>(</w:t>
            </w:r>
            <w:r>
              <w:rPr>
                <w:rFonts w:hint="eastAsia"/>
                <w:b/>
                <w:bCs/>
                <w:color w:val="auto"/>
                <w:position w:val="17"/>
                <w:highlight w:val="none"/>
                <w:shd w:val="clear"/>
                <w:lang w:eastAsia="zh-CN"/>
              </w:rPr>
              <w:t>按中水出水量</w:t>
            </w:r>
            <w:r>
              <w:rPr>
                <w:rFonts w:hint="eastAsia"/>
                <w:b/>
                <w:bCs/>
                <w:color w:val="auto"/>
                <w:position w:val="17"/>
                <w:highlight w:val="none"/>
                <w:shd w:val="clear"/>
                <w:lang w:val="en-US" w:eastAsia="zh-CN"/>
              </w:rPr>
              <w:t>)</w:t>
            </w:r>
            <w:r>
              <w:rPr>
                <w:rFonts w:hint="eastAsia"/>
                <w:b/>
                <w:bCs/>
                <w:color w:val="auto"/>
                <w:position w:val="17"/>
                <w:highlight w:val="none"/>
                <w:shd w:val="clear"/>
                <w:lang w:eastAsia="zh-CN"/>
              </w:rPr>
              <w:t>，</w:t>
            </w:r>
            <w:r>
              <w:rPr>
                <w:rFonts w:hint="eastAsia"/>
                <w:b/>
                <w:bCs/>
                <w:color w:val="auto"/>
                <w:position w:val="17"/>
                <w:highlight w:val="none"/>
                <w:shd w:val="clear"/>
                <w:lang w:val="en-US" w:eastAsia="zh-CN"/>
              </w:rPr>
              <w:t>本项目采用单价报价方式进行投标报价，</w:t>
            </w:r>
            <w:r>
              <w:rPr>
                <w:b/>
                <w:bCs/>
                <w:color w:val="auto"/>
                <w:position w:val="17"/>
                <w:highlight w:val="none"/>
                <w:shd w:val="clear"/>
              </w:rPr>
              <w:t>采购</w:t>
            </w:r>
            <w:r>
              <w:rPr>
                <w:rFonts w:hint="eastAsia"/>
                <w:b/>
                <w:bCs/>
                <w:color w:val="auto"/>
                <w:position w:val="17"/>
                <w:highlight w:val="none"/>
                <w:shd w:val="clear"/>
                <w:lang w:val="en-US" w:eastAsia="zh-CN"/>
              </w:rPr>
              <w:t>总</w:t>
            </w:r>
            <w:r>
              <w:rPr>
                <w:b/>
                <w:bCs/>
                <w:color w:val="auto"/>
                <w:position w:val="17"/>
                <w:highlight w:val="none"/>
                <w:shd w:val="clear"/>
              </w:rPr>
              <w:t>金额</w:t>
            </w:r>
            <w:r>
              <w:rPr>
                <w:rFonts w:hint="eastAsia"/>
                <w:b/>
                <w:bCs/>
                <w:color w:val="auto"/>
                <w:position w:val="17"/>
                <w:highlight w:val="none"/>
                <w:shd w:val="clear"/>
                <w:lang w:val="en-US" w:eastAsia="zh-CN"/>
              </w:rPr>
              <w:t>为</w:t>
            </w:r>
            <w:r>
              <w:rPr>
                <w:b/>
                <w:bCs/>
                <w:color w:val="auto"/>
                <w:position w:val="17"/>
                <w:highlight w:val="none"/>
                <w:shd w:val="clear"/>
              </w:rPr>
              <w:t>：</w:t>
            </w:r>
            <w:r>
              <w:rPr>
                <w:rFonts w:hint="eastAsia"/>
                <w:b/>
                <w:bCs/>
                <w:color w:val="auto"/>
                <w:position w:val="17"/>
                <w:highlight w:val="none"/>
                <w:shd w:val="clear"/>
              </w:rPr>
              <w:t>820</w:t>
            </w:r>
            <w:r>
              <w:rPr>
                <w:rFonts w:hint="eastAsia"/>
                <w:b/>
                <w:bCs/>
                <w:color w:val="auto"/>
                <w:position w:val="17"/>
                <w:highlight w:val="none"/>
                <w:shd w:val="clear"/>
                <w:lang w:val="en-US" w:eastAsia="zh-CN"/>
              </w:rPr>
              <w:t>0000.00元</w:t>
            </w:r>
          </w:p>
          <w:p w14:paraId="68728BE3">
            <w:pPr>
              <w:spacing w:line="38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1、供应商的投标</w:t>
            </w:r>
            <w:r>
              <w:rPr>
                <w:rFonts w:hint="eastAsia" w:asciiTheme="minorEastAsia" w:hAnsiTheme="minorEastAsia" w:eastAsiaTheme="minorEastAsia" w:cstheme="minorEastAsia"/>
                <w:color w:val="auto"/>
                <w:szCs w:val="21"/>
                <w:highlight w:val="none"/>
                <w:lang w:val="en-US" w:eastAsia="zh-CN"/>
              </w:rPr>
              <w:t>单价</w:t>
            </w:r>
            <w:r>
              <w:rPr>
                <w:rFonts w:hint="eastAsia" w:asciiTheme="minorEastAsia" w:hAnsiTheme="minorEastAsia" w:eastAsiaTheme="minorEastAsia" w:cstheme="minorEastAsia"/>
                <w:color w:val="auto"/>
                <w:szCs w:val="21"/>
                <w:highlight w:val="none"/>
                <w:lang w:eastAsia="zh-CN"/>
              </w:rPr>
              <w:t>高于</w:t>
            </w:r>
            <w:r>
              <w:rPr>
                <w:rFonts w:hint="eastAsia" w:asciiTheme="minorEastAsia" w:hAnsiTheme="minorEastAsia" w:eastAsiaTheme="minorEastAsia" w:cstheme="minorEastAsia"/>
                <w:color w:val="auto"/>
                <w:szCs w:val="21"/>
                <w:highlight w:val="none"/>
                <w:lang w:val="en-US" w:eastAsia="zh-CN"/>
              </w:rPr>
              <w:t>采购</w:t>
            </w:r>
            <w:r>
              <w:rPr>
                <w:rFonts w:hint="eastAsia" w:asciiTheme="minorEastAsia" w:hAnsiTheme="minorEastAsia" w:eastAsiaTheme="minorEastAsia" w:cstheme="minorEastAsia"/>
                <w:color w:val="auto"/>
                <w:szCs w:val="21"/>
                <w:highlight w:val="none"/>
                <w:lang w:eastAsia="zh-CN"/>
              </w:rPr>
              <w:t>预算控制</w:t>
            </w:r>
            <w:r>
              <w:rPr>
                <w:rFonts w:hint="eastAsia" w:asciiTheme="minorEastAsia" w:hAnsiTheme="minorEastAsia" w:eastAsiaTheme="minorEastAsia" w:cstheme="minorEastAsia"/>
                <w:color w:val="auto"/>
                <w:szCs w:val="21"/>
                <w:highlight w:val="none"/>
                <w:lang w:val="en-US" w:eastAsia="zh-CN"/>
              </w:rPr>
              <w:t>单价</w:t>
            </w:r>
            <w:r>
              <w:rPr>
                <w:rFonts w:hint="eastAsia" w:asciiTheme="minorEastAsia" w:hAnsiTheme="minorEastAsia" w:eastAsiaTheme="minorEastAsia" w:cstheme="minorEastAsia"/>
                <w:color w:val="auto"/>
                <w:szCs w:val="21"/>
                <w:highlight w:val="none"/>
                <w:lang w:eastAsia="zh-CN"/>
              </w:rPr>
              <w:t>的视为无效报价，其投标予以拒绝；</w:t>
            </w:r>
          </w:p>
          <w:p w14:paraId="5B338825">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2、当成交人投标报价</w:t>
            </w:r>
            <w:r>
              <w:rPr>
                <w:rFonts w:hint="eastAsia" w:asciiTheme="minorEastAsia" w:hAnsiTheme="minorEastAsia" w:eastAsiaTheme="minorEastAsia" w:cstheme="minorEastAsia"/>
                <w:color w:val="auto"/>
                <w:szCs w:val="21"/>
                <w:highlight w:val="none"/>
                <w:lang w:val="en-US" w:eastAsia="zh-CN"/>
              </w:rPr>
              <w:t>单价</w:t>
            </w:r>
            <w:r>
              <w:rPr>
                <w:rFonts w:hint="eastAsia" w:asciiTheme="minorEastAsia" w:hAnsiTheme="minorEastAsia" w:eastAsiaTheme="minorEastAsia" w:cstheme="minorEastAsia"/>
                <w:color w:val="auto"/>
                <w:szCs w:val="21"/>
                <w:highlight w:val="none"/>
                <w:lang w:eastAsia="zh-CN"/>
              </w:rPr>
              <w:t>高于预算控制</w:t>
            </w:r>
            <w:r>
              <w:rPr>
                <w:rFonts w:hint="eastAsia" w:asciiTheme="minorEastAsia" w:hAnsiTheme="minorEastAsia" w:eastAsiaTheme="minorEastAsia" w:cstheme="minorEastAsia"/>
                <w:color w:val="auto"/>
                <w:szCs w:val="21"/>
                <w:highlight w:val="none"/>
                <w:lang w:val="en-US" w:eastAsia="zh-CN"/>
              </w:rPr>
              <w:t>单价</w:t>
            </w:r>
            <w:r>
              <w:rPr>
                <w:rFonts w:hint="eastAsia" w:asciiTheme="minorEastAsia" w:hAnsiTheme="minorEastAsia" w:eastAsiaTheme="minorEastAsia" w:cstheme="minorEastAsia"/>
                <w:color w:val="auto"/>
                <w:szCs w:val="21"/>
                <w:highlight w:val="none"/>
                <w:lang w:eastAsia="zh-CN"/>
              </w:rPr>
              <w:t xml:space="preserve"> 95%时，该成交人的成交</w:t>
            </w:r>
            <w:r>
              <w:rPr>
                <w:rFonts w:hint="eastAsia" w:asciiTheme="minorEastAsia" w:hAnsiTheme="minorEastAsia" w:eastAsiaTheme="minorEastAsia" w:cstheme="minorEastAsia"/>
                <w:color w:val="auto"/>
                <w:szCs w:val="21"/>
                <w:highlight w:val="none"/>
                <w:lang w:val="en-US" w:eastAsia="zh-CN"/>
              </w:rPr>
              <w:t>单</w:t>
            </w:r>
            <w:r>
              <w:rPr>
                <w:rFonts w:hint="eastAsia" w:asciiTheme="minorEastAsia" w:hAnsiTheme="minorEastAsia" w:eastAsiaTheme="minorEastAsia" w:cstheme="minorEastAsia"/>
                <w:color w:val="auto"/>
                <w:szCs w:val="21"/>
                <w:highlight w:val="none"/>
                <w:lang w:eastAsia="zh-CN"/>
              </w:rPr>
              <w:t>价按预算控制</w:t>
            </w:r>
            <w:r>
              <w:rPr>
                <w:rFonts w:hint="eastAsia" w:asciiTheme="minorEastAsia" w:hAnsiTheme="minorEastAsia" w:eastAsiaTheme="minorEastAsia" w:cstheme="minorEastAsia"/>
                <w:color w:val="auto"/>
                <w:szCs w:val="21"/>
                <w:highlight w:val="none"/>
                <w:lang w:val="en-US" w:eastAsia="zh-CN"/>
              </w:rPr>
              <w:t>单价</w:t>
            </w:r>
            <w:r>
              <w:rPr>
                <w:rFonts w:hint="eastAsia" w:asciiTheme="minorEastAsia" w:hAnsiTheme="minorEastAsia" w:eastAsiaTheme="minorEastAsia" w:cstheme="minorEastAsia"/>
                <w:color w:val="auto"/>
                <w:szCs w:val="21"/>
                <w:highlight w:val="none"/>
                <w:lang w:eastAsia="zh-CN"/>
              </w:rPr>
              <w:t>的95%执行。</w:t>
            </w:r>
          </w:p>
        </w:tc>
      </w:tr>
      <w:tr w14:paraId="67D7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14:paraId="6334EAD9">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w:t>
            </w:r>
          </w:p>
        </w:tc>
        <w:tc>
          <w:tcPr>
            <w:tcW w:w="2318" w:type="dxa"/>
            <w:vAlign w:val="center"/>
          </w:tcPr>
          <w:p w14:paraId="1DDE9C0A">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小型或微型企业（含监狱企业）</w:t>
            </w:r>
          </w:p>
        </w:tc>
        <w:tc>
          <w:tcPr>
            <w:tcW w:w="6112" w:type="dxa"/>
            <w:shd w:val="clear" w:color="auto" w:fill="auto"/>
            <w:vAlign w:val="center"/>
          </w:tcPr>
          <w:p w14:paraId="65835B2C">
            <w:pPr>
              <w:spacing w:line="440" w:lineRule="exact"/>
              <w:rPr>
                <w:rFonts w:hint="eastAsia" w:eastAsia="宋体" w:asciiTheme="minorEastAsia" w:hAnsiTheme="minorEastAsia" w:cstheme="minorEastAsia"/>
                <w:color w:val="auto"/>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对中</w:t>
            </w:r>
            <w:r>
              <w:rPr>
                <w:rFonts w:hint="eastAsia" w:ascii="宋体" w:hAnsi="宋体" w:eastAsia="宋体" w:cs="宋体"/>
                <w:color w:val="auto"/>
                <w:kern w:val="0"/>
                <w:szCs w:val="21"/>
                <w:highlight w:val="none"/>
              </w:rPr>
              <w:t>小型或微型企业投标的扶持：</w:t>
            </w:r>
            <w:r>
              <w:rPr>
                <w:rFonts w:hint="eastAsia" w:ascii="宋体" w:hAnsi="宋体" w:eastAsia="宋体" w:cs="宋体"/>
                <w:color w:val="auto"/>
                <w:kern w:val="0"/>
                <w:szCs w:val="21"/>
                <w:highlight w:val="none"/>
                <w:lang w:eastAsia="zh-CN"/>
              </w:rPr>
              <w:t>该项目全额面向中小企业采购，供应商需提供中小企业声明函</w:t>
            </w:r>
            <w:r>
              <w:rPr>
                <w:rFonts w:hint="eastAsia" w:asciiTheme="minorEastAsia" w:hAnsiTheme="minorEastAsia" w:cstheme="minorEastAsia"/>
                <w:color w:val="auto"/>
                <w:highlight w:val="none"/>
                <w:lang w:eastAsia="zh-CN"/>
              </w:rPr>
              <w:t>。</w:t>
            </w:r>
          </w:p>
          <w:p w14:paraId="29F0CBD6">
            <w:pPr>
              <w:spacing w:line="44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 xml:space="preserve">2 </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eastAsia="zh-CN"/>
              </w:rPr>
              <w:t xml:space="preserve">按照《政府采购促进中小企业发展管理办法》有关规定，中小企业的标准为： </w:t>
            </w:r>
          </w:p>
          <w:p w14:paraId="122DF2B5">
            <w:pPr>
              <w:spacing w:line="44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2.1提供本企业制造的货物、承担的工程或者服务，或者提供其他中小企业制造的货物，不包括提供或使用大型企业注册商标的货物；</w:t>
            </w:r>
          </w:p>
          <w:p w14:paraId="56728C55">
            <w:pPr>
              <w:spacing w:line="44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 xml:space="preserve"> 2.2本规定所称中小企业划分标准，是指国务院有关部门根据企业从业人员、营业收入、资产总额等指标制定的中小企业划型标准（工信部联企业﹝2011﹞300号）；</w:t>
            </w:r>
          </w:p>
          <w:p w14:paraId="7D029335">
            <w:pPr>
              <w:spacing w:line="44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 xml:space="preserve"> 2.3小型、微型企业提供有中型企业制造的货物的，视同为中型企业；小型、微型、中型企业提供有大型企业制造的货物的，视同为大型企业。 </w:t>
            </w:r>
          </w:p>
          <w:p w14:paraId="461F78D9">
            <w:pPr>
              <w:spacing w:line="440" w:lineRule="exact"/>
              <w:rPr>
                <w:rFonts w:hint="eastAsia" w:eastAsia="宋体" w:asciiTheme="minorEastAsia" w:hAnsiTheme="minorEastAsia" w:cstheme="minorEastAsia"/>
                <w:color w:val="auto"/>
                <w:highlight w:val="none"/>
                <w:lang w:eastAsia="zh-CN"/>
              </w:rPr>
            </w:pPr>
            <w:r>
              <w:rPr>
                <w:rFonts w:hint="eastAsia" w:ascii="宋体" w:hAnsi="宋体" w:eastAsia="宋体" w:cs="宋体"/>
                <w:color w:val="auto"/>
                <w:kern w:val="0"/>
                <w:szCs w:val="21"/>
                <w:highlight w:val="none"/>
                <w:lang w:eastAsia="zh-CN"/>
              </w:rPr>
              <w:t>3</w:t>
            </w:r>
            <w:r>
              <w:rPr>
                <w:rFonts w:hint="eastAsia" w:ascii="宋体" w:hAnsi="宋体" w:eastAsia="宋体" w:cs="宋体"/>
                <w:color w:val="auto"/>
                <w:kern w:val="0"/>
                <w:szCs w:val="21"/>
                <w:highlight w:val="none"/>
                <w:lang w:val="en-US" w:eastAsia="zh-CN"/>
              </w:rPr>
              <w:t>.</w:t>
            </w:r>
            <w:r>
              <w:rPr>
                <w:rFonts w:hint="eastAsia" w:ascii="宋体" w:hAnsi="宋体" w:eastAsia="宋体" w:cs="宋体"/>
                <w:bCs/>
                <w:color w:val="auto"/>
                <w:highlight w:val="none"/>
              </w:rPr>
              <w:t>根据财政部司法部《关于政府采购支持监狱企业发展有关问题的通知》（财库〔2014〕68号）和财政部民政部中国残疾人联合会《关于促进残疾人就业政府采购政策的通知》（财库〔2017〕141号）规定；</w:t>
            </w:r>
            <w:r>
              <w:rPr>
                <w:rFonts w:hint="eastAsia" w:ascii="宋体" w:hAnsi="宋体" w:eastAsia="宋体" w:cs="宋体"/>
                <w:bCs/>
                <w:color w:val="auto"/>
                <w:highlight w:val="none"/>
                <w:lang w:eastAsia="zh-CN"/>
              </w:rPr>
              <w:t>监狱企业和残疾人福利性单位视同小型、微型企业</w:t>
            </w:r>
            <w:r>
              <w:rPr>
                <w:rFonts w:hint="eastAsia" w:ascii="宋体" w:hAnsi="宋体" w:eastAsia="宋体" w:cs="宋体"/>
                <w:bCs/>
                <w:color w:val="auto"/>
                <w:highlight w:val="none"/>
              </w:rPr>
              <w:t>。</w:t>
            </w:r>
          </w:p>
        </w:tc>
      </w:tr>
      <w:tr w14:paraId="4B93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08125940">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w:t>
            </w:r>
          </w:p>
        </w:tc>
        <w:tc>
          <w:tcPr>
            <w:tcW w:w="2318" w:type="dxa"/>
            <w:shd w:val="clear" w:color="auto" w:fill="auto"/>
            <w:vAlign w:val="center"/>
          </w:tcPr>
          <w:p w14:paraId="47998D53">
            <w:pPr>
              <w:spacing w:line="440" w:lineRule="exact"/>
              <w:jc w:val="center"/>
              <w:rPr>
                <w:rFonts w:ascii="宋体" w:hAnsi="宋体" w:cs="宋体"/>
                <w:bCs/>
                <w:color w:val="auto"/>
                <w:highlight w:val="none"/>
              </w:rPr>
            </w:pPr>
            <w:r>
              <w:rPr>
                <w:rFonts w:hint="eastAsia" w:ascii="宋体" w:hAnsi="宋体" w:cs="宋体"/>
                <w:bCs/>
                <w:color w:val="auto"/>
                <w:highlight w:val="none"/>
              </w:rPr>
              <w:t>付款方式</w:t>
            </w:r>
          </w:p>
        </w:tc>
        <w:tc>
          <w:tcPr>
            <w:tcW w:w="6112" w:type="dxa"/>
            <w:shd w:val="clear" w:color="auto" w:fill="auto"/>
            <w:vAlign w:val="center"/>
          </w:tcPr>
          <w:p w14:paraId="2A175A17">
            <w:pPr>
              <w:spacing w:line="440" w:lineRule="exact"/>
              <w:ind w:firstLine="420" w:firstLineChars="200"/>
              <w:rPr>
                <w:rFonts w:ascii="宋体" w:hAnsi="宋体" w:cs="宋体" w:eastAsiaTheme="minorEastAsia"/>
                <w:bCs/>
                <w:color w:val="auto"/>
                <w:highlight w:val="none"/>
              </w:rPr>
            </w:pPr>
            <w:r>
              <w:rPr>
                <w:rFonts w:ascii="宋体" w:hAnsi="宋体" w:cs="宋体" w:eastAsiaTheme="minorEastAsia"/>
                <w:bCs/>
                <w:color w:val="auto"/>
                <w:highlight w:val="none"/>
              </w:rPr>
              <w:t>运行费用依据运行记录，检测结果等确定达标处理量， 每季度支付一次。</w:t>
            </w:r>
          </w:p>
        </w:tc>
      </w:tr>
      <w:tr w14:paraId="6592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14:paraId="677E2309">
            <w:pPr>
              <w:spacing w:line="36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zCs w:val="21"/>
                <w:highlight w:val="none"/>
                <w:lang w:val="en-US" w:eastAsia="zh-CN"/>
              </w:rPr>
              <w:t>4</w:t>
            </w:r>
          </w:p>
        </w:tc>
        <w:tc>
          <w:tcPr>
            <w:tcW w:w="2318" w:type="dxa"/>
            <w:vAlign w:val="center"/>
          </w:tcPr>
          <w:p w14:paraId="6FF6DD9D">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招标代理服务费</w:t>
            </w:r>
          </w:p>
        </w:tc>
        <w:tc>
          <w:tcPr>
            <w:tcW w:w="6112" w:type="dxa"/>
            <w:vAlign w:val="center"/>
          </w:tcPr>
          <w:p w14:paraId="11558256">
            <w:pPr>
              <w:spacing w:line="440" w:lineRule="exact"/>
              <w:rPr>
                <w:color w:val="auto"/>
                <w:highlight w:val="none"/>
              </w:rPr>
            </w:pPr>
            <w:r>
              <w:rPr>
                <w:rFonts w:hint="eastAsia" w:ascii="宋体" w:hAnsi="宋体" w:cs="宋体"/>
                <w:bCs/>
                <w:color w:val="auto"/>
                <w:highlight w:val="none"/>
              </w:rPr>
              <w:t>参照豫招协[2023]002号《河南省招标代理服务收费指导意见》中的标准收取，由中标人支付。招标代理费由招标代理机构通知中标企业结清后，领取中标通知书。</w:t>
            </w:r>
          </w:p>
        </w:tc>
      </w:tr>
      <w:tr w14:paraId="360D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14:paraId="12185E2C">
            <w:pPr>
              <w:spacing w:line="36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zCs w:val="21"/>
                <w:highlight w:val="none"/>
                <w:lang w:val="en-US" w:eastAsia="zh-CN"/>
              </w:rPr>
              <w:t>5</w:t>
            </w:r>
          </w:p>
        </w:tc>
        <w:tc>
          <w:tcPr>
            <w:tcW w:w="2318" w:type="dxa"/>
            <w:vAlign w:val="center"/>
          </w:tcPr>
          <w:p w14:paraId="170B34B4">
            <w:pPr>
              <w:adjustRightInd w:val="0"/>
              <w:snapToGrid w:val="0"/>
              <w:jc w:val="center"/>
              <w:rPr>
                <w:rFonts w:ascii="宋体" w:hAnsi="宋体" w:cs="宋体"/>
                <w:bCs/>
                <w:color w:val="auto"/>
                <w:highlight w:val="none"/>
              </w:rPr>
            </w:pPr>
            <w:r>
              <w:rPr>
                <w:rFonts w:hint="eastAsia" w:ascii="宋体" w:hAnsi="宋体" w:cs="宋体"/>
                <w:bCs/>
                <w:color w:val="auto"/>
                <w:highlight w:val="none"/>
              </w:rPr>
              <w:t>认定为不响应招标文件的其它条件</w:t>
            </w:r>
          </w:p>
        </w:tc>
        <w:tc>
          <w:tcPr>
            <w:tcW w:w="6112" w:type="dxa"/>
            <w:vAlign w:val="center"/>
          </w:tcPr>
          <w:p w14:paraId="1B8EED7A">
            <w:pPr>
              <w:pStyle w:val="5"/>
              <w:ind w:firstLine="0" w:firstLineChars="0"/>
              <w:rPr>
                <w:rFonts w:ascii="宋体" w:hAnsi="宋体" w:cs="宋体"/>
                <w:bCs/>
                <w:color w:val="auto"/>
                <w:highlight w:val="none"/>
              </w:rPr>
            </w:pPr>
            <w:r>
              <w:rPr>
                <w:rFonts w:hint="eastAsia" w:ascii="宋体" w:hAnsi="宋体" w:cs="宋体"/>
                <w:bCs/>
                <w:color w:val="auto"/>
                <w:highlight w:val="none"/>
              </w:rPr>
              <w:t>1、未按招标文件明示的规定签字盖章的；</w:t>
            </w:r>
          </w:p>
          <w:p w14:paraId="0224DB08">
            <w:pPr>
              <w:pStyle w:val="5"/>
              <w:ind w:firstLine="0" w:firstLineChars="0"/>
              <w:rPr>
                <w:rFonts w:ascii="宋体" w:hAnsi="宋体" w:cs="宋体"/>
                <w:bCs/>
                <w:color w:val="auto"/>
                <w:highlight w:val="none"/>
              </w:rPr>
            </w:pPr>
            <w:r>
              <w:rPr>
                <w:rFonts w:hint="eastAsia" w:ascii="宋体" w:hAnsi="宋体" w:cs="宋体"/>
                <w:bCs/>
                <w:color w:val="auto"/>
                <w:highlight w:val="none"/>
              </w:rPr>
              <w:t>2、投标文件的关键内容（</w:t>
            </w:r>
            <w:r>
              <w:rPr>
                <w:rFonts w:hint="eastAsia" w:ascii="宋体" w:hAnsi="宋体" w:cs="宋体"/>
                <w:bCs/>
                <w:color w:val="auto"/>
                <w:highlight w:val="none"/>
                <w:lang w:val="en-US" w:eastAsia="zh-CN"/>
              </w:rPr>
              <w:t>服务周</w:t>
            </w:r>
            <w:r>
              <w:rPr>
                <w:rFonts w:hint="eastAsia" w:ascii="宋体" w:hAnsi="宋体" w:cs="宋体"/>
                <w:bCs/>
                <w:color w:val="auto"/>
                <w:highlight w:val="none"/>
              </w:rPr>
              <w:t>期、质量标准等）未填写或填写字迹模糊、达不到采购要求的；</w:t>
            </w:r>
          </w:p>
          <w:p w14:paraId="13CB16D7">
            <w:pPr>
              <w:pStyle w:val="5"/>
              <w:ind w:firstLine="0" w:firstLineChars="0"/>
              <w:rPr>
                <w:rFonts w:ascii="宋体" w:hAnsi="宋体" w:cs="宋体"/>
                <w:bCs/>
                <w:color w:val="auto"/>
                <w:highlight w:val="none"/>
              </w:rPr>
            </w:pPr>
            <w:r>
              <w:rPr>
                <w:rFonts w:hint="eastAsia" w:ascii="宋体" w:hAnsi="宋体" w:cs="宋体"/>
                <w:bCs/>
                <w:color w:val="auto"/>
                <w:highlight w:val="none"/>
              </w:rPr>
              <w:t>3、投标报价超出招标控制价的；</w:t>
            </w:r>
          </w:p>
          <w:p w14:paraId="56EA0DB2">
            <w:pPr>
              <w:pStyle w:val="5"/>
              <w:ind w:firstLine="0" w:firstLineChars="0"/>
              <w:rPr>
                <w:rFonts w:ascii="宋体" w:hAnsi="宋体" w:cs="宋体"/>
                <w:bCs/>
                <w:color w:val="auto"/>
                <w:highlight w:val="none"/>
              </w:rPr>
            </w:pPr>
            <w:r>
              <w:rPr>
                <w:rFonts w:hint="eastAsia" w:ascii="宋体" w:hAnsi="宋体" w:cs="宋体"/>
                <w:bCs/>
                <w:color w:val="auto"/>
                <w:highlight w:val="none"/>
              </w:rPr>
              <w:t>4、供应商递交两份或多份内容不同的投标文件，或在一份投标文件中对同一招标项目有两个或多个报价，且未声明哪一个有效的；</w:t>
            </w:r>
          </w:p>
          <w:p w14:paraId="50828982">
            <w:pPr>
              <w:pStyle w:val="5"/>
              <w:ind w:firstLine="0" w:firstLineChars="0"/>
              <w:rPr>
                <w:rFonts w:ascii="宋体" w:hAnsi="宋体" w:cs="宋体"/>
                <w:bCs/>
                <w:color w:val="auto"/>
                <w:highlight w:val="none"/>
              </w:rPr>
            </w:pPr>
            <w:r>
              <w:rPr>
                <w:rFonts w:hint="eastAsia" w:ascii="宋体" w:hAnsi="宋体" w:cs="宋体"/>
                <w:bCs/>
                <w:color w:val="auto"/>
                <w:highlight w:val="none"/>
                <w:lang w:val="en-US" w:eastAsia="zh-CN"/>
              </w:rPr>
              <w:t>5</w:t>
            </w:r>
            <w:r>
              <w:rPr>
                <w:rFonts w:hint="eastAsia" w:ascii="宋体" w:hAnsi="宋体" w:cs="宋体"/>
                <w:bCs/>
                <w:color w:val="auto"/>
                <w:highlight w:val="none"/>
              </w:rPr>
              <w:t>、附有采购人不能接受的条件的；</w:t>
            </w:r>
          </w:p>
          <w:p w14:paraId="075E7D2C">
            <w:pPr>
              <w:pStyle w:val="5"/>
              <w:ind w:firstLine="0" w:firstLineChars="0"/>
              <w:rPr>
                <w:rFonts w:ascii="宋体" w:hAnsi="宋体" w:cs="宋体"/>
                <w:bCs/>
                <w:color w:val="auto"/>
                <w:highlight w:val="none"/>
              </w:rPr>
            </w:pPr>
            <w:r>
              <w:rPr>
                <w:rFonts w:hint="eastAsia" w:ascii="宋体" w:hAnsi="宋体" w:cs="宋体"/>
                <w:bCs/>
                <w:color w:val="auto"/>
                <w:highlight w:val="none"/>
                <w:lang w:val="en-US" w:eastAsia="zh-CN"/>
              </w:rPr>
              <w:t>6</w:t>
            </w:r>
            <w:r>
              <w:rPr>
                <w:rFonts w:hint="eastAsia" w:ascii="宋体" w:hAnsi="宋体" w:cs="宋体"/>
                <w:bCs/>
                <w:color w:val="auto"/>
                <w:highlight w:val="none"/>
              </w:rPr>
              <w:t>、评标过程中，如因两个或两个以上供应商在同一台计算</w:t>
            </w:r>
            <w:r>
              <w:rPr>
                <w:rFonts w:hint="eastAsia" w:ascii="宋体" w:hAnsi="宋体" w:cs="宋体"/>
                <w:bCs/>
                <w:color w:val="auto"/>
                <w:highlight w:val="none"/>
                <w:lang w:val="en-US" w:eastAsia="zh-CN"/>
              </w:rPr>
              <w:t>机</w:t>
            </w:r>
            <w:r>
              <w:rPr>
                <w:rFonts w:hint="eastAsia" w:ascii="宋体" w:hAnsi="宋体" w:cs="宋体"/>
                <w:bCs/>
                <w:color w:val="auto"/>
                <w:highlight w:val="none"/>
              </w:rPr>
              <w:t>或同一个IP上传投标文件，而被不见面开标系统提示为“投标文件制作机器码一致”的，则视其投标无效。</w:t>
            </w:r>
          </w:p>
          <w:p w14:paraId="12AEF156">
            <w:pPr>
              <w:pStyle w:val="5"/>
              <w:ind w:firstLine="0" w:firstLineChars="0"/>
              <w:rPr>
                <w:rFonts w:ascii="宋体" w:hAnsi="宋体" w:cs="宋体"/>
                <w:bCs/>
                <w:color w:val="auto"/>
                <w:highlight w:val="none"/>
              </w:rPr>
            </w:pPr>
            <w:r>
              <w:rPr>
                <w:rFonts w:hint="eastAsia" w:ascii="宋体" w:hAnsi="宋体" w:cs="宋体"/>
                <w:bCs/>
                <w:color w:val="auto"/>
                <w:highlight w:val="none"/>
                <w:lang w:val="en-US" w:eastAsia="zh-CN"/>
              </w:rPr>
              <w:t>7</w:t>
            </w:r>
            <w:r>
              <w:rPr>
                <w:rFonts w:hint="eastAsia" w:ascii="宋体" w:hAnsi="宋体" w:cs="宋体"/>
                <w:bCs/>
                <w:color w:val="auto"/>
                <w:highlight w:val="none"/>
              </w:rPr>
              <w:t>、投标文件有明显不符合招标文件其它要求和有关法律法规的。</w:t>
            </w:r>
          </w:p>
        </w:tc>
      </w:tr>
      <w:tr w14:paraId="04F9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14:paraId="64B4857D">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10.9</w:t>
            </w:r>
          </w:p>
        </w:tc>
        <w:tc>
          <w:tcPr>
            <w:tcW w:w="8430" w:type="dxa"/>
            <w:gridSpan w:val="2"/>
            <w:vAlign w:val="center"/>
          </w:tcPr>
          <w:p w14:paraId="1A4409C8">
            <w:pPr>
              <w:pStyle w:val="5"/>
              <w:tabs>
                <w:tab w:val="left" w:pos="1268"/>
              </w:tabs>
              <w:ind w:firstLine="0" w:firstLineChars="0"/>
              <w:rPr>
                <w:rFonts w:ascii="宋体" w:hAnsi="宋体" w:cs="宋体"/>
                <w:bCs/>
                <w:color w:val="auto"/>
                <w:highlight w:val="none"/>
              </w:rPr>
            </w:pPr>
            <w:r>
              <w:rPr>
                <w:rFonts w:hint="eastAsia" w:asciiTheme="minorEastAsia" w:hAnsiTheme="minorEastAsia" w:eastAsiaTheme="minorEastAsia" w:cstheme="minorEastAsia"/>
                <w:color w:val="auto"/>
                <w:szCs w:val="21"/>
                <w:highlight w:val="none"/>
              </w:rPr>
              <w:t>本招标文件解释权归采购人</w:t>
            </w:r>
          </w:p>
        </w:tc>
      </w:tr>
    </w:tbl>
    <w:p w14:paraId="79E66B0B">
      <w:pPr>
        <w:pStyle w:val="20"/>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4" w:name="_Toc23082"/>
      <w:bookmarkStart w:id="15" w:name="_Toc7029"/>
      <w:bookmarkStart w:id="16" w:name="_Toc23576"/>
      <w:bookmarkStart w:id="17" w:name="_Toc9048"/>
      <w:bookmarkStart w:id="18" w:name="_Toc426369479"/>
      <w:bookmarkStart w:id="19" w:name="_Toc403122491"/>
      <w:bookmarkStart w:id="20" w:name="_Toc26894"/>
      <w:bookmarkStart w:id="21" w:name="_Toc426369491"/>
      <w:bookmarkStart w:id="22" w:name="_Toc403122503"/>
      <w:r>
        <w:rPr>
          <w:rFonts w:hint="eastAsia" w:asciiTheme="minorEastAsia" w:hAnsiTheme="minorEastAsia" w:eastAsiaTheme="minorEastAsia" w:cstheme="minorEastAsia"/>
          <w:color w:val="auto"/>
          <w:sz w:val="24"/>
          <w:szCs w:val="24"/>
          <w:highlight w:val="none"/>
        </w:rPr>
        <w:t>1. 总则</w:t>
      </w:r>
      <w:bookmarkEnd w:id="14"/>
      <w:bookmarkEnd w:id="15"/>
      <w:bookmarkEnd w:id="16"/>
      <w:bookmarkEnd w:id="17"/>
      <w:bookmarkEnd w:id="18"/>
      <w:bookmarkEnd w:id="19"/>
    </w:p>
    <w:p w14:paraId="6D398054">
      <w:pPr>
        <w:spacing w:line="500" w:lineRule="exact"/>
        <w:ind w:firstLine="482" w:firstLineChars="200"/>
        <w:rPr>
          <w:rFonts w:asciiTheme="minorEastAsia" w:hAnsiTheme="minorEastAsia" w:eastAsiaTheme="minorEastAsia" w:cstheme="minorEastAsia"/>
          <w:b/>
          <w:bCs/>
          <w:color w:val="auto"/>
          <w:sz w:val="24"/>
          <w:highlight w:val="none"/>
        </w:rPr>
      </w:pPr>
      <w:bookmarkStart w:id="23" w:name="_Toc279599771"/>
      <w:bookmarkStart w:id="24" w:name="_Toc426369480"/>
      <w:bookmarkStart w:id="25" w:name="_Toc274249575"/>
      <w:bookmarkStart w:id="26" w:name="_Toc403122492"/>
      <w:r>
        <w:rPr>
          <w:rFonts w:hint="eastAsia" w:asciiTheme="minorEastAsia" w:hAnsiTheme="minorEastAsia" w:eastAsiaTheme="minorEastAsia" w:cstheme="minorEastAsia"/>
          <w:b/>
          <w:bCs/>
          <w:color w:val="auto"/>
          <w:sz w:val="24"/>
          <w:highlight w:val="none"/>
        </w:rPr>
        <w:t>1.1 项目概况</w:t>
      </w:r>
      <w:bookmarkEnd w:id="23"/>
      <w:bookmarkEnd w:id="24"/>
      <w:bookmarkEnd w:id="25"/>
      <w:bookmarkEnd w:id="26"/>
    </w:p>
    <w:p w14:paraId="776E5E2B">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根据</w:t>
      </w:r>
      <w:r>
        <w:rPr>
          <w:rFonts w:hint="eastAsia"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color w:val="auto"/>
          <w:szCs w:val="21"/>
          <w:highlight w:val="none"/>
        </w:rPr>
        <w:t xml:space="preserve">等有关法律、法规和规章的规定，本招标项目已具备招标条件，现对本招标项目进行公开招标。 </w:t>
      </w:r>
    </w:p>
    <w:p w14:paraId="275B8F42">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1.1.2  本招标项目采购人：见供应商须知前附表。 </w:t>
      </w:r>
    </w:p>
    <w:p w14:paraId="00BC38FC">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1.1.3  本招标项目采购代理机构：见供应商须知前附表。 </w:t>
      </w:r>
    </w:p>
    <w:p w14:paraId="4FAE0DD6">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1.1.4  本招标项目名称：见供应商须知前附表。 </w:t>
      </w:r>
    </w:p>
    <w:p w14:paraId="21ADF8F3">
      <w:pPr>
        <w:spacing w:line="500" w:lineRule="exact"/>
        <w:ind w:firstLine="482" w:firstLineChars="200"/>
        <w:rPr>
          <w:rFonts w:asciiTheme="minorEastAsia" w:hAnsiTheme="minorEastAsia" w:eastAsiaTheme="minorEastAsia" w:cstheme="minorEastAsia"/>
          <w:b/>
          <w:bCs/>
          <w:color w:val="auto"/>
          <w:sz w:val="24"/>
          <w:highlight w:val="none"/>
        </w:rPr>
      </w:pPr>
      <w:bookmarkStart w:id="27" w:name="_Toc426369481"/>
      <w:bookmarkStart w:id="28" w:name="_Toc279599772"/>
      <w:bookmarkStart w:id="29" w:name="_Toc403122493"/>
      <w:bookmarkStart w:id="30" w:name="_Toc274249576"/>
      <w:r>
        <w:rPr>
          <w:rFonts w:hint="eastAsia" w:asciiTheme="minorEastAsia" w:hAnsiTheme="minorEastAsia" w:eastAsiaTheme="minorEastAsia" w:cstheme="minorEastAsia"/>
          <w:b/>
          <w:bCs/>
          <w:color w:val="auto"/>
          <w:sz w:val="24"/>
          <w:highlight w:val="none"/>
        </w:rPr>
        <w:t>1.2 资金来源和落实情况</w:t>
      </w:r>
      <w:bookmarkEnd w:id="27"/>
      <w:bookmarkEnd w:id="28"/>
      <w:bookmarkEnd w:id="29"/>
      <w:bookmarkEnd w:id="30"/>
    </w:p>
    <w:p w14:paraId="1D40BC39">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  本招标项目的资金来源：见供应商须知前附表。 </w:t>
      </w:r>
    </w:p>
    <w:p w14:paraId="1C7CC23A">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1.2.2  本招标项目的资金落实情况：见供应商须知前附表。 </w:t>
      </w:r>
    </w:p>
    <w:p w14:paraId="2EB1E366">
      <w:pPr>
        <w:spacing w:line="500" w:lineRule="exact"/>
        <w:ind w:firstLine="482" w:firstLineChars="200"/>
        <w:rPr>
          <w:rFonts w:asciiTheme="minorEastAsia" w:hAnsiTheme="minorEastAsia" w:eastAsiaTheme="minorEastAsia" w:cstheme="minorEastAsia"/>
          <w:b/>
          <w:bCs/>
          <w:color w:val="auto"/>
          <w:sz w:val="24"/>
          <w:highlight w:val="none"/>
        </w:rPr>
      </w:pPr>
      <w:bookmarkStart w:id="31" w:name="_Toc403122494"/>
      <w:bookmarkStart w:id="32" w:name="_Toc426369482"/>
      <w:bookmarkStart w:id="33" w:name="_Toc279599773"/>
      <w:bookmarkStart w:id="34" w:name="_Toc274249577"/>
      <w:r>
        <w:rPr>
          <w:rFonts w:hint="eastAsia" w:asciiTheme="minorEastAsia" w:hAnsiTheme="minorEastAsia" w:eastAsiaTheme="minorEastAsia" w:cstheme="minorEastAsia"/>
          <w:b/>
          <w:bCs/>
          <w:color w:val="auto"/>
          <w:sz w:val="24"/>
          <w:highlight w:val="none"/>
        </w:rPr>
        <w:t>1.3 采购内容、运行周期和质量</w:t>
      </w:r>
      <w:bookmarkEnd w:id="31"/>
      <w:bookmarkEnd w:id="32"/>
      <w:bookmarkEnd w:id="33"/>
      <w:bookmarkEnd w:id="34"/>
      <w:r>
        <w:rPr>
          <w:rFonts w:hint="eastAsia" w:asciiTheme="minorEastAsia" w:hAnsiTheme="minorEastAsia" w:eastAsiaTheme="minorEastAsia" w:cstheme="minorEastAsia"/>
          <w:b/>
          <w:bCs/>
          <w:color w:val="auto"/>
          <w:sz w:val="24"/>
          <w:highlight w:val="none"/>
        </w:rPr>
        <w:t>标准</w:t>
      </w:r>
    </w:p>
    <w:p w14:paraId="509FC393">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1.3.1  本次招标采购内容：见供应商须知前附表。 </w:t>
      </w:r>
    </w:p>
    <w:p w14:paraId="3BA00ED2">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1.3.2  本次招标的项目运行周期：见供应商须知前附表。 </w:t>
      </w:r>
    </w:p>
    <w:p w14:paraId="548BB506">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1.3.3  本次招标的质量标准：见供应商须知前附表。 </w:t>
      </w:r>
      <w:r>
        <w:rPr>
          <w:rFonts w:hint="eastAsia" w:asciiTheme="minorEastAsia" w:hAnsiTheme="minorEastAsia" w:eastAsiaTheme="minorEastAsia" w:cstheme="minorEastAsia"/>
          <w:color w:val="auto"/>
          <w:szCs w:val="21"/>
          <w:highlight w:val="none"/>
        </w:rPr>
        <w:tab/>
      </w:r>
    </w:p>
    <w:p w14:paraId="696F95AC">
      <w:pPr>
        <w:spacing w:line="500" w:lineRule="exact"/>
        <w:ind w:firstLine="482" w:firstLineChars="200"/>
        <w:rPr>
          <w:rFonts w:asciiTheme="minorEastAsia" w:hAnsiTheme="minorEastAsia" w:eastAsiaTheme="minorEastAsia" w:cstheme="minorEastAsia"/>
          <w:b/>
          <w:bCs/>
          <w:color w:val="auto"/>
          <w:sz w:val="24"/>
          <w:highlight w:val="none"/>
        </w:rPr>
      </w:pPr>
      <w:bookmarkStart w:id="35" w:name="_Toc279599774"/>
      <w:bookmarkStart w:id="36" w:name="_Toc426369483"/>
      <w:bookmarkStart w:id="37" w:name="_Toc403122495"/>
      <w:bookmarkStart w:id="38" w:name="_Toc274249578"/>
      <w:r>
        <w:rPr>
          <w:rFonts w:hint="eastAsia" w:asciiTheme="minorEastAsia" w:hAnsiTheme="minorEastAsia" w:eastAsiaTheme="minorEastAsia" w:cstheme="minorEastAsia"/>
          <w:b/>
          <w:bCs/>
          <w:color w:val="auto"/>
          <w:sz w:val="24"/>
          <w:highlight w:val="none"/>
        </w:rPr>
        <w:t>1.4 供应商资格要求</w:t>
      </w:r>
      <w:bookmarkEnd w:id="35"/>
      <w:bookmarkEnd w:id="36"/>
      <w:bookmarkEnd w:id="37"/>
      <w:bookmarkEnd w:id="38"/>
    </w:p>
    <w:p w14:paraId="6EE19059">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1.4.1 供应商应具备承担本招标项目的资质条件。 </w:t>
      </w:r>
    </w:p>
    <w:p w14:paraId="5E03FC06">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（1）供应商资质条件：见供应商须知前附表； </w:t>
      </w:r>
    </w:p>
    <w:p w14:paraId="3233157E">
      <w:pPr>
        <w:spacing w:line="440" w:lineRule="exact"/>
        <w:ind w:firstLine="420" w:firstLineChars="200"/>
        <w:rPr>
          <w:rFonts w:asciiTheme="minorEastAsia" w:hAnsiTheme="minorEastAsia" w:eastAsiaTheme="minorEastAsia" w:cstheme="minorEastAsia"/>
          <w:color w:val="auto"/>
          <w:szCs w:val="21"/>
          <w:highlight w:val="none"/>
        </w:rPr>
      </w:pPr>
      <w:bookmarkStart w:id="39" w:name="_Toc274249579"/>
      <w:bookmarkStart w:id="40" w:name="_Toc403122496"/>
      <w:bookmarkStart w:id="41" w:name="_Toc279599775"/>
      <w:r>
        <w:rPr>
          <w:rFonts w:hint="eastAsia" w:asciiTheme="minorEastAsia" w:hAnsiTheme="minorEastAsia" w:eastAsiaTheme="minorEastAsia" w:cstheme="minorEastAsia"/>
          <w:color w:val="auto"/>
          <w:szCs w:val="21"/>
          <w:highlight w:val="none"/>
        </w:rPr>
        <w:t>1.4.2 本次招标不接受联合体投标。</w:t>
      </w:r>
    </w:p>
    <w:p w14:paraId="3336934B">
      <w:pPr>
        <w:spacing w:line="500" w:lineRule="exact"/>
        <w:ind w:firstLine="482" w:firstLineChars="200"/>
        <w:rPr>
          <w:rFonts w:asciiTheme="minorEastAsia" w:hAnsiTheme="minorEastAsia" w:eastAsiaTheme="minorEastAsia" w:cstheme="minorEastAsia"/>
          <w:b/>
          <w:bCs/>
          <w:color w:val="auto"/>
          <w:sz w:val="24"/>
          <w:highlight w:val="none"/>
        </w:rPr>
      </w:pPr>
      <w:bookmarkStart w:id="42" w:name="_Toc426369484"/>
      <w:r>
        <w:rPr>
          <w:rFonts w:hint="eastAsia" w:asciiTheme="minorEastAsia" w:hAnsiTheme="minorEastAsia" w:eastAsiaTheme="minorEastAsia" w:cstheme="minorEastAsia"/>
          <w:b/>
          <w:bCs/>
          <w:color w:val="auto"/>
          <w:sz w:val="24"/>
          <w:highlight w:val="none"/>
        </w:rPr>
        <w:t>1.5 费用承担</w:t>
      </w:r>
      <w:bookmarkEnd w:id="39"/>
      <w:bookmarkEnd w:id="40"/>
      <w:bookmarkEnd w:id="41"/>
      <w:bookmarkEnd w:id="42"/>
    </w:p>
    <w:p w14:paraId="11059F6C">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供应商准备和参加投标活动发生的费用自理。 </w:t>
      </w:r>
    </w:p>
    <w:p w14:paraId="4CEBB817">
      <w:pPr>
        <w:spacing w:line="500" w:lineRule="exact"/>
        <w:ind w:firstLine="482" w:firstLineChars="200"/>
        <w:rPr>
          <w:rFonts w:asciiTheme="minorEastAsia" w:hAnsiTheme="minorEastAsia" w:eastAsiaTheme="minorEastAsia" w:cstheme="minorEastAsia"/>
          <w:b/>
          <w:bCs/>
          <w:color w:val="auto"/>
          <w:sz w:val="24"/>
          <w:highlight w:val="none"/>
        </w:rPr>
      </w:pPr>
      <w:bookmarkStart w:id="43" w:name="_Toc403122497"/>
      <w:bookmarkStart w:id="44" w:name="_Toc426369485"/>
      <w:r>
        <w:rPr>
          <w:rFonts w:hint="eastAsia" w:asciiTheme="minorEastAsia" w:hAnsiTheme="minorEastAsia" w:eastAsiaTheme="minorEastAsia" w:cstheme="minorEastAsia"/>
          <w:b/>
          <w:bCs/>
          <w:color w:val="auto"/>
          <w:sz w:val="24"/>
          <w:highlight w:val="none"/>
        </w:rPr>
        <w:t>1.6 保密</w:t>
      </w:r>
      <w:bookmarkEnd w:id="43"/>
      <w:bookmarkEnd w:id="44"/>
    </w:p>
    <w:p w14:paraId="3B18A02C">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参与招标投标活动的各方应对招标文件和投标文件中的商业和技术等秘密保密，违者应对由此造成的后果承担法律责任。</w:t>
      </w:r>
    </w:p>
    <w:p w14:paraId="61E94054">
      <w:pPr>
        <w:spacing w:line="500" w:lineRule="exact"/>
        <w:ind w:firstLine="482" w:firstLineChars="200"/>
        <w:rPr>
          <w:rFonts w:asciiTheme="minorEastAsia" w:hAnsiTheme="minorEastAsia" w:eastAsiaTheme="minorEastAsia" w:cstheme="minorEastAsia"/>
          <w:b/>
          <w:bCs/>
          <w:color w:val="auto"/>
          <w:sz w:val="24"/>
          <w:highlight w:val="none"/>
        </w:rPr>
      </w:pPr>
      <w:bookmarkStart w:id="45" w:name="_Toc403122498"/>
      <w:bookmarkStart w:id="46" w:name="_Toc279599777"/>
      <w:bookmarkStart w:id="47" w:name="_Toc274249581"/>
      <w:bookmarkStart w:id="48" w:name="_Toc426369486"/>
      <w:r>
        <w:rPr>
          <w:rFonts w:hint="eastAsia" w:asciiTheme="minorEastAsia" w:hAnsiTheme="minorEastAsia" w:eastAsiaTheme="minorEastAsia" w:cstheme="minorEastAsia"/>
          <w:b/>
          <w:bCs/>
          <w:color w:val="auto"/>
          <w:sz w:val="24"/>
          <w:highlight w:val="none"/>
        </w:rPr>
        <w:t>1.7 语言文字</w:t>
      </w:r>
      <w:bookmarkEnd w:id="45"/>
      <w:bookmarkEnd w:id="46"/>
      <w:bookmarkEnd w:id="47"/>
      <w:bookmarkEnd w:id="48"/>
      <w:r>
        <w:rPr>
          <w:rFonts w:hint="eastAsia" w:asciiTheme="minorEastAsia" w:hAnsiTheme="minorEastAsia" w:eastAsiaTheme="minorEastAsia" w:cstheme="minorEastAsia"/>
          <w:b/>
          <w:bCs/>
          <w:color w:val="auto"/>
          <w:sz w:val="24"/>
          <w:highlight w:val="none"/>
        </w:rPr>
        <w:t xml:space="preserve"> </w:t>
      </w:r>
    </w:p>
    <w:p w14:paraId="50FE727B">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 采购文件以及供应商与采购人、采购代理机构就有关投标事宜的所有来往函电均应使用简体中文书写。</w:t>
      </w:r>
    </w:p>
    <w:p w14:paraId="1365B01E">
      <w:pPr>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1.7.2原版为外文的证书类文件，以及由外国人做出的本人签名、外国公司的名称或外国印章等可以是外文，但应当提供中文翻译文件并加盖供应商公章。必要时评标委员会可以要求供应商提供附有公证书的中文翻译文件或者与原版文件签章相一致的中文翻译文件</w:t>
      </w:r>
      <w:bookmarkStart w:id="49" w:name="_Toc426369487"/>
      <w:bookmarkStart w:id="50" w:name="_Toc403122499"/>
    </w:p>
    <w:p w14:paraId="049DD969">
      <w:pPr>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1.8 计量单位</w:t>
      </w:r>
      <w:bookmarkEnd w:id="49"/>
      <w:bookmarkEnd w:id="50"/>
    </w:p>
    <w:p w14:paraId="39B66534">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1.8.1关于投标计量单位，采购文件已有明确规定的，使用采购文件规定的计量单位；采购文件没有规定的，应采用中华人民共和国法定计量单位。 </w:t>
      </w:r>
    </w:p>
    <w:p w14:paraId="7EDD44B3">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1.8.2本响应性文件所表述的时间均为北京时间。</w:t>
      </w:r>
    </w:p>
    <w:p w14:paraId="3AD3A6A7">
      <w:pPr>
        <w:spacing w:line="500" w:lineRule="exact"/>
        <w:ind w:firstLine="482" w:firstLineChars="200"/>
        <w:rPr>
          <w:rFonts w:asciiTheme="minorEastAsia" w:hAnsiTheme="minorEastAsia" w:eastAsiaTheme="minorEastAsia" w:cstheme="minorEastAsia"/>
          <w:b/>
          <w:bCs/>
          <w:color w:val="auto"/>
          <w:sz w:val="24"/>
          <w:highlight w:val="none"/>
        </w:rPr>
      </w:pPr>
      <w:bookmarkStart w:id="51" w:name="_Toc403122500"/>
      <w:bookmarkStart w:id="52" w:name="_Toc274249583"/>
      <w:bookmarkStart w:id="53" w:name="_Toc426369488"/>
      <w:bookmarkStart w:id="54" w:name="_Toc279599779"/>
      <w:r>
        <w:rPr>
          <w:rFonts w:hint="eastAsia" w:asciiTheme="minorEastAsia" w:hAnsiTheme="minorEastAsia" w:eastAsiaTheme="minorEastAsia" w:cstheme="minorEastAsia"/>
          <w:b/>
          <w:bCs/>
          <w:color w:val="auto"/>
          <w:sz w:val="24"/>
          <w:highlight w:val="none"/>
        </w:rPr>
        <w:t>1.9 踏勘现场</w:t>
      </w:r>
      <w:bookmarkEnd w:id="51"/>
      <w:bookmarkEnd w:id="52"/>
      <w:bookmarkEnd w:id="53"/>
      <w:bookmarkEnd w:id="54"/>
    </w:p>
    <w:p w14:paraId="070D593E">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1.9.1  由于项目特殊性，本次招标需供应商自行勘查。 </w:t>
      </w:r>
    </w:p>
    <w:p w14:paraId="197AB1CA">
      <w:pPr>
        <w:spacing w:line="500" w:lineRule="exact"/>
        <w:ind w:firstLine="482" w:firstLineChars="200"/>
        <w:rPr>
          <w:rFonts w:asciiTheme="minorEastAsia" w:hAnsiTheme="minorEastAsia" w:eastAsiaTheme="minorEastAsia" w:cstheme="minorEastAsia"/>
          <w:b/>
          <w:bCs/>
          <w:color w:val="auto"/>
          <w:sz w:val="24"/>
          <w:highlight w:val="none"/>
        </w:rPr>
      </w:pPr>
      <w:bookmarkStart w:id="55" w:name="_Toc426369489"/>
      <w:bookmarkStart w:id="56" w:name="_Toc403122501"/>
      <w:bookmarkStart w:id="57" w:name="_Toc279599780"/>
      <w:bookmarkStart w:id="58" w:name="_Toc274249584"/>
      <w:r>
        <w:rPr>
          <w:rFonts w:hint="eastAsia" w:asciiTheme="minorEastAsia" w:hAnsiTheme="minorEastAsia" w:eastAsiaTheme="minorEastAsia" w:cstheme="minorEastAsia"/>
          <w:b/>
          <w:bCs/>
          <w:color w:val="auto"/>
          <w:sz w:val="24"/>
          <w:highlight w:val="none"/>
        </w:rPr>
        <w:t>1.10 投标预备会</w:t>
      </w:r>
      <w:bookmarkEnd w:id="55"/>
      <w:bookmarkEnd w:id="56"/>
      <w:bookmarkEnd w:id="57"/>
      <w:bookmarkEnd w:id="58"/>
    </w:p>
    <w:p w14:paraId="7FAAE274">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1.10.1 本次招标不召开投标预备会。 </w:t>
      </w:r>
    </w:p>
    <w:p w14:paraId="7858B223">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1.10.2 供应商应在供应商须知前附表规定的时间前，以书面形式将提出的问题送达招标代理人。 </w:t>
      </w:r>
    </w:p>
    <w:p w14:paraId="748A3445">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1.10.3 采购人在供应商须知前附表规定的时间内，将对供应商所提问题的澄清，以书面方式通知所有已领取招标文件的供应商。该澄清内容为招标文件的组成部分。 </w:t>
      </w:r>
    </w:p>
    <w:p w14:paraId="69FD6698">
      <w:pPr>
        <w:spacing w:line="500" w:lineRule="exact"/>
        <w:ind w:firstLine="482" w:firstLineChars="200"/>
        <w:rPr>
          <w:rFonts w:asciiTheme="minorEastAsia" w:hAnsiTheme="minorEastAsia" w:eastAsiaTheme="minorEastAsia" w:cstheme="minorEastAsia"/>
          <w:b/>
          <w:bCs/>
          <w:color w:val="auto"/>
          <w:sz w:val="24"/>
          <w:highlight w:val="none"/>
        </w:rPr>
      </w:pPr>
      <w:bookmarkStart w:id="59" w:name="_Toc426369490"/>
      <w:bookmarkStart w:id="60" w:name="_Toc274249585"/>
      <w:bookmarkStart w:id="61" w:name="_Toc279599781"/>
      <w:bookmarkStart w:id="62" w:name="_Toc403122502"/>
      <w:r>
        <w:rPr>
          <w:rFonts w:hint="eastAsia" w:asciiTheme="minorEastAsia" w:hAnsiTheme="minorEastAsia" w:eastAsiaTheme="minorEastAsia" w:cstheme="minorEastAsia"/>
          <w:b/>
          <w:bCs/>
          <w:color w:val="auto"/>
          <w:sz w:val="24"/>
          <w:highlight w:val="none"/>
        </w:rPr>
        <w:t>1.11 分包</w:t>
      </w:r>
      <w:bookmarkEnd w:id="59"/>
      <w:bookmarkEnd w:id="60"/>
      <w:bookmarkEnd w:id="61"/>
      <w:bookmarkEnd w:id="62"/>
    </w:p>
    <w:p w14:paraId="68F21274">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本次招标项目不允许分包。 </w:t>
      </w:r>
    </w:p>
    <w:p w14:paraId="1EF25160">
      <w:pPr>
        <w:pStyle w:val="20"/>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63" w:name="_Toc9121"/>
      <w:bookmarkStart w:id="64" w:name="_Toc20888"/>
      <w:bookmarkStart w:id="65" w:name="_Toc28663"/>
      <w:r>
        <w:rPr>
          <w:rFonts w:hint="eastAsia" w:asciiTheme="minorEastAsia" w:hAnsiTheme="minorEastAsia" w:eastAsiaTheme="minorEastAsia" w:cstheme="minorEastAsia"/>
          <w:color w:val="auto"/>
          <w:sz w:val="24"/>
          <w:szCs w:val="24"/>
          <w:highlight w:val="none"/>
        </w:rPr>
        <w:t>2. 招标文件</w:t>
      </w:r>
      <w:bookmarkEnd w:id="20"/>
      <w:bookmarkEnd w:id="21"/>
      <w:bookmarkEnd w:id="22"/>
      <w:bookmarkEnd w:id="63"/>
      <w:bookmarkEnd w:id="64"/>
      <w:bookmarkEnd w:id="65"/>
    </w:p>
    <w:p w14:paraId="2B7B4CBB">
      <w:pPr>
        <w:spacing w:line="500" w:lineRule="exact"/>
        <w:ind w:firstLine="482" w:firstLineChars="200"/>
        <w:rPr>
          <w:rFonts w:asciiTheme="minorEastAsia" w:hAnsiTheme="minorEastAsia" w:eastAsiaTheme="minorEastAsia" w:cstheme="minorEastAsia"/>
          <w:b/>
          <w:bCs/>
          <w:color w:val="auto"/>
          <w:sz w:val="24"/>
          <w:highlight w:val="none"/>
        </w:rPr>
      </w:pPr>
      <w:bookmarkStart w:id="66" w:name="_Toc403122504"/>
      <w:bookmarkStart w:id="67" w:name="_Toc274249587"/>
      <w:bookmarkStart w:id="68" w:name="_Toc426369492"/>
      <w:bookmarkStart w:id="69" w:name="_Toc279599783"/>
      <w:r>
        <w:rPr>
          <w:rFonts w:hint="eastAsia" w:asciiTheme="minorEastAsia" w:hAnsiTheme="minorEastAsia" w:eastAsiaTheme="minorEastAsia" w:cstheme="minorEastAsia"/>
          <w:b/>
          <w:bCs/>
          <w:color w:val="auto"/>
          <w:sz w:val="24"/>
          <w:highlight w:val="none"/>
        </w:rPr>
        <w:t>2.1 招标文件的组成</w:t>
      </w:r>
      <w:bookmarkEnd w:id="66"/>
      <w:bookmarkEnd w:id="67"/>
      <w:bookmarkEnd w:id="68"/>
      <w:bookmarkEnd w:id="69"/>
    </w:p>
    <w:p w14:paraId="4C157ED6">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本招标文件包括： </w:t>
      </w:r>
    </w:p>
    <w:p w14:paraId="02ECBA10">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招标公告；</w:t>
      </w:r>
    </w:p>
    <w:p w14:paraId="215915B7">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供应商须知； </w:t>
      </w:r>
    </w:p>
    <w:p w14:paraId="28693954">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评标办法（综合评分法）； </w:t>
      </w:r>
    </w:p>
    <w:p w14:paraId="0C89B5E1">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合同条款及格式； </w:t>
      </w:r>
    </w:p>
    <w:p w14:paraId="38F77EC4">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采购需求及参数； </w:t>
      </w:r>
    </w:p>
    <w:p w14:paraId="58E7A9C4">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投标文件格式； </w:t>
      </w:r>
    </w:p>
    <w:p w14:paraId="4316149A">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根据本章第 1.10 款、第 2.2 款和第2.3款对招标文件所作的澄清、修改，构成招标文件的组成部分。 </w:t>
      </w:r>
    </w:p>
    <w:p w14:paraId="5328F8DD">
      <w:pPr>
        <w:spacing w:line="500" w:lineRule="exact"/>
        <w:ind w:firstLine="482" w:firstLineChars="200"/>
        <w:rPr>
          <w:rFonts w:asciiTheme="minorEastAsia" w:hAnsiTheme="minorEastAsia" w:eastAsiaTheme="minorEastAsia" w:cstheme="minorEastAsia"/>
          <w:b/>
          <w:bCs/>
          <w:color w:val="auto"/>
          <w:sz w:val="24"/>
          <w:highlight w:val="none"/>
        </w:rPr>
      </w:pPr>
      <w:bookmarkStart w:id="70" w:name="_Toc403122505"/>
      <w:bookmarkStart w:id="71" w:name="_Toc274249588"/>
      <w:bookmarkStart w:id="72" w:name="_Toc279599784"/>
      <w:bookmarkStart w:id="73" w:name="_Toc426369493"/>
      <w:r>
        <w:rPr>
          <w:rFonts w:hint="eastAsia" w:asciiTheme="minorEastAsia" w:hAnsiTheme="minorEastAsia" w:eastAsiaTheme="minorEastAsia" w:cstheme="minorEastAsia"/>
          <w:b/>
          <w:bCs/>
          <w:color w:val="auto"/>
          <w:sz w:val="24"/>
          <w:highlight w:val="none"/>
        </w:rPr>
        <w:t>2.2 招标文件的澄清</w:t>
      </w:r>
      <w:bookmarkEnd w:id="70"/>
      <w:bookmarkEnd w:id="71"/>
      <w:bookmarkEnd w:id="72"/>
      <w:bookmarkEnd w:id="73"/>
    </w:p>
    <w:p w14:paraId="5B15647A">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14:paraId="45D86CD2">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14:paraId="3DB34CD9">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2.2.3 供应商在收到澄清后，应在供应商须知前附表规定的时间内以书面形式通知采购人，确认已收到该澄清。 </w:t>
      </w:r>
    </w:p>
    <w:p w14:paraId="092DBDF8">
      <w:pPr>
        <w:spacing w:line="500" w:lineRule="exact"/>
        <w:ind w:firstLine="482" w:firstLineChars="200"/>
        <w:rPr>
          <w:rFonts w:asciiTheme="minorEastAsia" w:hAnsiTheme="minorEastAsia" w:eastAsiaTheme="minorEastAsia" w:cstheme="minorEastAsia"/>
          <w:b/>
          <w:bCs/>
          <w:color w:val="auto"/>
          <w:sz w:val="24"/>
          <w:highlight w:val="none"/>
        </w:rPr>
      </w:pPr>
      <w:bookmarkStart w:id="74" w:name="_Toc403122506"/>
      <w:bookmarkStart w:id="75" w:name="_Toc426369494"/>
      <w:bookmarkStart w:id="76" w:name="_Toc279599785"/>
      <w:bookmarkStart w:id="77" w:name="_Toc274249589"/>
      <w:r>
        <w:rPr>
          <w:rFonts w:hint="eastAsia" w:asciiTheme="minorEastAsia" w:hAnsiTheme="minorEastAsia" w:eastAsiaTheme="minorEastAsia" w:cstheme="minorEastAsia"/>
          <w:b/>
          <w:bCs/>
          <w:color w:val="auto"/>
          <w:sz w:val="24"/>
          <w:highlight w:val="none"/>
        </w:rPr>
        <w:t>2.3 招标文件的修改</w:t>
      </w:r>
      <w:bookmarkEnd w:id="74"/>
      <w:bookmarkEnd w:id="75"/>
      <w:bookmarkEnd w:id="76"/>
      <w:bookmarkEnd w:id="77"/>
    </w:p>
    <w:p w14:paraId="797FF712">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14:paraId="6A2CD26F">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2.3.2  供应商收到修改内容后，应在供应商须知前附表规定的时间内以书面形式通知采购人，确认已收到该修改。 </w:t>
      </w:r>
      <w:bookmarkStart w:id="78" w:name="_Toc23265"/>
      <w:bookmarkStart w:id="79" w:name="_Toc426369495"/>
      <w:bookmarkStart w:id="80" w:name="_Toc403122507"/>
    </w:p>
    <w:p w14:paraId="47415551">
      <w:pPr>
        <w:pStyle w:val="20"/>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81" w:name="_Toc13865"/>
      <w:bookmarkStart w:id="82" w:name="_Toc15031"/>
      <w:bookmarkStart w:id="83" w:name="_Toc22914"/>
      <w:r>
        <w:rPr>
          <w:rFonts w:hint="eastAsia" w:asciiTheme="minorEastAsia" w:hAnsiTheme="minorEastAsia" w:eastAsiaTheme="minorEastAsia" w:cstheme="minorEastAsia"/>
          <w:color w:val="auto"/>
          <w:sz w:val="24"/>
          <w:szCs w:val="24"/>
          <w:highlight w:val="none"/>
        </w:rPr>
        <w:t>3. 投标文件</w:t>
      </w:r>
      <w:bookmarkEnd w:id="78"/>
      <w:bookmarkEnd w:id="79"/>
      <w:bookmarkEnd w:id="80"/>
      <w:bookmarkEnd w:id="81"/>
      <w:bookmarkEnd w:id="82"/>
      <w:bookmarkEnd w:id="83"/>
    </w:p>
    <w:p w14:paraId="075CFCFF">
      <w:pPr>
        <w:spacing w:line="500" w:lineRule="exact"/>
        <w:ind w:firstLine="482" w:firstLineChars="200"/>
        <w:rPr>
          <w:rFonts w:asciiTheme="minorEastAsia" w:hAnsiTheme="minorEastAsia" w:eastAsiaTheme="minorEastAsia" w:cstheme="minorEastAsia"/>
          <w:b/>
          <w:bCs/>
          <w:color w:val="auto"/>
          <w:sz w:val="24"/>
          <w:highlight w:val="none"/>
        </w:rPr>
      </w:pPr>
      <w:bookmarkStart w:id="84" w:name="_Toc426369496"/>
      <w:bookmarkStart w:id="85" w:name="_Toc403122508"/>
      <w:bookmarkStart w:id="86" w:name="_Toc279599787"/>
      <w:bookmarkStart w:id="87" w:name="_Toc274249591"/>
      <w:r>
        <w:rPr>
          <w:rFonts w:hint="eastAsia" w:asciiTheme="minorEastAsia" w:hAnsiTheme="minorEastAsia" w:eastAsiaTheme="minorEastAsia" w:cstheme="minorEastAsia"/>
          <w:b/>
          <w:bCs/>
          <w:color w:val="auto"/>
          <w:sz w:val="24"/>
          <w:highlight w:val="none"/>
        </w:rPr>
        <w:t>3.1 投标文件的组成</w:t>
      </w:r>
      <w:bookmarkEnd w:id="84"/>
      <w:bookmarkEnd w:id="85"/>
      <w:bookmarkEnd w:id="86"/>
      <w:bookmarkEnd w:id="87"/>
    </w:p>
    <w:p w14:paraId="39804262">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3.1.1 投标文件应包括下列内容： </w:t>
      </w:r>
    </w:p>
    <w:p w14:paraId="4F00C8E5">
      <w:pPr>
        <w:spacing w:line="440" w:lineRule="exact"/>
        <w:ind w:firstLine="420" w:firstLineChars="200"/>
        <w:rPr>
          <w:rFonts w:ascii="宋体" w:hAnsi="宋体" w:cs="宋体"/>
          <w:color w:val="auto"/>
          <w:szCs w:val="21"/>
          <w:highlight w:val="none"/>
        </w:rPr>
      </w:pPr>
      <w:bookmarkStart w:id="88" w:name="_Toc403122509"/>
      <w:bookmarkStart w:id="89" w:name="_Toc279599788"/>
      <w:bookmarkStart w:id="90" w:name="_Toc426369497"/>
      <w:bookmarkStart w:id="91" w:name="_Toc274249592"/>
      <w:r>
        <w:rPr>
          <w:rFonts w:hint="eastAsia" w:ascii="宋体" w:hAnsi="宋体" w:cs="宋体"/>
          <w:color w:val="auto"/>
          <w:szCs w:val="21"/>
          <w:highlight w:val="none"/>
        </w:rPr>
        <w:t>一、投标函及开标一览表</w:t>
      </w:r>
    </w:p>
    <w:p w14:paraId="2A05BCF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（一）投标函</w:t>
      </w:r>
    </w:p>
    <w:p w14:paraId="37C60AD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（二）开标一览表</w:t>
      </w:r>
    </w:p>
    <w:p w14:paraId="10D98E3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14:paraId="5DEAF45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三、授权委托书</w:t>
      </w:r>
    </w:p>
    <w:p w14:paraId="5F4C54C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四、项目</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方案等</w:t>
      </w:r>
    </w:p>
    <w:p w14:paraId="1153E45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五、政府采购供应商的资格证明承诺函；</w:t>
      </w:r>
    </w:p>
    <w:p w14:paraId="0E32A6E2">
      <w:pPr>
        <w:pStyle w:val="2"/>
        <w:spacing w:line="440" w:lineRule="exact"/>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六、供应商服务承诺和优惠承诺</w:t>
      </w:r>
    </w:p>
    <w:p w14:paraId="3F2AC38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、中小企业声明函；</w:t>
      </w:r>
    </w:p>
    <w:p w14:paraId="3AF5F24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、残疾人福利性单位声明函（如有）；</w:t>
      </w:r>
    </w:p>
    <w:p w14:paraId="1D722EB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、招标文件要求的或供应商认为需要加以说明的其他内容。</w:t>
      </w:r>
    </w:p>
    <w:p w14:paraId="1615640B">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注：1、符合《政府采购法》第二十二条规定的资格条件，按照采购文件约定提供资格承诺，不再提供资质资料，主要包括供应商在投标文件中无需再提供营业执照</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资格证明、财务状况报告、依法缴纳税收和社会保障资金、具有履行合同所必须的设备和专业技术能力、参加政府采购活动前三年内在经营活动中没有重大违法记录相关证明材料。</w:t>
      </w:r>
    </w:p>
    <w:p w14:paraId="0099EEFF">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EED7A9F">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bookmarkEnd w:id="88"/>
      <w:bookmarkEnd w:id="89"/>
      <w:bookmarkEnd w:id="90"/>
      <w:bookmarkEnd w:id="91"/>
    </w:p>
    <w:p w14:paraId="5693E76C">
      <w:pPr>
        <w:spacing w:line="360" w:lineRule="auto"/>
        <w:ind w:firstLine="420" w:firstLineChars="200"/>
        <w:rPr>
          <w:rFonts w:hint="eastAsia" w:ascii="宋体" w:hAnsi="宋体" w:cs="宋体"/>
          <w:color w:val="auto"/>
          <w:szCs w:val="21"/>
          <w:highlight w:val="none"/>
        </w:rPr>
      </w:pPr>
      <w:bookmarkStart w:id="92" w:name="_Toc426369498"/>
      <w:bookmarkStart w:id="93" w:name="_Toc279599789"/>
      <w:bookmarkStart w:id="94" w:name="_Toc274249593"/>
      <w:bookmarkStart w:id="95" w:name="_Toc403122510"/>
      <w:r>
        <w:rPr>
          <w:rFonts w:hint="eastAsia" w:ascii="宋体" w:hAnsi="宋体" w:cs="宋体"/>
          <w:color w:val="auto"/>
          <w:szCs w:val="21"/>
          <w:highlight w:val="none"/>
        </w:rPr>
        <w:t>3.2.1投标报价包括：投标人的投标报价应包括服务、设备、材料、管理、利润、税金、政策性规费等应由承包人承担的义务、责任和风险等全部费用。投标人所报的投标价在投标有效期内是固定不变的，投标人不得以任何理由予以变更。</w:t>
      </w:r>
    </w:p>
    <w:p w14:paraId="1CB3D1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3.2.2投标报价在中标后不得修改。</w:t>
      </w:r>
    </w:p>
    <w:p w14:paraId="239DDD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3.2.3投标人只能提出一个不变价格，采购人不接受任何选择价。</w:t>
      </w:r>
    </w:p>
    <w:p w14:paraId="7A9C9E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3.2.4投标人必须对招标范围内的所有服务投标。</w:t>
      </w:r>
    </w:p>
    <w:p w14:paraId="2BD597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3.2.5全部报价均应以人民币为计量币种，并以人民币进行结算。</w:t>
      </w:r>
    </w:p>
    <w:p w14:paraId="150D66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3.2.6投标报价原则是各投标人依据自身实力、管理水平，结合企业所在地区的人工工资标准，在确保项目质量，确保项目成本的基础上，自主报价、自负盈亏。</w:t>
      </w:r>
    </w:p>
    <w:p w14:paraId="7DA555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14:paraId="54940463">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3.3 投标有效期</w:t>
      </w:r>
      <w:bookmarkEnd w:id="92"/>
      <w:bookmarkEnd w:id="93"/>
      <w:bookmarkEnd w:id="94"/>
      <w:bookmarkEnd w:id="95"/>
    </w:p>
    <w:p w14:paraId="78041D1D">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3.3.1在供应商须知前附表规定的投标有效期内，供应商不得要求撤销或修改其投标文件。 </w:t>
      </w:r>
    </w:p>
    <w:p w14:paraId="093D86E2">
      <w:pPr>
        <w:spacing w:line="500" w:lineRule="exact"/>
        <w:ind w:firstLine="482" w:firstLineChars="200"/>
        <w:rPr>
          <w:rFonts w:asciiTheme="minorEastAsia" w:hAnsiTheme="minorEastAsia" w:eastAsiaTheme="minorEastAsia" w:cstheme="minorEastAsia"/>
          <w:b/>
          <w:bCs/>
          <w:color w:val="auto"/>
          <w:sz w:val="24"/>
          <w:highlight w:val="none"/>
        </w:rPr>
      </w:pPr>
      <w:bookmarkStart w:id="96" w:name="_Toc426369501"/>
      <w:bookmarkStart w:id="97" w:name="_Toc274249595"/>
      <w:bookmarkStart w:id="98" w:name="_Toc403122512"/>
      <w:bookmarkStart w:id="99" w:name="_Toc279599791"/>
      <w:r>
        <w:rPr>
          <w:rFonts w:hint="eastAsia" w:asciiTheme="minorEastAsia" w:hAnsiTheme="minorEastAsia" w:eastAsiaTheme="minorEastAsia" w:cstheme="minorEastAsia"/>
          <w:b/>
          <w:bCs/>
          <w:color w:val="auto"/>
          <w:sz w:val="24"/>
          <w:highlight w:val="none"/>
        </w:rPr>
        <w:t>3.5 资格审查资料</w:t>
      </w:r>
      <w:bookmarkEnd w:id="96"/>
      <w:bookmarkEnd w:id="97"/>
      <w:bookmarkEnd w:id="98"/>
      <w:bookmarkEnd w:id="99"/>
    </w:p>
    <w:p w14:paraId="0FE3579E">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w:t>
      </w:r>
      <w:r>
        <w:rPr>
          <w:rFonts w:hint="eastAsia" w:ascii="宋体" w:hAnsi="宋体" w:cs="宋体"/>
          <w:color w:val="auto"/>
          <w:kern w:val="0"/>
          <w:szCs w:val="21"/>
          <w:highlight w:val="none"/>
        </w:rPr>
        <w:t>依据“供应商须知前附表”中的要求提交相应的资格证明文件，作为投标文件的一部分，以证明其有资格进行投标和有能力履行合同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color w:val="auto"/>
          <w:szCs w:val="21"/>
          <w:highlight w:val="none"/>
        </w:rPr>
        <w:t xml:space="preserve">。 </w:t>
      </w:r>
    </w:p>
    <w:p w14:paraId="18B0DFF9">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3.5.2招标文件规定的供应商资格条件。</w:t>
      </w:r>
    </w:p>
    <w:p w14:paraId="30396C26">
      <w:pPr>
        <w:spacing w:line="500" w:lineRule="exact"/>
        <w:ind w:firstLine="482" w:firstLineChars="200"/>
        <w:rPr>
          <w:rFonts w:asciiTheme="minorEastAsia" w:hAnsiTheme="minorEastAsia" w:eastAsiaTheme="minorEastAsia" w:cstheme="minorEastAsia"/>
          <w:b/>
          <w:bCs/>
          <w:color w:val="auto"/>
          <w:sz w:val="24"/>
          <w:highlight w:val="none"/>
        </w:rPr>
      </w:pPr>
      <w:bookmarkStart w:id="100" w:name="_Toc274249596"/>
      <w:bookmarkStart w:id="101" w:name="_Toc279599792"/>
      <w:bookmarkStart w:id="102" w:name="_Toc403122513"/>
      <w:bookmarkStart w:id="103" w:name="_Toc426369502"/>
      <w:r>
        <w:rPr>
          <w:rFonts w:hint="eastAsia" w:asciiTheme="minorEastAsia" w:hAnsiTheme="minorEastAsia" w:eastAsiaTheme="minorEastAsia" w:cstheme="minorEastAsia"/>
          <w:b/>
          <w:bCs/>
          <w:color w:val="auto"/>
          <w:sz w:val="24"/>
          <w:highlight w:val="none"/>
        </w:rPr>
        <w:t>3.6 备选投标方案</w:t>
      </w:r>
      <w:bookmarkEnd w:id="100"/>
      <w:bookmarkEnd w:id="101"/>
      <w:bookmarkEnd w:id="102"/>
      <w:bookmarkEnd w:id="103"/>
    </w:p>
    <w:p w14:paraId="357F7239">
      <w:pPr>
        <w:tabs>
          <w:tab w:val="left" w:pos="3570"/>
        </w:tabs>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供应商不得递交备选投标方案。 </w:t>
      </w:r>
    </w:p>
    <w:p w14:paraId="15F75EAC">
      <w:pPr>
        <w:spacing w:line="500" w:lineRule="exact"/>
        <w:ind w:firstLine="482" w:firstLineChars="200"/>
        <w:rPr>
          <w:rFonts w:asciiTheme="minorEastAsia" w:hAnsiTheme="minorEastAsia" w:eastAsiaTheme="minorEastAsia" w:cstheme="minorEastAsia"/>
          <w:b/>
          <w:bCs/>
          <w:color w:val="auto"/>
          <w:sz w:val="24"/>
          <w:highlight w:val="none"/>
        </w:rPr>
      </w:pPr>
      <w:bookmarkStart w:id="104" w:name="_Toc279599793"/>
      <w:bookmarkStart w:id="105" w:name="_Toc426369503"/>
      <w:bookmarkStart w:id="106" w:name="_Toc274249597"/>
      <w:bookmarkStart w:id="107" w:name="_Toc403122514"/>
      <w:r>
        <w:rPr>
          <w:rFonts w:hint="eastAsia" w:asciiTheme="minorEastAsia" w:hAnsiTheme="minorEastAsia" w:eastAsiaTheme="minorEastAsia" w:cstheme="minorEastAsia"/>
          <w:b/>
          <w:bCs/>
          <w:color w:val="auto"/>
          <w:sz w:val="24"/>
          <w:highlight w:val="none"/>
        </w:rPr>
        <w:t>3.7 投标文件的编制</w:t>
      </w:r>
      <w:bookmarkEnd w:id="104"/>
      <w:bookmarkEnd w:id="105"/>
      <w:bookmarkEnd w:id="106"/>
      <w:bookmarkEnd w:id="107"/>
    </w:p>
    <w:p w14:paraId="2CAB1861">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投标文件应按招标文件中要求</w:t>
      </w:r>
      <w:r>
        <w:rPr>
          <w:rFonts w:hint="eastAsia" w:ascii="宋体" w:hAnsi="宋体" w:cs="宋体"/>
          <w:color w:val="auto"/>
          <w:kern w:val="0"/>
          <w:szCs w:val="21"/>
          <w:highlight w:val="none"/>
        </w:rPr>
        <w:t>使用焦作市公共资源交易系统投标文件制作专用工具软件编制</w:t>
      </w:r>
      <w:r>
        <w:rPr>
          <w:rFonts w:hint="eastAsia" w:asciiTheme="minorEastAsia" w:hAnsiTheme="minorEastAsia" w:eastAsiaTheme="minorEastAsia" w:cstheme="minorEastAsia"/>
          <w:color w:val="auto"/>
          <w:szCs w:val="21"/>
          <w:highlight w:val="none"/>
        </w:rPr>
        <w:t xml:space="preserve">。 </w:t>
      </w:r>
    </w:p>
    <w:p w14:paraId="727CBCE9">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  投标文件应当对招标文件有关</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szCs w:val="21"/>
          <w:highlight w:val="none"/>
        </w:rPr>
        <w:t>期、投标有效期、质量标准、采购要求及服务内容、等实质性内容作出响应。</w:t>
      </w:r>
    </w:p>
    <w:p w14:paraId="55930BC3">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3.7.3 </w:t>
      </w:r>
      <w:r>
        <w:rPr>
          <w:rFonts w:hint="eastAsia" w:ascii="宋体" w:hAnsi="宋体" w:cs="宋体"/>
          <w:color w:val="auto"/>
          <w:kern w:val="0"/>
          <w:szCs w:val="21"/>
          <w:highlight w:val="none"/>
        </w:rPr>
        <w:t>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w:t>
      </w:r>
    </w:p>
    <w:p w14:paraId="4E240AEA">
      <w:pPr>
        <w:pStyle w:val="20"/>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08" w:name="_Toc426369504"/>
      <w:bookmarkStart w:id="109" w:name="_Toc26998"/>
      <w:bookmarkStart w:id="110" w:name="_Toc30100"/>
      <w:bookmarkStart w:id="111" w:name="_Toc31809"/>
      <w:bookmarkStart w:id="112" w:name="_Toc21879"/>
      <w:bookmarkStart w:id="113" w:name="_Toc403122515"/>
      <w:r>
        <w:rPr>
          <w:rFonts w:hint="eastAsia" w:asciiTheme="minorEastAsia" w:hAnsiTheme="minorEastAsia" w:eastAsiaTheme="minorEastAsia" w:cstheme="minorEastAsia"/>
          <w:color w:val="auto"/>
          <w:sz w:val="24"/>
          <w:szCs w:val="24"/>
          <w:highlight w:val="none"/>
        </w:rPr>
        <w:t>4. 投标</w:t>
      </w:r>
      <w:bookmarkEnd w:id="108"/>
      <w:bookmarkEnd w:id="109"/>
      <w:bookmarkEnd w:id="110"/>
      <w:bookmarkEnd w:id="111"/>
      <w:bookmarkEnd w:id="112"/>
      <w:bookmarkEnd w:id="113"/>
    </w:p>
    <w:p w14:paraId="4B2CB0B3">
      <w:pPr>
        <w:spacing w:line="500" w:lineRule="exact"/>
        <w:ind w:firstLine="482" w:firstLineChars="200"/>
        <w:rPr>
          <w:rFonts w:asciiTheme="minorEastAsia" w:hAnsiTheme="minorEastAsia" w:eastAsiaTheme="minorEastAsia" w:cstheme="minorEastAsia"/>
          <w:b/>
          <w:bCs/>
          <w:color w:val="auto"/>
          <w:sz w:val="24"/>
          <w:highlight w:val="none"/>
        </w:rPr>
      </w:pPr>
      <w:bookmarkStart w:id="114" w:name="_Toc426369505"/>
      <w:bookmarkStart w:id="115" w:name="_Toc403122516"/>
      <w:bookmarkStart w:id="116" w:name="_Toc274249599"/>
      <w:bookmarkStart w:id="117" w:name="_Toc279599795"/>
      <w:r>
        <w:rPr>
          <w:rFonts w:hint="eastAsia" w:asciiTheme="minorEastAsia" w:hAnsiTheme="minorEastAsia" w:eastAsiaTheme="minorEastAsia" w:cstheme="minorEastAsia"/>
          <w:b/>
          <w:bCs/>
          <w:color w:val="auto"/>
          <w:sz w:val="24"/>
          <w:highlight w:val="none"/>
        </w:rPr>
        <w:t>4.1 投标文件的密封和标记</w:t>
      </w:r>
      <w:bookmarkEnd w:id="114"/>
      <w:bookmarkEnd w:id="115"/>
      <w:bookmarkEnd w:id="116"/>
      <w:bookmarkEnd w:id="117"/>
    </w:p>
    <w:p w14:paraId="0B87FF6C">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4.1.1.本项目采用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应使用数字证书认证并加密。</w:t>
      </w:r>
    </w:p>
    <w:p w14:paraId="2CC5DCEF">
      <w:pPr>
        <w:spacing w:line="500" w:lineRule="exact"/>
        <w:ind w:firstLine="482" w:firstLineChars="200"/>
        <w:rPr>
          <w:rFonts w:asciiTheme="minorEastAsia" w:hAnsiTheme="minorEastAsia" w:eastAsiaTheme="minorEastAsia" w:cstheme="minorEastAsia"/>
          <w:b/>
          <w:bCs/>
          <w:color w:val="auto"/>
          <w:sz w:val="24"/>
          <w:highlight w:val="none"/>
        </w:rPr>
      </w:pPr>
      <w:bookmarkStart w:id="118" w:name="_Toc274249600"/>
      <w:bookmarkStart w:id="119" w:name="_Toc279599796"/>
      <w:bookmarkStart w:id="120" w:name="_Toc426369506"/>
      <w:bookmarkStart w:id="121" w:name="_Toc403122517"/>
      <w:r>
        <w:rPr>
          <w:rFonts w:hint="eastAsia" w:asciiTheme="minorEastAsia" w:hAnsiTheme="minorEastAsia" w:eastAsiaTheme="minorEastAsia" w:cstheme="minorEastAsia"/>
          <w:b/>
          <w:bCs/>
          <w:color w:val="auto"/>
          <w:sz w:val="24"/>
          <w:highlight w:val="none"/>
        </w:rPr>
        <w:t>4.2 投标文件的递交</w:t>
      </w:r>
      <w:bookmarkEnd w:id="118"/>
      <w:bookmarkEnd w:id="119"/>
      <w:bookmarkEnd w:id="120"/>
      <w:bookmarkEnd w:id="121"/>
    </w:p>
    <w:p w14:paraId="32E72FC4">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提前上传，按要求</w:t>
      </w:r>
      <w:r>
        <w:rPr>
          <w:rFonts w:hint="eastAsia" w:ascii="宋体" w:hAnsi="宋体"/>
          <w:color w:val="auto"/>
          <w:szCs w:val="21"/>
          <w:highlight w:val="none"/>
        </w:rPr>
        <w:t>在线签到、解密文件等，解密时间为投标截止时后30分钟内，</w:t>
      </w:r>
      <w:r>
        <w:rPr>
          <w:rFonts w:hint="eastAsia" w:ascii="宋体" w:hAnsi="宋体" w:cs="宋体"/>
          <w:color w:val="auto"/>
          <w:kern w:val="0"/>
          <w:szCs w:val="21"/>
          <w:highlight w:val="none"/>
        </w:rPr>
        <w:t>不能按时上传、解密者视为自动放弃投标。</w:t>
      </w:r>
    </w:p>
    <w:p w14:paraId="7D4E1241">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22" w:name="_Hlt26954754"/>
      <w:bookmarkEnd w:id="122"/>
      <w:bookmarkStart w:id="123" w:name="_Hlt26954862"/>
      <w:bookmarkEnd w:id="123"/>
    </w:p>
    <w:p w14:paraId="26C458B1">
      <w:pPr>
        <w:spacing w:line="500" w:lineRule="exact"/>
        <w:ind w:firstLine="482" w:firstLineChars="200"/>
        <w:rPr>
          <w:rFonts w:asciiTheme="minorEastAsia" w:hAnsiTheme="minorEastAsia" w:eastAsiaTheme="minorEastAsia" w:cstheme="minorEastAsia"/>
          <w:b/>
          <w:bCs/>
          <w:color w:val="auto"/>
          <w:sz w:val="24"/>
          <w:highlight w:val="none"/>
        </w:rPr>
      </w:pPr>
      <w:bookmarkStart w:id="124" w:name="_Toc426369507"/>
      <w:bookmarkStart w:id="125" w:name="_Toc279599797"/>
      <w:bookmarkStart w:id="126" w:name="_Toc274249601"/>
      <w:bookmarkStart w:id="127" w:name="_Toc403122518"/>
      <w:r>
        <w:rPr>
          <w:rFonts w:hint="eastAsia" w:asciiTheme="minorEastAsia" w:hAnsiTheme="minorEastAsia" w:eastAsiaTheme="minorEastAsia" w:cstheme="minorEastAsia"/>
          <w:b/>
          <w:bCs/>
          <w:color w:val="auto"/>
          <w:sz w:val="24"/>
          <w:highlight w:val="none"/>
        </w:rPr>
        <w:t>4.3 投标文件的修改与撤回</w:t>
      </w:r>
      <w:bookmarkEnd w:id="124"/>
      <w:bookmarkEnd w:id="125"/>
      <w:bookmarkEnd w:id="126"/>
      <w:bookmarkEnd w:id="127"/>
    </w:p>
    <w:p w14:paraId="0C271D3D">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在本章第 2.2.2 项规定的投标截止时间前，供应商可以修改或撤回已递交的投标文件。 </w:t>
      </w:r>
    </w:p>
    <w:p w14:paraId="3EB7FE06">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供应商修改或撤回已递交投标文件的书面通知应按照本章第 3.7.3 项的要求签字盖章。 </w:t>
      </w:r>
    </w:p>
    <w:p w14:paraId="12BD26BA">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4.3.3  修改的内容为投标文件的组成部分。修改的投标文件应按照本章第 3 条、第 4 条规定进行编制、密封、标记和递交，并标明“修改”字样。 </w:t>
      </w:r>
    </w:p>
    <w:p w14:paraId="330BF826">
      <w:pPr>
        <w:pStyle w:val="20"/>
        <w:spacing w:before="120" w:after="120" w:line="500" w:lineRule="exact"/>
        <w:ind w:right="-1029" w:rightChars="-490" w:firstLine="482" w:firstLineChars="200"/>
        <w:jc w:val="left"/>
        <w:outlineLvl w:val="1"/>
        <w:rPr>
          <w:rFonts w:asciiTheme="minorEastAsia" w:hAnsiTheme="minorEastAsia" w:eastAsiaTheme="minorEastAsia" w:cstheme="minorEastAsia"/>
          <w:color w:val="auto"/>
          <w:sz w:val="24"/>
          <w:szCs w:val="24"/>
          <w:highlight w:val="none"/>
        </w:rPr>
      </w:pPr>
      <w:bookmarkStart w:id="128" w:name="_Toc5457"/>
      <w:bookmarkStart w:id="129" w:name="_Toc22737"/>
      <w:bookmarkStart w:id="130" w:name="_Toc403122519"/>
      <w:bookmarkStart w:id="131" w:name="_Toc426369508"/>
      <w:bookmarkStart w:id="132" w:name="_Toc18170"/>
      <w:bookmarkStart w:id="133" w:name="_Toc32449"/>
      <w:r>
        <w:rPr>
          <w:rFonts w:hint="eastAsia" w:asciiTheme="minorEastAsia" w:hAnsiTheme="minorEastAsia" w:eastAsiaTheme="minorEastAsia" w:cstheme="minorEastAsia"/>
          <w:color w:val="auto"/>
          <w:sz w:val="24"/>
          <w:szCs w:val="24"/>
          <w:highlight w:val="none"/>
        </w:rPr>
        <w:t>5. 开标</w:t>
      </w:r>
      <w:bookmarkEnd w:id="128"/>
      <w:bookmarkEnd w:id="129"/>
      <w:bookmarkEnd w:id="130"/>
      <w:bookmarkEnd w:id="131"/>
      <w:bookmarkEnd w:id="132"/>
      <w:bookmarkEnd w:id="133"/>
    </w:p>
    <w:p w14:paraId="53E40E89">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.1采购人在规定的投标截止时间（开标时间）和供应商须知前附表规定的地点公开开标。本项目采用“远程不见面”的开标方式,载明远程开标大厅网址（http://122.112.246.33/BidOpening/bidopeninghallaction/hall/login ）。供应商无需到现场参加开标会议，无需到达现场提交原件资料。供应商应当在线准时参加开标活动并进行文件解密、答疑澄清等。在规定时间内投标文件未解密的供应商，视为放弃投标。</w:t>
      </w:r>
    </w:p>
    <w:p w14:paraId="12AE50B0">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所有投标文件必须在本招标文件中规定的投标截止时间之前提前上传投标文件，按要求解密投标文件，不能按时上传、解密者视为自动放弃投标。</w:t>
      </w:r>
    </w:p>
    <w:p w14:paraId="32F38266">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5.1.2供应商不足3家的，不得开标。  </w:t>
      </w:r>
    </w:p>
    <w:p w14:paraId="5D8B1302">
      <w:pPr>
        <w:spacing w:line="500" w:lineRule="exact"/>
        <w:ind w:firstLine="482" w:firstLineChars="200"/>
        <w:rPr>
          <w:rFonts w:asciiTheme="minorEastAsia" w:hAnsiTheme="minorEastAsia" w:eastAsiaTheme="minorEastAsia" w:cstheme="minorEastAsia"/>
          <w:b/>
          <w:bCs/>
          <w:color w:val="auto"/>
          <w:sz w:val="24"/>
          <w:highlight w:val="none"/>
        </w:rPr>
      </w:pPr>
      <w:bookmarkStart w:id="134" w:name="_Toc426369509"/>
      <w:bookmarkStart w:id="135" w:name="_Toc279599799"/>
      <w:bookmarkStart w:id="136" w:name="_Toc403122520"/>
      <w:bookmarkStart w:id="137" w:name="_Toc274249603"/>
      <w:r>
        <w:rPr>
          <w:rFonts w:hint="eastAsia" w:asciiTheme="minorEastAsia" w:hAnsiTheme="minorEastAsia" w:eastAsiaTheme="minorEastAsia" w:cstheme="minorEastAsia"/>
          <w:b/>
          <w:bCs/>
          <w:color w:val="auto"/>
          <w:sz w:val="24"/>
          <w:highlight w:val="none"/>
        </w:rPr>
        <w:t>5.2 开标时间和地点</w:t>
      </w:r>
      <w:bookmarkEnd w:id="134"/>
      <w:bookmarkEnd w:id="135"/>
      <w:bookmarkEnd w:id="136"/>
      <w:bookmarkEnd w:id="137"/>
    </w:p>
    <w:p w14:paraId="13F08A37">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采购人在本章第 2.2.2 项规定的投标截止时间（开标时间）和供应商须知前附表规定的地点公开开标。</w:t>
      </w:r>
    </w:p>
    <w:p w14:paraId="6C9FA143">
      <w:pPr>
        <w:spacing w:line="500" w:lineRule="exact"/>
        <w:ind w:firstLine="482" w:firstLineChars="200"/>
        <w:rPr>
          <w:rFonts w:asciiTheme="minorEastAsia" w:hAnsiTheme="minorEastAsia" w:eastAsiaTheme="minorEastAsia" w:cstheme="minorEastAsia"/>
          <w:b/>
          <w:bCs/>
          <w:color w:val="auto"/>
          <w:sz w:val="24"/>
          <w:highlight w:val="none"/>
        </w:rPr>
      </w:pPr>
      <w:bookmarkStart w:id="138" w:name="_Toc403122521"/>
      <w:bookmarkStart w:id="139" w:name="_Toc426369510"/>
      <w:bookmarkStart w:id="140" w:name="_Toc274249604"/>
      <w:bookmarkStart w:id="141" w:name="_Toc279599800"/>
      <w:r>
        <w:rPr>
          <w:rFonts w:hint="eastAsia" w:asciiTheme="minorEastAsia" w:hAnsiTheme="minorEastAsia" w:eastAsiaTheme="minorEastAsia" w:cstheme="minorEastAsia"/>
          <w:b/>
          <w:bCs/>
          <w:color w:val="auto"/>
          <w:sz w:val="24"/>
          <w:highlight w:val="none"/>
        </w:rPr>
        <w:t>5.3开标程序</w:t>
      </w:r>
      <w:bookmarkEnd w:id="138"/>
      <w:bookmarkEnd w:id="139"/>
      <w:bookmarkEnd w:id="140"/>
      <w:bookmarkEnd w:id="141"/>
    </w:p>
    <w:p w14:paraId="628393A1">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42" w:name="_Toc426369511"/>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.1本</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zh-CN"/>
        </w:rPr>
        <w:t>采用电子开标。投标截止时间到达后，各供应商对电子投标文件进行解密。解密完成后各供应商的电子投标文件的实质性内容将自动显示在网页中。供应商在投标截止时间前未上传电子投标文件的将被视为放弃投标。</w:t>
      </w:r>
    </w:p>
    <w:p w14:paraId="03A91C11">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主持人按下列程序进行开标：</w:t>
      </w:r>
    </w:p>
    <w:p w14:paraId="133DFFB3">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(l）公布在投标截止时间递交响应性文件的供应商名称；</w:t>
      </w:r>
    </w:p>
    <w:p w14:paraId="11BB9F18">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zh-CN"/>
        </w:rPr>
        <w:t>）供应商通过电子招标投标交易平台对已递交的电子</w:t>
      </w:r>
      <w:r>
        <w:rPr>
          <w:rFonts w:hint="eastAsia" w:asciiTheme="minorEastAsia" w:hAnsiTheme="minorEastAsia" w:eastAsiaTheme="minorEastAsia" w:cstheme="minorEastAsia"/>
          <w:color w:val="auto"/>
          <w:szCs w:val="21"/>
          <w:highlight w:val="none"/>
          <w:lang w:val="en-US" w:eastAsia="zh-CN"/>
        </w:rPr>
        <w:t>投标</w:t>
      </w:r>
      <w:r>
        <w:rPr>
          <w:rFonts w:hint="eastAsia" w:asciiTheme="minorEastAsia" w:hAnsiTheme="minorEastAsia" w:eastAsiaTheme="minorEastAsia" w:cstheme="minorEastAsia"/>
          <w:color w:val="auto"/>
          <w:szCs w:val="21"/>
          <w:highlight w:val="none"/>
          <w:lang w:val="zh-CN"/>
        </w:rPr>
        <w:t>文件在规定时间内进行解密；</w:t>
      </w:r>
    </w:p>
    <w:p w14:paraId="2A5535CD">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）批量导入文件；</w:t>
      </w:r>
    </w:p>
    <w:p w14:paraId="33189D42">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zh-CN"/>
        </w:rPr>
        <w:t>）电子唱标并记录在案；</w:t>
      </w:r>
    </w:p>
    <w:p w14:paraId="2782CD51">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）采购人代表、监督人等有关人员按具体现场系统情况在开标记录上签字确认；</w:t>
      </w:r>
    </w:p>
    <w:p w14:paraId="5B0F08C6">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）开标结束。</w:t>
      </w:r>
    </w:p>
    <w:p w14:paraId="4CB775E2">
      <w:pPr>
        <w:spacing w:line="400" w:lineRule="exact"/>
        <w:ind w:firstLine="630" w:firstLineChars="3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5.3.</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zh-CN"/>
        </w:rPr>
        <w:t>开标时出现下列情况的，采购人将拒绝其投标文件。</w:t>
      </w:r>
    </w:p>
    <w:p w14:paraId="3BB655CF">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（1）经检查数字证书无效的投标文件；</w:t>
      </w:r>
    </w:p>
    <w:p w14:paraId="66FB71D1">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（2）供应商未按供应商须知前附表规定的时间内解密投标文件的；</w:t>
      </w:r>
    </w:p>
    <w:p w14:paraId="5C717865">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5.4开标异议</w:t>
      </w:r>
      <w:bookmarkEnd w:id="142"/>
    </w:p>
    <w:p w14:paraId="6DC6B0D8">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43" w:name="_Toc426369512"/>
      <w:bookmarkStart w:id="144" w:name="_Toc12881"/>
      <w:bookmarkStart w:id="145" w:name="_Toc21662"/>
      <w:bookmarkStart w:id="146" w:name="_Toc403122522"/>
      <w:r>
        <w:rPr>
          <w:rFonts w:hint="eastAsia" w:asciiTheme="minorEastAsia" w:hAnsiTheme="minorEastAsia" w:eastAsiaTheme="minorEastAsia" w:cstheme="minorEastAsia"/>
          <w:color w:val="auto"/>
          <w:szCs w:val="21"/>
          <w:highlight w:val="none"/>
        </w:rPr>
        <w:t>5.4.1</w:t>
      </w:r>
      <w:r>
        <w:rPr>
          <w:rFonts w:hint="eastAsia" w:asciiTheme="minorEastAsia" w:hAnsiTheme="minorEastAsia" w:eastAsiaTheme="minorEastAsia" w:cstheme="minorEastAsia"/>
          <w:color w:val="auto"/>
          <w:szCs w:val="21"/>
          <w:highlight w:val="none"/>
          <w:lang w:val="zh-CN"/>
        </w:rPr>
        <w:t>供应商对开标有异议的，应当在开标现场提出（</w:t>
      </w:r>
      <w:bookmarkStart w:id="147" w:name="_Toc12998"/>
      <w:r>
        <w:rPr>
          <w:rFonts w:hint="eastAsia" w:asciiTheme="minorEastAsia" w:hAnsiTheme="minorEastAsia" w:eastAsiaTheme="minorEastAsia" w:cstheme="minorEastAsia"/>
          <w:color w:val="auto"/>
          <w:szCs w:val="21"/>
          <w:highlight w:val="none"/>
          <w:lang w:val="zh-CN"/>
        </w:rPr>
        <w:t>语音异议</w:t>
      </w:r>
      <w:bookmarkEnd w:id="147"/>
      <w:r>
        <w:rPr>
          <w:rFonts w:hint="eastAsia" w:asciiTheme="minorEastAsia" w:hAnsiTheme="minorEastAsia" w:eastAsiaTheme="minorEastAsia" w:cstheme="minorEastAsia"/>
          <w:color w:val="auto"/>
          <w:szCs w:val="21"/>
          <w:highlight w:val="none"/>
          <w:lang w:val="zh-CN"/>
        </w:rPr>
        <w:t>、</w:t>
      </w:r>
      <w:bookmarkStart w:id="148" w:name="_Toc20745"/>
      <w:r>
        <w:rPr>
          <w:rFonts w:hint="eastAsia" w:asciiTheme="minorEastAsia" w:hAnsiTheme="minorEastAsia" w:eastAsiaTheme="minorEastAsia" w:cstheme="minorEastAsia"/>
          <w:color w:val="auto"/>
          <w:szCs w:val="21"/>
          <w:highlight w:val="none"/>
          <w:lang w:val="zh-CN"/>
        </w:rPr>
        <w:t>文字异议</w:t>
      </w:r>
      <w:bookmarkEnd w:id="148"/>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采购</w:t>
      </w:r>
      <w:r>
        <w:rPr>
          <w:rFonts w:hint="eastAsia" w:asciiTheme="minorEastAsia" w:hAnsiTheme="minorEastAsia" w:eastAsiaTheme="minorEastAsia" w:cstheme="minorEastAsia"/>
          <w:color w:val="auto"/>
          <w:szCs w:val="21"/>
          <w:highlight w:val="none"/>
          <w:lang w:val="zh-CN"/>
        </w:rPr>
        <w:t>人当场作出答复，并制作记录。</w:t>
      </w:r>
    </w:p>
    <w:p w14:paraId="07DB188B">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5.4.2</w:t>
      </w:r>
      <w:r>
        <w:rPr>
          <w:rFonts w:hint="eastAsia" w:asciiTheme="minorEastAsia" w:hAnsiTheme="minorEastAsia" w:eastAsiaTheme="minorEastAsia" w:cstheme="minorEastAsia"/>
          <w:color w:val="auto"/>
          <w:szCs w:val="21"/>
          <w:highlight w:val="none"/>
          <w:lang w:val="zh-CN"/>
        </w:rPr>
        <w:t>开标异常处理</w:t>
      </w:r>
    </w:p>
    <w:p w14:paraId="6856B218">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当出现以下情况时，应对未开标的项目中止电子开标，对原有资料及信息作出妥善保密处理，并在恢复正常后及时安排时间开标：</w:t>
      </w:r>
    </w:p>
    <w:p w14:paraId="4C6D4FA2">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(l）系统服务器发生故障，无法访问或无法使用系统；</w:t>
      </w:r>
    </w:p>
    <w:p w14:paraId="0B01784D">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 xml:space="preserve">(2） </w:t>
      </w:r>
      <w:r>
        <w:rPr>
          <w:rFonts w:hint="eastAsia" w:asciiTheme="minorEastAsia" w:hAnsiTheme="minorEastAsia" w:eastAsiaTheme="minorEastAsia" w:cstheme="minorEastAsia"/>
          <w:color w:val="auto"/>
          <w:szCs w:val="21"/>
          <w:highlight w:val="none"/>
          <w:lang w:val="zh-CN"/>
        </w:rPr>
        <w:t>系统的软件或数据库出现错误，不能进行正常操作；</w:t>
      </w:r>
    </w:p>
    <w:p w14:paraId="3456F181">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）系统发现有安全漏洞，有潜在的泄密危险；</w:t>
      </w:r>
    </w:p>
    <w:p w14:paraId="75DCE7DA">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zh-CN"/>
        </w:rPr>
        <w:t>）出现断电事故且短时间内无法恢复供电；</w:t>
      </w:r>
    </w:p>
    <w:p w14:paraId="30418241">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 xml:space="preserve">（5） </w:t>
      </w:r>
      <w:r>
        <w:rPr>
          <w:rFonts w:hint="eastAsia" w:asciiTheme="minorEastAsia" w:hAnsiTheme="minorEastAsia" w:eastAsiaTheme="minorEastAsia" w:cstheme="minorEastAsia"/>
          <w:color w:val="auto"/>
          <w:szCs w:val="21"/>
          <w:highlight w:val="none"/>
          <w:lang w:val="zh-CN"/>
        </w:rPr>
        <w:t>其他无法保证招投标过程正常进行的情形；</w:t>
      </w:r>
    </w:p>
    <w:p w14:paraId="5AF4496A">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w:t>
      </w:r>
      <w:bookmarkStart w:id="149" w:name="_Toc13445"/>
      <w:bookmarkStart w:id="150" w:name="_Toc9927"/>
      <w:r>
        <w:rPr>
          <w:rFonts w:hint="eastAsia" w:asciiTheme="minorEastAsia" w:hAnsiTheme="minorEastAsia" w:eastAsiaTheme="minorEastAsia" w:cstheme="minorEastAsia"/>
          <w:b/>
          <w:bCs/>
          <w:color w:val="auto"/>
          <w:szCs w:val="21"/>
          <w:highlight w:val="none"/>
        </w:rPr>
        <w:t>5.资格审查工作</w:t>
      </w:r>
      <w:bookmarkEnd w:id="149"/>
      <w:bookmarkEnd w:id="150"/>
    </w:p>
    <w:p w14:paraId="7F454517">
      <w:pPr>
        <w:spacing w:line="400" w:lineRule="exact"/>
        <w:ind w:firstLine="420" w:firstLineChars="200"/>
        <w:rPr>
          <w:rFonts w:asciiTheme="minorEastAsia" w:hAnsiTheme="minorEastAsia" w:eastAsiaTheme="minorEastAsia" w:cstheme="minorEastAsia"/>
          <w:color w:val="auto"/>
          <w:szCs w:val="21"/>
          <w:highlight w:val="none"/>
        </w:rPr>
      </w:pPr>
      <w:bookmarkStart w:id="151" w:name="_Toc18803"/>
      <w:bookmarkStart w:id="152" w:name="_Toc22488"/>
      <w:bookmarkStart w:id="153" w:name="_Toc25448"/>
      <w:bookmarkStart w:id="154" w:name="_Toc25275"/>
      <w:bookmarkStart w:id="155" w:name="_Toc18806"/>
      <w:bookmarkStart w:id="156" w:name="_Toc15919"/>
      <w:bookmarkStart w:id="157" w:name="_Toc18888"/>
      <w:r>
        <w:rPr>
          <w:rFonts w:hint="eastAsia" w:asciiTheme="minorEastAsia" w:hAnsiTheme="minorEastAsia" w:eastAsiaTheme="minorEastAsia" w:cstheme="minorEastAsia"/>
          <w:color w:val="auto"/>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1"/>
      <w:bookmarkEnd w:id="152"/>
      <w:bookmarkEnd w:id="153"/>
      <w:bookmarkEnd w:id="154"/>
      <w:bookmarkEnd w:id="155"/>
      <w:bookmarkEnd w:id="156"/>
      <w:bookmarkEnd w:id="157"/>
    </w:p>
    <w:p w14:paraId="75CE0BC6">
      <w:pPr>
        <w:pStyle w:val="20"/>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58" w:name="_Toc6889"/>
      <w:bookmarkStart w:id="159" w:name="_Toc4643"/>
      <w:r>
        <w:rPr>
          <w:rFonts w:hint="eastAsia" w:asciiTheme="minorEastAsia" w:hAnsiTheme="minorEastAsia" w:eastAsiaTheme="minorEastAsia" w:cstheme="minorEastAsia"/>
          <w:color w:val="auto"/>
          <w:sz w:val="24"/>
          <w:szCs w:val="24"/>
          <w:highlight w:val="none"/>
        </w:rPr>
        <w:t>6. 评标</w:t>
      </w:r>
      <w:bookmarkEnd w:id="143"/>
      <w:bookmarkEnd w:id="144"/>
      <w:bookmarkEnd w:id="145"/>
      <w:bookmarkEnd w:id="146"/>
      <w:bookmarkEnd w:id="158"/>
      <w:bookmarkEnd w:id="159"/>
    </w:p>
    <w:p w14:paraId="502AADC2">
      <w:pPr>
        <w:spacing w:line="500" w:lineRule="exact"/>
        <w:ind w:firstLine="482" w:firstLineChars="200"/>
        <w:rPr>
          <w:rFonts w:asciiTheme="minorEastAsia" w:hAnsiTheme="minorEastAsia" w:eastAsiaTheme="minorEastAsia" w:cstheme="minorEastAsia"/>
          <w:b/>
          <w:bCs/>
          <w:color w:val="auto"/>
          <w:sz w:val="24"/>
          <w:highlight w:val="none"/>
        </w:rPr>
      </w:pPr>
      <w:bookmarkStart w:id="160" w:name="_Toc279599802"/>
      <w:bookmarkStart w:id="161" w:name="_Toc403122523"/>
      <w:bookmarkStart w:id="162" w:name="_Toc274249606"/>
      <w:bookmarkStart w:id="163" w:name="_Toc426369513"/>
      <w:r>
        <w:rPr>
          <w:rFonts w:hint="eastAsia" w:asciiTheme="minorEastAsia" w:hAnsiTheme="minorEastAsia" w:eastAsiaTheme="minorEastAsia" w:cstheme="minorEastAsia"/>
          <w:b/>
          <w:bCs/>
          <w:color w:val="auto"/>
          <w:sz w:val="24"/>
          <w:highlight w:val="none"/>
        </w:rPr>
        <w:t>6.1 评标委员会</w:t>
      </w:r>
      <w:bookmarkEnd w:id="160"/>
      <w:bookmarkEnd w:id="161"/>
      <w:bookmarkEnd w:id="162"/>
      <w:bookmarkEnd w:id="163"/>
    </w:p>
    <w:p w14:paraId="4E5F578F">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评标由采购人依法组建的评标委员会负责。评标委员会由采购人代表和评审专家组成。评标委员会成员人数以及评审专家的确定方式见供应商须知前附表。</w:t>
      </w:r>
    </w:p>
    <w:p w14:paraId="5B1C287E">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6.1.2  评标委员会成员有下列情形之一的，应当回避： </w:t>
      </w:r>
    </w:p>
    <w:p w14:paraId="18765F5E">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（1）采购人或供应商的主要负责人的近亲属； </w:t>
      </w:r>
    </w:p>
    <w:p w14:paraId="27C9C1BE">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（2）项目主管部门或者行政监督部门的人员； </w:t>
      </w:r>
    </w:p>
    <w:p w14:paraId="2E45C0EB">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（3）与供应商有经济利益关系，可能影响对投标公正评审的； </w:t>
      </w:r>
    </w:p>
    <w:p w14:paraId="16BB5C76">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（4）曾因在招标、评标以及其他与招标投标有关活动中从事违法行为而受过行政处罚或刑事处罚的。 </w:t>
      </w:r>
    </w:p>
    <w:p w14:paraId="3DF47F05">
      <w:pPr>
        <w:spacing w:line="500" w:lineRule="exact"/>
        <w:ind w:firstLine="482" w:firstLineChars="200"/>
        <w:rPr>
          <w:rFonts w:asciiTheme="minorEastAsia" w:hAnsiTheme="minorEastAsia" w:eastAsiaTheme="minorEastAsia" w:cstheme="minorEastAsia"/>
          <w:b/>
          <w:bCs/>
          <w:color w:val="auto"/>
          <w:sz w:val="24"/>
          <w:highlight w:val="none"/>
        </w:rPr>
      </w:pPr>
      <w:bookmarkStart w:id="164" w:name="_Toc426369514"/>
      <w:bookmarkStart w:id="165" w:name="_Toc279599803"/>
      <w:bookmarkStart w:id="166" w:name="_Toc274249607"/>
      <w:bookmarkStart w:id="167" w:name="_Toc403122524"/>
      <w:r>
        <w:rPr>
          <w:rFonts w:hint="eastAsia" w:asciiTheme="minorEastAsia" w:hAnsiTheme="minorEastAsia" w:eastAsiaTheme="minorEastAsia" w:cstheme="minorEastAsia"/>
          <w:b/>
          <w:bCs/>
          <w:color w:val="auto"/>
          <w:sz w:val="24"/>
          <w:highlight w:val="none"/>
        </w:rPr>
        <w:t>6.2 评标原则</w:t>
      </w:r>
      <w:bookmarkEnd w:id="164"/>
      <w:bookmarkEnd w:id="165"/>
      <w:bookmarkEnd w:id="166"/>
      <w:bookmarkEnd w:id="167"/>
    </w:p>
    <w:p w14:paraId="753A3289">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评标活动遵循公平、公正、科学和择优的原则。 </w:t>
      </w:r>
    </w:p>
    <w:p w14:paraId="35C4B0E1">
      <w:pPr>
        <w:spacing w:line="400" w:lineRule="exact"/>
        <w:ind w:firstLine="482" w:firstLineChars="200"/>
        <w:rPr>
          <w:rFonts w:asciiTheme="minorEastAsia" w:hAnsiTheme="minorEastAsia" w:eastAsiaTheme="minorEastAsia" w:cstheme="minorEastAsia"/>
          <w:color w:val="auto"/>
          <w:szCs w:val="21"/>
          <w:highlight w:val="none"/>
        </w:rPr>
      </w:pPr>
      <w:bookmarkStart w:id="168" w:name="_Toc274249608"/>
      <w:bookmarkStart w:id="169" w:name="_Toc403122525"/>
      <w:bookmarkStart w:id="170" w:name="_Toc279599804"/>
      <w:bookmarkStart w:id="171" w:name="_Toc426369515"/>
      <w:r>
        <w:rPr>
          <w:rFonts w:hint="eastAsia" w:asciiTheme="minorEastAsia" w:hAnsiTheme="minorEastAsia" w:eastAsiaTheme="minorEastAsia" w:cstheme="minorEastAsia"/>
          <w:b/>
          <w:bCs/>
          <w:color w:val="auto"/>
          <w:sz w:val="24"/>
          <w:highlight w:val="none"/>
        </w:rPr>
        <w:t>6.3 评标</w:t>
      </w:r>
      <w:bookmarkEnd w:id="168"/>
      <w:bookmarkEnd w:id="169"/>
      <w:bookmarkEnd w:id="170"/>
      <w:bookmarkEnd w:id="171"/>
    </w:p>
    <w:p w14:paraId="5C34C4AB">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6.3.1在评审过程中，评标委员会发现供应商有下列情形之一的，视为供应商相互串通投标，按照无效投标处理并依据法律、法规追究其相关责任。具体表现形式如下：</w:t>
      </w:r>
    </w:p>
    <w:p w14:paraId="7F80432E">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 </w:t>
      </w:r>
      <w:r>
        <w:rPr>
          <w:rFonts w:hint="eastAsia" w:asciiTheme="minorEastAsia" w:hAnsiTheme="minorEastAsia" w:eastAsiaTheme="minorEastAsia" w:cstheme="minorEastAsia"/>
          <w:color w:val="auto"/>
          <w:szCs w:val="21"/>
          <w:highlight w:val="none"/>
          <w:lang w:val="en-US" w:eastAsia="zh-CN"/>
        </w:rPr>
        <w:t>不</w:t>
      </w:r>
      <w:r>
        <w:rPr>
          <w:rFonts w:hint="eastAsia" w:asciiTheme="minorEastAsia" w:hAnsiTheme="minorEastAsia" w:eastAsiaTheme="minorEastAsia" w:cstheme="minorEastAsia"/>
          <w:color w:val="auto"/>
          <w:szCs w:val="21"/>
          <w:highlight w:val="none"/>
        </w:rPr>
        <w:t>同供应商的投标文件由同一单位或者个人编制；</w:t>
      </w:r>
    </w:p>
    <w:p w14:paraId="26269BF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（2）不同供应商委托同一单位或者个人办理投标事宜；</w:t>
      </w:r>
    </w:p>
    <w:p w14:paraId="6750C0AC">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（3）不同供应商的投标文件载明的项目管理成员或者联系人员为同一人；</w:t>
      </w:r>
    </w:p>
    <w:p w14:paraId="64ED94A4">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（4）不同供应商的投标文件异常一致或者投标报价呈规律性差异；</w:t>
      </w:r>
    </w:p>
    <w:p w14:paraId="2069803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（5）有证据证明供应商与采购人、采购代理机构或者其他供应商串通的其他情形；</w:t>
      </w:r>
    </w:p>
    <w:p w14:paraId="2B8E9CB5">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6.3.2评标委员会应当按照招标文件中规定的评标方法和标准，对符合性审查合格的投标文件进行商务和技术评估，综合比较与评价。招标文件没有规定的评标方法、评审因素和标准，不作为评标依据。</w:t>
      </w:r>
    </w:p>
    <w:p w14:paraId="0E30E3EA">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6.3.3评标时，评标委员会各成员应当独立对每个供应商的投标文件进行评价，并汇总每个供应商的得分。</w:t>
      </w:r>
    </w:p>
    <w:p w14:paraId="4658407F">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评标完成后，评标委员会应当向采购人提交书面评标报告和中标候选人名单。评标委员会推荐中标候选人的人数见供应商须知前附表。</w:t>
      </w:r>
    </w:p>
    <w:p w14:paraId="1AD5E9D8">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 评标委员会负责具体评标事务，并独立履行下列职责：</w:t>
      </w:r>
    </w:p>
    <w:p w14:paraId="4ED7C43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（1）审查、评价投标文件是否符合招标文件的实质性要求；</w:t>
      </w:r>
    </w:p>
    <w:p w14:paraId="1D8F49C0">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（2）要求供应商对投标文件有关事项作出澄清或者说明；</w:t>
      </w:r>
    </w:p>
    <w:p w14:paraId="127946D0">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14:paraId="4975FE60">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w:t>
      </w:r>
    </w:p>
    <w:p w14:paraId="360BD368">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14:paraId="1CD41733">
      <w:pPr>
        <w:autoSpaceDE w:val="0"/>
        <w:autoSpaceDN w:val="0"/>
        <w:adjustRightInd w:val="0"/>
        <w:spacing w:line="360" w:lineRule="auto"/>
        <w:ind w:left="237" w:right="-20"/>
        <w:jc w:val="left"/>
        <w:rPr>
          <w:rFonts w:ascii="宋体" w:hAnsi="宋体" w:cs="宋体"/>
          <w:b/>
          <w:bCs/>
          <w:color w:val="auto"/>
          <w:spacing w:val="1"/>
          <w:kern w:val="0"/>
          <w:szCs w:val="21"/>
          <w:highlight w:val="none"/>
        </w:rPr>
      </w:pPr>
      <w:r>
        <w:rPr>
          <w:rFonts w:hint="eastAsia" w:ascii="宋体" w:hAnsi="宋体" w:cs="宋体"/>
          <w:b/>
          <w:bCs/>
          <w:color w:val="auto"/>
          <w:spacing w:val="1"/>
          <w:kern w:val="0"/>
          <w:szCs w:val="21"/>
          <w:highlight w:val="none"/>
        </w:rPr>
        <w:t>6.4  废标</w:t>
      </w:r>
    </w:p>
    <w:p w14:paraId="2E93408C">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招标采购中，出现下列情形之一的，应予废标：</w:t>
      </w:r>
    </w:p>
    <w:p w14:paraId="319298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（1）符合专业条件的供应商或者对招标文件作实质响应的供应商不足三家的；</w:t>
      </w:r>
    </w:p>
    <w:p w14:paraId="62C0A914">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14:paraId="0186CED2">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（3）供应商的报价均超过了采购预算，采购人不能支付的；</w:t>
      </w:r>
    </w:p>
    <w:p w14:paraId="18BE2FD5">
      <w:pPr>
        <w:spacing w:line="40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（4）因重大变故，采购任务取消的。废标后，采购人应当将废标理由通知所有供应商。</w:t>
      </w:r>
    </w:p>
    <w:p w14:paraId="04D4A6EC">
      <w:pPr>
        <w:pStyle w:val="20"/>
        <w:spacing w:before="120" w:after="120" w:line="500" w:lineRule="exact"/>
        <w:ind w:right="-1029" w:rightChars="-490" w:firstLine="482" w:firstLineChars="200"/>
        <w:jc w:val="both"/>
        <w:outlineLvl w:val="1"/>
        <w:rPr>
          <w:color w:val="auto"/>
          <w:highlight w:val="none"/>
        </w:rPr>
      </w:pPr>
      <w:bookmarkStart w:id="172" w:name="_Toc22968"/>
      <w:bookmarkStart w:id="173" w:name="_Toc426369516"/>
      <w:bookmarkStart w:id="174" w:name="_Toc17811"/>
      <w:bookmarkStart w:id="175" w:name="_Toc26569"/>
      <w:bookmarkStart w:id="176" w:name="_Toc403122526"/>
      <w:bookmarkStart w:id="177" w:name="_Toc8566"/>
      <w:r>
        <w:rPr>
          <w:rFonts w:hint="eastAsia" w:asciiTheme="minorEastAsia" w:hAnsiTheme="minorEastAsia" w:eastAsiaTheme="minorEastAsia" w:cstheme="minorEastAsia"/>
          <w:color w:val="auto"/>
          <w:sz w:val="24"/>
          <w:szCs w:val="24"/>
          <w:highlight w:val="none"/>
        </w:rPr>
        <w:t>7. 合同授予</w:t>
      </w:r>
      <w:bookmarkEnd w:id="172"/>
      <w:bookmarkEnd w:id="173"/>
      <w:bookmarkEnd w:id="174"/>
      <w:bookmarkEnd w:id="175"/>
      <w:bookmarkEnd w:id="176"/>
      <w:bookmarkEnd w:id="177"/>
    </w:p>
    <w:p w14:paraId="15918A5B">
      <w:pPr>
        <w:spacing w:line="500" w:lineRule="exact"/>
        <w:ind w:firstLine="482" w:firstLineChars="200"/>
        <w:rPr>
          <w:rFonts w:asciiTheme="minorEastAsia" w:hAnsiTheme="minorEastAsia" w:eastAsiaTheme="minorEastAsia" w:cstheme="minorEastAsia"/>
          <w:b/>
          <w:bCs/>
          <w:color w:val="auto"/>
          <w:sz w:val="24"/>
          <w:highlight w:val="none"/>
        </w:rPr>
      </w:pPr>
      <w:bookmarkStart w:id="178" w:name="_Toc426369517"/>
      <w:bookmarkStart w:id="179" w:name="_Toc274249610"/>
      <w:bookmarkStart w:id="180" w:name="_Toc403122527"/>
      <w:bookmarkStart w:id="181" w:name="_Toc279599806"/>
      <w:r>
        <w:rPr>
          <w:rFonts w:hint="eastAsia" w:asciiTheme="minorEastAsia" w:hAnsiTheme="minorEastAsia" w:eastAsiaTheme="minorEastAsia" w:cstheme="minorEastAsia"/>
          <w:b/>
          <w:bCs/>
          <w:color w:val="auto"/>
          <w:sz w:val="24"/>
          <w:highlight w:val="none"/>
        </w:rPr>
        <w:t>7.1 定标方式</w:t>
      </w:r>
      <w:bookmarkEnd w:id="178"/>
      <w:bookmarkEnd w:id="179"/>
      <w:bookmarkEnd w:id="180"/>
      <w:bookmarkEnd w:id="181"/>
    </w:p>
    <w:p w14:paraId="6EDC5A84">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7.1.1采购人依据评标委员会推荐的中标候选人确定中标人，评标委员会推荐中标人候选人的人数见供应商须知前附表。</w:t>
      </w:r>
    </w:p>
    <w:p w14:paraId="3D6FEDC6">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中标或者成交供应商拒绝与采购人签订合同的，采购人可以按照评审报告推荐的中标或者成交候选人名单排序，确定下一候选人为中标或者成交供应商，也可以重新开展政府采购活动。</w:t>
      </w:r>
    </w:p>
    <w:p w14:paraId="00488601">
      <w:pPr>
        <w:spacing w:line="500" w:lineRule="exact"/>
        <w:ind w:firstLine="482" w:firstLineChars="200"/>
        <w:rPr>
          <w:rFonts w:asciiTheme="minorEastAsia" w:hAnsiTheme="minorEastAsia" w:eastAsiaTheme="minorEastAsia" w:cstheme="minorEastAsia"/>
          <w:b/>
          <w:bCs/>
          <w:color w:val="auto"/>
          <w:sz w:val="24"/>
          <w:highlight w:val="none"/>
        </w:rPr>
      </w:pPr>
      <w:bookmarkStart w:id="182" w:name="_Toc403122528"/>
      <w:bookmarkStart w:id="183" w:name="_Toc279599807"/>
      <w:bookmarkStart w:id="184" w:name="_Toc426369518"/>
      <w:bookmarkStart w:id="185" w:name="_Toc274249611"/>
      <w:r>
        <w:rPr>
          <w:rFonts w:hint="eastAsia" w:asciiTheme="minorEastAsia" w:hAnsiTheme="minorEastAsia" w:eastAsiaTheme="minorEastAsia" w:cstheme="minorEastAsia"/>
          <w:b/>
          <w:bCs/>
          <w:color w:val="auto"/>
          <w:sz w:val="24"/>
          <w:highlight w:val="none"/>
        </w:rPr>
        <w:t>7.2 中标通知</w:t>
      </w:r>
      <w:bookmarkEnd w:id="182"/>
      <w:bookmarkEnd w:id="183"/>
      <w:bookmarkEnd w:id="184"/>
      <w:bookmarkEnd w:id="185"/>
    </w:p>
    <w:p w14:paraId="6DAC660E">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7.2.1 在本章第3.3款规定的投标有效期内，采购人以书面形式向中标人发出中标通知书，同时将中标结果通知未中标的供应商。 </w:t>
      </w:r>
    </w:p>
    <w:p w14:paraId="0DD1046A">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7.2.2中标人在领取中标通知书后应及时到相关部门办理中标后的备案手续。</w:t>
      </w:r>
    </w:p>
    <w:p w14:paraId="3658E401">
      <w:pPr>
        <w:spacing w:line="500" w:lineRule="exact"/>
        <w:ind w:firstLine="482" w:firstLineChars="200"/>
        <w:rPr>
          <w:rFonts w:asciiTheme="minorEastAsia" w:hAnsiTheme="minorEastAsia" w:eastAsiaTheme="minorEastAsia" w:cstheme="minorEastAsia"/>
          <w:b/>
          <w:bCs/>
          <w:color w:val="auto"/>
          <w:sz w:val="24"/>
          <w:highlight w:val="none"/>
        </w:rPr>
      </w:pPr>
      <w:bookmarkStart w:id="186" w:name="_Toc311550376"/>
      <w:bookmarkStart w:id="187" w:name="_Toc274249612"/>
      <w:bookmarkStart w:id="188" w:name="_Toc279599808"/>
      <w:bookmarkStart w:id="189" w:name="_Toc403122529"/>
      <w:bookmarkStart w:id="190" w:name="_Toc426369519"/>
      <w:r>
        <w:rPr>
          <w:rFonts w:hint="eastAsia" w:asciiTheme="minorEastAsia" w:hAnsiTheme="minorEastAsia" w:eastAsiaTheme="minorEastAsia" w:cstheme="minorEastAsia"/>
          <w:b/>
          <w:bCs/>
          <w:color w:val="auto"/>
          <w:sz w:val="24"/>
          <w:highlight w:val="none"/>
        </w:rPr>
        <w:t>7.3履约</w:t>
      </w:r>
      <w:bookmarkEnd w:id="186"/>
      <w:bookmarkEnd w:id="187"/>
      <w:bookmarkEnd w:id="188"/>
      <w:r>
        <w:rPr>
          <w:rFonts w:hint="eastAsia" w:asciiTheme="minorEastAsia" w:hAnsiTheme="minorEastAsia" w:eastAsiaTheme="minorEastAsia" w:cstheme="minorEastAsia"/>
          <w:b/>
          <w:bCs/>
          <w:color w:val="auto"/>
          <w:sz w:val="24"/>
          <w:highlight w:val="none"/>
        </w:rPr>
        <w:t>保证金</w:t>
      </w:r>
      <w:bookmarkEnd w:id="189"/>
      <w:bookmarkEnd w:id="190"/>
    </w:p>
    <w:p w14:paraId="38E9844D">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7.3.1履约保证金：无</w:t>
      </w:r>
    </w:p>
    <w:p w14:paraId="6F6908A3">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7.3.2投标保证金：无</w:t>
      </w:r>
    </w:p>
    <w:p w14:paraId="77246582">
      <w:pPr>
        <w:spacing w:line="500" w:lineRule="exact"/>
        <w:ind w:firstLine="482" w:firstLineChars="200"/>
        <w:rPr>
          <w:rFonts w:asciiTheme="minorEastAsia" w:hAnsiTheme="minorEastAsia" w:eastAsiaTheme="minorEastAsia" w:cstheme="minorEastAsia"/>
          <w:b/>
          <w:bCs/>
          <w:color w:val="auto"/>
          <w:sz w:val="24"/>
          <w:highlight w:val="none"/>
        </w:rPr>
      </w:pPr>
      <w:bookmarkStart w:id="191" w:name="_Toc279599809"/>
      <w:bookmarkStart w:id="192" w:name="_Toc426369520"/>
      <w:bookmarkStart w:id="193" w:name="_Toc274249613"/>
      <w:bookmarkStart w:id="194" w:name="_Toc403122530"/>
      <w:r>
        <w:rPr>
          <w:rFonts w:hint="eastAsia" w:asciiTheme="minorEastAsia" w:hAnsiTheme="minorEastAsia" w:eastAsiaTheme="minorEastAsia" w:cstheme="minorEastAsia"/>
          <w:b/>
          <w:bCs/>
          <w:color w:val="auto"/>
          <w:sz w:val="24"/>
          <w:highlight w:val="none"/>
        </w:rPr>
        <w:t>7.4 签订合同</w:t>
      </w:r>
      <w:bookmarkEnd w:id="191"/>
      <w:bookmarkEnd w:id="192"/>
      <w:bookmarkEnd w:id="193"/>
      <w:bookmarkEnd w:id="194"/>
    </w:p>
    <w:p w14:paraId="285D925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7.4.1  中标人的投标</w:t>
      </w:r>
      <w:r>
        <w:rPr>
          <w:rFonts w:hint="eastAsia" w:asciiTheme="minorEastAsia" w:hAnsiTheme="minorEastAsia" w:eastAsiaTheme="minorEastAsia" w:cstheme="minorEastAsia"/>
          <w:color w:val="auto"/>
          <w:szCs w:val="21"/>
          <w:highlight w:val="none"/>
          <w:lang w:val="en-US" w:eastAsia="zh-CN"/>
        </w:rPr>
        <w:t>单价</w:t>
      </w:r>
      <w:r>
        <w:rPr>
          <w:rFonts w:hint="eastAsia" w:asciiTheme="minorEastAsia" w:hAnsiTheme="minorEastAsia" w:eastAsiaTheme="minorEastAsia" w:cstheme="minorEastAsia"/>
          <w:color w:val="auto"/>
          <w:szCs w:val="21"/>
          <w:highlight w:val="none"/>
        </w:rPr>
        <w:t>报价为中标价，中标价即为合同价（当中标人的投标</w:t>
      </w:r>
      <w:r>
        <w:rPr>
          <w:rFonts w:hint="eastAsia" w:asciiTheme="minorEastAsia" w:hAnsiTheme="minorEastAsia" w:eastAsiaTheme="minorEastAsia" w:cstheme="minorEastAsia"/>
          <w:color w:val="auto"/>
          <w:szCs w:val="21"/>
          <w:highlight w:val="none"/>
          <w:lang w:val="en-US" w:eastAsia="zh-CN"/>
        </w:rPr>
        <w:t>单价</w:t>
      </w:r>
      <w:r>
        <w:rPr>
          <w:rFonts w:hint="eastAsia" w:asciiTheme="minorEastAsia" w:hAnsiTheme="minorEastAsia" w:eastAsiaTheme="minorEastAsia" w:cstheme="minorEastAsia"/>
          <w:color w:val="auto"/>
          <w:szCs w:val="21"/>
          <w:highlight w:val="none"/>
        </w:rPr>
        <w:t>报价高于</w:t>
      </w:r>
      <w:r>
        <w:rPr>
          <w:rFonts w:hint="eastAsia" w:asciiTheme="minorEastAsia" w:hAnsiTheme="minorEastAsia" w:eastAsiaTheme="minorEastAsia" w:cstheme="minorEastAsia"/>
          <w:color w:val="auto"/>
          <w:szCs w:val="21"/>
          <w:highlight w:val="none"/>
          <w:lang w:val="en-US" w:eastAsia="zh-CN"/>
        </w:rPr>
        <w:t>预算</w:t>
      </w:r>
      <w:r>
        <w:rPr>
          <w:rFonts w:hint="eastAsia" w:asciiTheme="minorEastAsia" w:hAnsiTheme="minorEastAsia" w:eastAsiaTheme="minorEastAsia" w:cstheme="minorEastAsia"/>
          <w:color w:val="auto"/>
          <w:szCs w:val="21"/>
          <w:highlight w:val="none"/>
        </w:rPr>
        <w:t>控制</w:t>
      </w:r>
      <w:r>
        <w:rPr>
          <w:rFonts w:hint="eastAsia" w:asciiTheme="minorEastAsia" w:hAnsiTheme="minorEastAsia" w:eastAsiaTheme="minorEastAsia" w:cstheme="minorEastAsia"/>
          <w:color w:val="auto"/>
          <w:szCs w:val="21"/>
          <w:highlight w:val="none"/>
          <w:lang w:val="en-US" w:eastAsia="zh-CN"/>
        </w:rPr>
        <w:t>单价金额</w:t>
      </w:r>
      <w:r>
        <w:rPr>
          <w:rFonts w:hint="eastAsia" w:asciiTheme="minorEastAsia" w:hAnsiTheme="minorEastAsia" w:eastAsiaTheme="minorEastAsia" w:cstheme="minorEastAsia"/>
          <w:color w:val="auto"/>
          <w:szCs w:val="21"/>
          <w:highlight w:val="none"/>
        </w:rPr>
        <w:t>的95%时，该中标人的中标</w:t>
      </w:r>
      <w:r>
        <w:rPr>
          <w:rFonts w:hint="eastAsia" w:asciiTheme="minorEastAsia" w:hAnsiTheme="minorEastAsia" w:eastAsiaTheme="minorEastAsia" w:cstheme="minorEastAsia"/>
          <w:color w:val="auto"/>
          <w:szCs w:val="21"/>
          <w:highlight w:val="none"/>
          <w:lang w:val="en-US" w:eastAsia="zh-CN"/>
        </w:rPr>
        <w:t>单价</w:t>
      </w:r>
      <w:r>
        <w:rPr>
          <w:rFonts w:hint="eastAsia" w:asciiTheme="minorEastAsia" w:hAnsiTheme="minorEastAsia" w:eastAsiaTheme="minorEastAsia" w:cstheme="minorEastAsia"/>
          <w:color w:val="auto"/>
          <w:szCs w:val="21"/>
          <w:highlight w:val="none"/>
        </w:rPr>
        <w:t>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14:paraId="713E0DA9">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7.4.2  发出中标通知书后，采购人无正当理由拒签合同的，给中标人造成损失的，还应当赔偿损失。</w:t>
      </w:r>
    </w:p>
    <w:p w14:paraId="16B6C340">
      <w:pPr>
        <w:pStyle w:val="20"/>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95" w:name="_Toc426369521"/>
      <w:bookmarkStart w:id="196" w:name="_Toc30009"/>
      <w:bookmarkStart w:id="197" w:name="_Toc29014"/>
      <w:bookmarkStart w:id="198" w:name="_Toc403122531"/>
      <w:bookmarkStart w:id="199" w:name="_Toc10417"/>
      <w:bookmarkStart w:id="200" w:name="_Toc10541"/>
      <w:r>
        <w:rPr>
          <w:rFonts w:hint="eastAsia" w:asciiTheme="minorEastAsia" w:hAnsiTheme="minorEastAsia" w:eastAsiaTheme="minorEastAsia" w:cstheme="minorEastAsia"/>
          <w:color w:val="auto"/>
          <w:sz w:val="24"/>
          <w:szCs w:val="24"/>
          <w:highlight w:val="none"/>
        </w:rPr>
        <w:t>8. 重新招标</w:t>
      </w:r>
      <w:bookmarkEnd w:id="195"/>
      <w:bookmarkEnd w:id="196"/>
      <w:bookmarkEnd w:id="197"/>
      <w:bookmarkEnd w:id="198"/>
      <w:bookmarkEnd w:id="199"/>
      <w:bookmarkEnd w:id="200"/>
    </w:p>
    <w:p w14:paraId="14E03448">
      <w:pPr>
        <w:spacing w:line="500" w:lineRule="exact"/>
        <w:ind w:firstLine="482" w:firstLineChars="200"/>
        <w:rPr>
          <w:rFonts w:asciiTheme="minorEastAsia" w:hAnsiTheme="minorEastAsia" w:eastAsiaTheme="minorEastAsia" w:cstheme="minorEastAsia"/>
          <w:b/>
          <w:bCs/>
          <w:color w:val="auto"/>
          <w:sz w:val="24"/>
          <w:highlight w:val="none"/>
        </w:rPr>
      </w:pPr>
      <w:bookmarkStart w:id="201" w:name="_Toc279599811"/>
      <w:bookmarkStart w:id="202" w:name="_Toc274249615"/>
      <w:bookmarkStart w:id="203" w:name="_Toc426369522"/>
      <w:bookmarkStart w:id="204" w:name="_Toc403122532"/>
      <w:r>
        <w:rPr>
          <w:rFonts w:hint="eastAsia" w:asciiTheme="minorEastAsia" w:hAnsiTheme="minorEastAsia" w:eastAsiaTheme="minorEastAsia" w:cstheme="minorEastAsia"/>
          <w:b/>
          <w:bCs/>
          <w:color w:val="auto"/>
          <w:sz w:val="24"/>
          <w:highlight w:val="none"/>
        </w:rPr>
        <w:t>8.1 重新招标</w:t>
      </w:r>
      <w:bookmarkEnd w:id="201"/>
      <w:bookmarkEnd w:id="202"/>
      <w:bookmarkEnd w:id="203"/>
      <w:bookmarkEnd w:id="204"/>
    </w:p>
    <w:p w14:paraId="68AF304A">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有下列情形之一的，采购人将重新招标： </w:t>
      </w:r>
    </w:p>
    <w:p w14:paraId="4A6A00C2">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（1）投标截止时间止，供应商少于3个的； </w:t>
      </w:r>
    </w:p>
    <w:p w14:paraId="6690520A">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（2）经评标委员会评审后否决所有投标的。 </w:t>
      </w:r>
    </w:p>
    <w:p w14:paraId="25A279AC">
      <w:pPr>
        <w:pStyle w:val="20"/>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205" w:name="_Toc14622"/>
      <w:bookmarkStart w:id="206" w:name="_Toc3760"/>
      <w:bookmarkStart w:id="207" w:name="_Toc27398"/>
      <w:bookmarkStart w:id="208" w:name="_Toc403122533"/>
      <w:bookmarkStart w:id="209" w:name="_Toc10372"/>
      <w:bookmarkStart w:id="210" w:name="_Toc426369523"/>
      <w:r>
        <w:rPr>
          <w:rFonts w:hint="eastAsia" w:asciiTheme="minorEastAsia" w:hAnsiTheme="minorEastAsia" w:eastAsiaTheme="minorEastAsia" w:cstheme="minorEastAsia"/>
          <w:color w:val="auto"/>
          <w:sz w:val="24"/>
          <w:szCs w:val="24"/>
          <w:highlight w:val="none"/>
        </w:rPr>
        <w:t>9. 纪律和监督</w:t>
      </w:r>
      <w:bookmarkEnd w:id="205"/>
      <w:bookmarkEnd w:id="206"/>
      <w:bookmarkEnd w:id="207"/>
      <w:bookmarkEnd w:id="208"/>
      <w:bookmarkEnd w:id="209"/>
      <w:bookmarkEnd w:id="210"/>
    </w:p>
    <w:p w14:paraId="77DD1A3F">
      <w:pPr>
        <w:spacing w:line="500" w:lineRule="exact"/>
        <w:ind w:firstLine="482" w:firstLineChars="200"/>
        <w:rPr>
          <w:rFonts w:asciiTheme="minorEastAsia" w:hAnsiTheme="minorEastAsia" w:eastAsiaTheme="minorEastAsia" w:cstheme="minorEastAsia"/>
          <w:b/>
          <w:bCs/>
          <w:color w:val="auto"/>
          <w:sz w:val="24"/>
          <w:highlight w:val="none"/>
        </w:rPr>
      </w:pPr>
      <w:bookmarkStart w:id="211" w:name="_Toc274249618"/>
      <w:bookmarkStart w:id="212" w:name="_Toc426369524"/>
      <w:bookmarkStart w:id="213" w:name="_Toc279599814"/>
      <w:bookmarkStart w:id="214" w:name="_Toc403122534"/>
      <w:r>
        <w:rPr>
          <w:rFonts w:hint="eastAsia" w:asciiTheme="minorEastAsia" w:hAnsiTheme="minorEastAsia" w:eastAsiaTheme="minorEastAsia" w:cstheme="minorEastAsia"/>
          <w:b/>
          <w:bCs/>
          <w:color w:val="auto"/>
          <w:sz w:val="24"/>
          <w:highlight w:val="none"/>
        </w:rPr>
        <w:t>9.1 对采购人的纪律要求</w:t>
      </w:r>
      <w:bookmarkEnd w:id="211"/>
      <w:bookmarkEnd w:id="212"/>
      <w:bookmarkEnd w:id="213"/>
      <w:bookmarkEnd w:id="214"/>
    </w:p>
    <w:p w14:paraId="4E15DB78">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采购人不得泄漏招标投标活动中应当保密的情况和资料，不得与供应商串通损害国家利益、社会公共利益或者他人合法权益。 </w:t>
      </w:r>
    </w:p>
    <w:p w14:paraId="134E80AE">
      <w:pPr>
        <w:spacing w:line="500" w:lineRule="exact"/>
        <w:ind w:firstLine="482" w:firstLineChars="200"/>
        <w:rPr>
          <w:rFonts w:asciiTheme="minorEastAsia" w:hAnsiTheme="minorEastAsia" w:eastAsiaTheme="minorEastAsia" w:cstheme="minorEastAsia"/>
          <w:b/>
          <w:bCs/>
          <w:color w:val="auto"/>
          <w:sz w:val="24"/>
          <w:highlight w:val="none"/>
        </w:rPr>
      </w:pPr>
      <w:bookmarkStart w:id="215" w:name="_Toc274249619"/>
      <w:bookmarkStart w:id="216" w:name="_Toc426369525"/>
      <w:bookmarkStart w:id="217" w:name="_Toc279599815"/>
      <w:bookmarkStart w:id="218" w:name="_Toc403122535"/>
      <w:r>
        <w:rPr>
          <w:rFonts w:hint="eastAsia" w:asciiTheme="minorEastAsia" w:hAnsiTheme="minorEastAsia" w:eastAsiaTheme="minorEastAsia" w:cstheme="minorEastAsia"/>
          <w:b/>
          <w:bCs/>
          <w:color w:val="auto"/>
          <w:sz w:val="24"/>
          <w:highlight w:val="none"/>
        </w:rPr>
        <w:t>9.2 对供应商的纪律要求</w:t>
      </w:r>
      <w:bookmarkEnd w:id="215"/>
      <w:bookmarkEnd w:id="216"/>
      <w:bookmarkEnd w:id="217"/>
      <w:bookmarkEnd w:id="218"/>
    </w:p>
    <w:p w14:paraId="7A67ADB3">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0D921F8B">
      <w:pPr>
        <w:spacing w:line="500" w:lineRule="exact"/>
        <w:ind w:firstLine="482" w:firstLineChars="200"/>
        <w:rPr>
          <w:rFonts w:asciiTheme="minorEastAsia" w:hAnsiTheme="minorEastAsia" w:eastAsiaTheme="minorEastAsia" w:cstheme="minorEastAsia"/>
          <w:b/>
          <w:bCs/>
          <w:color w:val="auto"/>
          <w:sz w:val="24"/>
          <w:highlight w:val="none"/>
        </w:rPr>
      </w:pPr>
      <w:bookmarkStart w:id="219" w:name="_Toc426369526"/>
      <w:bookmarkStart w:id="220" w:name="_Toc279599816"/>
      <w:bookmarkStart w:id="221" w:name="_Toc403122536"/>
      <w:bookmarkStart w:id="222" w:name="_Toc274249620"/>
      <w:r>
        <w:rPr>
          <w:rFonts w:hint="eastAsia" w:asciiTheme="minorEastAsia" w:hAnsiTheme="minorEastAsia" w:eastAsiaTheme="minorEastAsia" w:cstheme="minorEastAsia"/>
          <w:b/>
          <w:bCs/>
          <w:color w:val="auto"/>
          <w:sz w:val="24"/>
          <w:highlight w:val="none"/>
        </w:rPr>
        <w:t>9.3 对评标委员会成员的纪律要求</w:t>
      </w:r>
      <w:bookmarkEnd w:id="219"/>
      <w:bookmarkEnd w:id="220"/>
      <w:bookmarkEnd w:id="221"/>
      <w:bookmarkEnd w:id="222"/>
    </w:p>
    <w:p w14:paraId="5B3597EE">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04FDB672">
      <w:pPr>
        <w:spacing w:line="500" w:lineRule="exact"/>
        <w:ind w:firstLine="482" w:firstLineChars="200"/>
        <w:rPr>
          <w:rFonts w:asciiTheme="minorEastAsia" w:hAnsiTheme="minorEastAsia" w:eastAsiaTheme="minorEastAsia" w:cstheme="minorEastAsia"/>
          <w:b/>
          <w:bCs/>
          <w:color w:val="auto"/>
          <w:sz w:val="24"/>
          <w:highlight w:val="none"/>
        </w:rPr>
      </w:pPr>
      <w:bookmarkStart w:id="223" w:name="_Toc403122537"/>
      <w:bookmarkStart w:id="224" w:name="_Toc426369527"/>
      <w:bookmarkStart w:id="225" w:name="_Toc279599817"/>
      <w:bookmarkStart w:id="226" w:name="_Toc274249621"/>
      <w:r>
        <w:rPr>
          <w:rFonts w:hint="eastAsia" w:asciiTheme="minorEastAsia" w:hAnsiTheme="minorEastAsia" w:eastAsiaTheme="minorEastAsia" w:cstheme="minorEastAsia"/>
          <w:b/>
          <w:bCs/>
          <w:color w:val="auto"/>
          <w:sz w:val="24"/>
          <w:highlight w:val="none"/>
        </w:rPr>
        <w:t>9.4 对与评标活动有关的工作人员的纪律要求</w:t>
      </w:r>
      <w:bookmarkEnd w:id="223"/>
      <w:bookmarkEnd w:id="224"/>
      <w:bookmarkEnd w:id="225"/>
      <w:bookmarkEnd w:id="226"/>
    </w:p>
    <w:p w14:paraId="678480EB">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1C88DBF1">
      <w:pPr>
        <w:spacing w:line="500" w:lineRule="exact"/>
        <w:ind w:firstLine="482" w:firstLineChars="200"/>
        <w:rPr>
          <w:rFonts w:asciiTheme="minorEastAsia" w:hAnsiTheme="minorEastAsia" w:eastAsiaTheme="minorEastAsia" w:cstheme="minorEastAsia"/>
          <w:b/>
          <w:bCs/>
          <w:color w:val="auto"/>
          <w:sz w:val="24"/>
          <w:highlight w:val="none"/>
        </w:rPr>
      </w:pPr>
      <w:bookmarkStart w:id="227" w:name="_Toc403122538"/>
      <w:bookmarkStart w:id="228" w:name="_Toc279599818"/>
      <w:bookmarkStart w:id="229" w:name="_Toc274249622"/>
      <w:bookmarkStart w:id="230" w:name="_Toc426369528"/>
      <w:r>
        <w:rPr>
          <w:rFonts w:hint="eastAsia" w:asciiTheme="minorEastAsia" w:hAnsiTheme="minorEastAsia" w:eastAsiaTheme="minorEastAsia" w:cstheme="minorEastAsia"/>
          <w:b/>
          <w:bCs/>
          <w:color w:val="auto"/>
          <w:sz w:val="24"/>
          <w:highlight w:val="none"/>
        </w:rPr>
        <w:t>9.5 投诉</w:t>
      </w:r>
      <w:bookmarkEnd w:id="227"/>
      <w:bookmarkEnd w:id="228"/>
      <w:bookmarkEnd w:id="229"/>
      <w:bookmarkEnd w:id="230"/>
    </w:p>
    <w:p w14:paraId="67961A4A">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供应商和其他利害关系人认为本次招标活动违反法律、法规和规章规定的，有权向有关行政监督部门投诉。 </w:t>
      </w:r>
    </w:p>
    <w:p w14:paraId="0C4E0898">
      <w:pPr>
        <w:pStyle w:val="20"/>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231" w:name="_Toc13281"/>
      <w:bookmarkStart w:id="232" w:name="_Toc26812"/>
      <w:bookmarkStart w:id="233" w:name="_Toc403122539"/>
      <w:bookmarkStart w:id="234" w:name="_Toc25080"/>
      <w:bookmarkStart w:id="235" w:name="_Toc10880"/>
      <w:bookmarkStart w:id="236" w:name="_Toc426369529"/>
      <w:r>
        <w:rPr>
          <w:rFonts w:hint="eastAsia" w:asciiTheme="minorEastAsia" w:hAnsiTheme="minorEastAsia" w:eastAsiaTheme="minorEastAsia" w:cstheme="minorEastAsia"/>
          <w:color w:val="auto"/>
          <w:sz w:val="24"/>
          <w:szCs w:val="24"/>
          <w:highlight w:val="none"/>
        </w:rPr>
        <w:t>10. 需要补充的其他内容</w:t>
      </w:r>
      <w:bookmarkEnd w:id="231"/>
      <w:bookmarkEnd w:id="232"/>
      <w:bookmarkEnd w:id="233"/>
      <w:bookmarkEnd w:id="234"/>
      <w:bookmarkEnd w:id="235"/>
      <w:bookmarkEnd w:id="236"/>
    </w:p>
    <w:p w14:paraId="50355906">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10.1 费用承担</w:t>
      </w:r>
    </w:p>
    <w:p w14:paraId="3325C88F">
      <w:pPr>
        <w:autoSpaceDE w:val="0"/>
        <w:autoSpaceDN w:val="0"/>
        <w:adjustRightInd w:val="0"/>
        <w:spacing w:line="440" w:lineRule="exact"/>
        <w:ind w:left="17" w:leftChars="8"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（1）无论投标结果如何，供应商应自行承担所有参与投标的全部费用，采购人和采购代理机构在任何情况下均无义务和责任承担上述费用。</w:t>
      </w:r>
    </w:p>
    <w:p w14:paraId="0BBAFC4B">
      <w:pPr>
        <w:autoSpaceDE w:val="0"/>
        <w:autoSpaceDN w:val="0"/>
        <w:adjustRightInd w:val="0"/>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（2）招标代理服务费由中标人支付。</w:t>
      </w:r>
    </w:p>
    <w:p w14:paraId="1D608E88">
      <w:pPr>
        <w:autoSpaceDE w:val="0"/>
        <w:autoSpaceDN w:val="0"/>
        <w:adjustRightInd w:val="0"/>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（3）供应商与采购人签订合同后，将合同报采购代理机构备案。</w:t>
      </w:r>
    </w:p>
    <w:p w14:paraId="0C9AA623">
      <w:pPr>
        <w:pStyle w:val="40"/>
        <w:ind w:firstLine="482" w:firstLineChars="200"/>
        <w:rPr>
          <w:rFonts w:asciiTheme="minorEastAsia" w:hAnsiTheme="minorEastAsia" w:eastAsiaTheme="minorEastAsia" w:cstheme="minorEastAsia"/>
          <w:b/>
          <w:bCs/>
          <w:color w:val="auto"/>
          <w:kern w:val="2"/>
          <w:sz w:val="24"/>
          <w:highlight w:val="none"/>
        </w:rPr>
      </w:pPr>
      <w:r>
        <w:rPr>
          <w:rFonts w:hint="eastAsia" w:asciiTheme="minorEastAsia" w:hAnsiTheme="minorEastAsia" w:eastAsiaTheme="minorEastAsia" w:cstheme="minorEastAsia"/>
          <w:b/>
          <w:bCs/>
          <w:color w:val="auto"/>
          <w:kern w:val="2"/>
          <w:sz w:val="24"/>
          <w:highlight w:val="none"/>
        </w:rPr>
        <w:t>10.2本招标文件未尽事宜，按《中华人民共和国政府采购法》等法律法规的有关规定执行。</w:t>
      </w:r>
    </w:p>
    <w:p w14:paraId="6D2496D8">
      <w:pPr>
        <w:pStyle w:val="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32698674">
      <w:pPr>
        <w:pStyle w:val="20"/>
        <w:numPr>
          <w:ilvl w:val="0"/>
          <w:numId w:val="5"/>
        </w:numPr>
        <w:spacing w:line="600" w:lineRule="exact"/>
        <w:ind w:right="-63" w:rightChars="-30"/>
        <w:rPr>
          <w:rFonts w:asciiTheme="minorEastAsia" w:hAnsiTheme="minorEastAsia" w:eastAsiaTheme="minorEastAsia" w:cstheme="minorEastAsia"/>
          <w:color w:val="auto"/>
          <w:sz w:val="36"/>
          <w:szCs w:val="36"/>
          <w:highlight w:val="none"/>
        </w:rPr>
      </w:pPr>
      <w:bookmarkStart w:id="237" w:name="_Toc403122540"/>
      <w:bookmarkStart w:id="238" w:name="_Toc426369530"/>
      <w:bookmarkStart w:id="239" w:name="_Toc28433"/>
      <w:bookmarkStart w:id="240" w:name="_Toc32119"/>
      <w:bookmarkStart w:id="241" w:name="_Toc8251"/>
      <w:r>
        <w:rPr>
          <w:rFonts w:hint="eastAsia" w:asciiTheme="minorEastAsia" w:hAnsiTheme="minorEastAsia" w:eastAsiaTheme="minorEastAsia" w:cstheme="minorEastAsia"/>
          <w:color w:val="auto"/>
          <w:sz w:val="36"/>
          <w:szCs w:val="36"/>
          <w:highlight w:val="none"/>
        </w:rPr>
        <w:t>评标办法</w:t>
      </w:r>
      <w:bookmarkEnd w:id="237"/>
      <w:bookmarkEnd w:id="238"/>
      <w:bookmarkEnd w:id="239"/>
      <w:r>
        <w:rPr>
          <w:rFonts w:hint="eastAsia" w:asciiTheme="minorEastAsia" w:hAnsiTheme="minorEastAsia" w:eastAsiaTheme="minorEastAsia" w:cstheme="minorEastAsia"/>
          <w:color w:val="auto"/>
          <w:sz w:val="36"/>
          <w:szCs w:val="36"/>
          <w:highlight w:val="none"/>
        </w:rPr>
        <w:t>（综合评分法）</w:t>
      </w:r>
      <w:bookmarkEnd w:id="240"/>
      <w:bookmarkEnd w:id="241"/>
    </w:p>
    <w:p w14:paraId="3263BF60">
      <w:pPr>
        <w:pStyle w:val="41"/>
        <w:spacing w:line="540" w:lineRule="exact"/>
        <w:jc w:val="center"/>
        <w:outlineLvl w:val="1"/>
        <w:rPr>
          <w:rFonts w:asciiTheme="minorEastAsia" w:hAnsiTheme="minorEastAsia" w:eastAsiaTheme="minorEastAsia" w:cstheme="minorEastAsia"/>
          <w:b/>
          <w:bCs/>
          <w:color w:val="auto"/>
          <w:sz w:val="28"/>
          <w:szCs w:val="28"/>
          <w:highlight w:val="none"/>
        </w:rPr>
      </w:pPr>
      <w:bookmarkStart w:id="242" w:name="_Toc29947"/>
      <w:bookmarkStart w:id="243" w:name="_Toc9561"/>
      <w:bookmarkStart w:id="244" w:name="_Toc30933"/>
      <w:bookmarkStart w:id="245" w:name="_Toc21885"/>
      <w:bookmarkStart w:id="246" w:name="_Toc17859"/>
      <w:bookmarkStart w:id="247" w:name="_Toc16529"/>
      <w:bookmarkStart w:id="248" w:name="_Toc2761070"/>
      <w:r>
        <w:rPr>
          <w:rFonts w:hint="eastAsia" w:asciiTheme="minorEastAsia" w:hAnsiTheme="minorEastAsia" w:eastAsiaTheme="minorEastAsia" w:cstheme="minorEastAsia"/>
          <w:b/>
          <w:bCs/>
          <w:color w:val="auto"/>
          <w:sz w:val="28"/>
          <w:szCs w:val="28"/>
          <w:highlight w:val="none"/>
        </w:rPr>
        <w:t>评分办法前附表</w:t>
      </w:r>
      <w:bookmarkEnd w:id="242"/>
      <w:bookmarkEnd w:id="243"/>
      <w:bookmarkEnd w:id="244"/>
      <w:bookmarkEnd w:id="245"/>
      <w:bookmarkEnd w:id="246"/>
    </w:p>
    <w:bookmarkEnd w:id="247"/>
    <w:tbl>
      <w:tblPr>
        <w:tblStyle w:val="21"/>
        <w:tblpPr w:leftFromText="180" w:rightFromText="180" w:vertAnchor="text" w:horzAnchor="page" w:tblpX="1155" w:tblpY="363"/>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14:paraId="5C7E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vAlign w:val="center"/>
          </w:tcPr>
          <w:p w14:paraId="1BD1BC3B">
            <w:pPr>
              <w:spacing w:line="440" w:lineRule="exact"/>
              <w:jc w:val="center"/>
              <w:rPr>
                <w:rFonts w:ascii="宋体" w:hAnsi="宋体" w:cs="宋体"/>
                <w:b/>
                <w:color w:val="auto"/>
                <w:szCs w:val="21"/>
                <w:highlight w:val="none"/>
              </w:rPr>
            </w:pPr>
            <w:bookmarkStart w:id="249" w:name="_Toc31084"/>
            <w:bookmarkStart w:id="250" w:name="_Toc403122541"/>
            <w:bookmarkStart w:id="251" w:name="_Toc426369531"/>
            <w:r>
              <w:rPr>
                <w:rFonts w:hint="eastAsia" w:ascii="宋体" w:hAnsi="宋体" w:cs="宋体"/>
                <w:b/>
                <w:bCs/>
                <w:color w:val="auto"/>
                <w:kern w:val="0"/>
                <w:szCs w:val="21"/>
                <w:highlight w:val="none"/>
              </w:rPr>
              <w:t>审查主体</w:t>
            </w:r>
          </w:p>
        </w:tc>
        <w:tc>
          <w:tcPr>
            <w:tcW w:w="3179" w:type="dxa"/>
            <w:gridSpan w:val="2"/>
            <w:vAlign w:val="center"/>
          </w:tcPr>
          <w:p w14:paraId="2E3922AC">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602" w:type="dxa"/>
            <w:vAlign w:val="center"/>
          </w:tcPr>
          <w:p w14:paraId="2B6C0975">
            <w:pPr>
              <w:tabs>
                <w:tab w:val="left" w:pos="417"/>
                <w:tab w:val="center" w:pos="2999"/>
              </w:tabs>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ab/>
            </w:r>
            <w:r>
              <w:rPr>
                <w:rFonts w:hint="eastAsia" w:ascii="宋体" w:hAnsi="宋体" w:cs="宋体"/>
                <w:b/>
                <w:color w:val="auto"/>
                <w:szCs w:val="21"/>
                <w:highlight w:val="none"/>
              </w:rPr>
              <w:tab/>
            </w:r>
            <w:r>
              <w:rPr>
                <w:rFonts w:hint="eastAsia" w:ascii="宋体" w:hAnsi="宋体" w:cs="宋体"/>
                <w:b/>
                <w:color w:val="auto"/>
                <w:szCs w:val="21"/>
                <w:highlight w:val="none"/>
              </w:rPr>
              <w:t>评审标准</w:t>
            </w:r>
          </w:p>
        </w:tc>
      </w:tr>
      <w:tr w14:paraId="52DE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1095" w:type="dxa"/>
            <w:vMerge w:val="restart"/>
            <w:vAlign w:val="center"/>
          </w:tcPr>
          <w:p w14:paraId="24C3201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资格审查小组</w:t>
            </w:r>
          </w:p>
        </w:tc>
        <w:tc>
          <w:tcPr>
            <w:tcW w:w="1095" w:type="dxa"/>
            <w:vMerge w:val="restart"/>
            <w:vAlign w:val="center"/>
          </w:tcPr>
          <w:p w14:paraId="03D6040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一、资格评审标准</w:t>
            </w:r>
          </w:p>
        </w:tc>
        <w:tc>
          <w:tcPr>
            <w:tcW w:w="2084" w:type="dxa"/>
            <w:vAlign w:val="center"/>
          </w:tcPr>
          <w:p w14:paraId="6DBD7DA4">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营业执照、税务登记证、组织机构代码证（或三证合一的营业执照）</w:t>
            </w:r>
          </w:p>
        </w:tc>
        <w:tc>
          <w:tcPr>
            <w:tcW w:w="5602" w:type="dxa"/>
            <w:vAlign w:val="center"/>
          </w:tcPr>
          <w:p w14:paraId="79B403B0">
            <w:pPr>
              <w:spacing w:line="320" w:lineRule="exact"/>
              <w:rPr>
                <w:rFonts w:ascii="宋体" w:hAnsi="宋体" w:cs="宋体"/>
                <w:color w:val="auto"/>
                <w:szCs w:val="21"/>
                <w:highlight w:val="none"/>
              </w:rPr>
            </w:pPr>
            <w:r>
              <w:rPr>
                <w:rFonts w:hint="eastAsia" w:ascii="宋体" w:hAnsi="宋体" w:cs="宋体"/>
                <w:color w:val="auto"/>
                <w:szCs w:val="21"/>
                <w:highlight w:val="none"/>
              </w:rPr>
              <w:t>提供资格承诺函</w:t>
            </w:r>
          </w:p>
        </w:tc>
      </w:tr>
      <w:tr w14:paraId="2BD4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trPr>
        <w:tc>
          <w:tcPr>
            <w:tcW w:w="1095" w:type="dxa"/>
            <w:vMerge w:val="continue"/>
            <w:vAlign w:val="center"/>
          </w:tcPr>
          <w:p w14:paraId="00638581">
            <w:pPr>
              <w:spacing w:line="440" w:lineRule="exact"/>
              <w:jc w:val="center"/>
              <w:rPr>
                <w:rFonts w:ascii="宋体" w:hAnsi="宋体" w:cs="宋体"/>
                <w:color w:val="auto"/>
                <w:szCs w:val="21"/>
                <w:highlight w:val="none"/>
              </w:rPr>
            </w:pPr>
          </w:p>
        </w:tc>
        <w:tc>
          <w:tcPr>
            <w:tcW w:w="1095" w:type="dxa"/>
            <w:vMerge w:val="continue"/>
            <w:vAlign w:val="center"/>
          </w:tcPr>
          <w:p w14:paraId="1BD3A153">
            <w:pPr>
              <w:spacing w:line="440" w:lineRule="exact"/>
              <w:jc w:val="center"/>
              <w:rPr>
                <w:rFonts w:ascii="宋体" w:hAnsi="宋体" w:cs="宋体"/>
                <w:color w:val="auto"/>
                <w:szCs w:val="21"/>
                <w:highlight w:val="none"/>
              </w:rPr>
            </w:pPr>
          </w:p>
        </w:tc>
        <w:tc>
          <w:tcPr>
            <w:tcW w:w="2084" w:type="dxa"/>
            <w:vAlign w:val="center"/>
          </w:tcPr>
          <w:p w14:paraId="4115393D">
            <w:pPr>
              <w:spacing w:line="360" w:lineRule="exact"/>
              <w:jc w:val="center"/>
              <w:rPr>
                <w:rFonts w:ascii="宋体" w:hAnsi="宋体" w:cs="宋体"/>
                <w:color w:val="auto"/>
                <w:szCs w:val="21"/>
                <w:highlight w:val="none"/>
                <w:lang w:bidi="hi-IN"/>
              </w:rPr>
            </w:pPr>
            <w:r>
              <w:rPr>
                <w:rFonts w:hint="eastAsia" w:ascii="宋体" w:hAnsi="宋体" w:cs="宋体"/>
                <w:color w:val="auto"/>
                <w:szCs w:val="21"/>
                <w:highlight w:val="none"/>
              </w:rPr>
              <w:t>符合《中华人民共和国政府采购法》第二十二条之规定</w:t>
            </w:r>
          </w:p>
        </w:tc>
        <w:tc>
          <w:tcPr>
            <w:tcW w:w="5602" w:type="dxa"/>
            <w:vAlign w:val="center"/>
          </w:tcPr>
          <w:p w14:paraId="5C255890">
            <w:pPr>
              <w:spacing w:line="360" w:lineRule="exact"/>
              <w:rPr>
                <w:rFonts w:ascii="宋体" w:hAnsi="宋体" w:cs="宋体"/>
                <w:color w:val="auto"/>
                <w:szCs w:val="21"/>
                <w:highlight w:val="none"/>
                <w:lang w:bidi="hi-IN"/>
              </w:rPr>
            </w:pPr>
            <w:r>
              <w:rPr>
                <w:rFonts w:hint="eastAsia" w:ascii="宋体" w:hAnsi="宋体" w:cs="宋体"/>
                <w:color w:val="auto"/>
                <w:szCs w:val="21"/>
                <w:highlight w:val="none"/>
              </w:rPr>
              <w:t>提供资格承诺函</w:t>
            </w:r>
          </w:p>
        </w:tc>
      </w:tr>
      <w:tr w14:paraId="7366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trPr>
        <w:tc>
          <w:tcPr>
            <w:tcW w:w="1095" w:type="dxa"/>
            <w:vMerge w:val="continue"/>
            <w:vAlign w:val="center"/>
          </w:tcPr>
          <w:p w14:paraId="0D1B5330">
            <w:pPr>
              <w:spacing w:line="440" w:lineRule="exact"/>
              <w:jc w:val="center"/>
              <w:rPr>
                <w:rFonts w:ascii="宋体" w:hAnsi="宋体" w:cs="宋体"/>
                <w:color w:val="auto"/>
                <w:szCs w:val="21"/>
                <w:highlight w:val="none"/>
              </w:rPr>
            </w:pPr>
          </w:p>
        </w:tc>
        <w:tc>
          <w:tcPr>
            <w:tcW w:w="1095" w:type="dxa"/>
            <w:vMerge w:val="continue"/>
            <w:vAlign w:val="center"/>
          </w:tcPr>
          <w:p w14:paraId="5313A244">
            <w:pPr>
              <w:spacing w:line="440" w:lineRule="exact"/>
              <w:jc w:val="center"/>
              <w:rPr>
                <w:rFonts w:ascii="宋体" w:hAnsi="宋体" w:cs="宋体"/>
                <w:color w:val="auto"/>
                <w:szCs w:val="21"/>
                <w:highlight w:val="none"/>
              </w:rPr>
            </w:pPr>
          </w:p>
        </w:tc>
        <w:tc>
          <w:tcPr>
            <w:tcW w:w="2084" w:type="dxa"/>
            <w:vAlign w:val="center"/>
          </w:tcPr>
          <w:p w14:paraId="5B8EE3D0">
            <w:pPr>
              <w:spacing w:line="360" w:lineRule="exact"/>
              <w:jc w:val="center"/>
              <w:rPr>
                <w:rFonts w:ascii="宋体" w:hAnsi="宋体" w:cs="宋体"/>
                <w:color w:val="auto"/>
                <w:szCs w:val="21"/>
                <w:highlight w:val="none"/>
                <w:lang w:bidi="hi-IN"/>
              </w:rPr>
            </w:pPr>
            <w:r>
              <w:rPr>
                <w:rFonts w:hint="eastAsia" w:ascii="宋体" w:hAnsi="宋体" w:cs="宋体"/>
                <w:color w:val="auto"/>
                <w:szCs w:val="21"/>
                <w:highlight w:val="none"/>
              </w:rPr>
              <w:t>法定代表人证明或法人授权委托书</w:t>
            </w:r>
          </w:p>
        </w:tc>
        <w:tc>
          <w:tcPr>
            <w:tcW w:w="5602" w:type="dxa"/>
            <w:vAlign w:val="center"/>
          </w:tcPr>
          <w:p w14:paraId="723332FE">
            <w:pPr>
              <w:spacing w:line="360" w:lineRule="exact"/>
              <w:rPr>
                <w:rFonts w:ascii="宋体" w:hAnsi="宋体" w:cs="宋体"/>
                <w:color w:val="auto"/>
                <w:szCs w:val="21"/>
                <w:highlight w:val="none"/>
                <w:lang w:bidi="hi-IN"/>
              </w:rPr>
            </w:pPr>
            <w:r>
              <w:rPr>
                <w:rFonts w:hint="eastAsia" w:ascii="宋体" w:hAnsi="宋体" w:cs="宋体"/>
                <w:color w:val="auto"/>
                <w:szCs w:val="21"/>
                <w:highlight w:val="none"/>
              </w:rPr>
              <w:t>提供法定代表人（负责人）证明或法人授权委托书</w:t>
            </w:r>
          </w:p>
        </w:tc>
      </w:tr>
      <w:tr w14:paraId="2EBE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exact"/>
        </w:trPr>
        <w:tc>
          <w:tcPr>
            <w:tcW w:w="1095" w:type="dxa"/>
            <w:vMerge w:val="continue"/>
            <w:vAlign w:val="center"/>
          </w:tcPr>
          <w:p w14:paraId="2B8014E1">
            <w:pPr>
              <w:spacing w:line="440" w:lineRule="exact"/>
              <w:jc w:val="center"/>
              <w:rPr>
                <w:rFonts w:ascii="宋体" w:hAnsi="宋体" w:cs="宋体"/>
                <w:color w:val="auto"/>
                <w:szCs w:val="21"/>
                <w:highlight w:val="none"/>
              </w:rPr>
            </w:pPr>
          </w:p>
        </w:tc>
        <w:tc>
          <w:tcPr>
            <w:tcW w:w="1095" w:type="dxa"/>
            <w:vMerge w:val="continue"/>
            <w:vAlign w:val="center"/>
          </w:tcPr>
          <w:p w14:paraId="3BEF70B6">
            <w:pPr>
              <w:spacing w:line="440" w:lineRule="exact"/>
              <w:jc w:val="center"/>
              <w:rPr>
                <w:rFonts w:ascii="宋体" w:hAnsi="宋体" w:cs="宋体"/>
                <w:color w:val="auto"/>
                <w:szCs w:val="21"/>
                <w:highlight w:val="none"/>
              </w:rPr>
            </w:pPr>
          </w:p>
        </w:tc>
        <w:tc>
          <w:tcPr>
            <w:tcW w:w="2084" w:type="dxa"/>
            <w:vAlign w:val="center"/>
          </w:tcPr>
          <w:p w14:paraId="0A5504B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5602" w:type="dxa"/>
            <w:vAlign w:val="center"/>
          </w:tcPr>
          <w:p w14:paraId="06328D8E">
            <w:pPr>
              <w:spacing w:line="360" w:lineRule="exact"/>
              <w:rPr>
                <w:rFonts w:ascii="宋体" w:hAnsi="宋体" w:cs="宋体"/>
                <w:color w:val="auto"/>
                <w:szCs w:val="21"/>
                <w:highlight w:val="none"/>
              </w:rPr>
            </w:pPr>
            <w:r>
              <w:rPr>
                <w:rFonts w:hint="eastAsia" w:ascii="宋体" w:hAnsi="宋体" w:cs="宋体"/>
                <w:color w:val="auto"/>
                <w:szCs w:val="21"/>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w:t>
            </w:r>
          </w:p>
        </w:tc>
      </w:tr>
      <w:tr w14:paraId="6401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95" w:type="dxa"/>
            <w:vMerge w:val="continue"/>
            <w:tcBorders>
              <w:bottom w:val="single" w:color="auto" w:sz="4" w:space="0"/>
            </w:tcBorders>
            <w:vAlign w:val="center"/>
          </w:tcPr>
          <w:p w14:paraId="227FA07E">
            <w:pPr>
              <w:spacing w:line="440" w:lineRule="exact"/>
              <w:jc w:val="center"/>
              <w:rPr>
                <w:rFonts w:ascii="宋体" w:hAnsi="宋体" w:cs="宋体"/>
                <w:color w:val="auto"/>
                <w:szCs w:val="21"/>
                <w:highlight w:val="none"/>
              </w:rPr>
            </w:pPr>
          </w:p>
        </w:tc>
        <w:tc>
          <w:tcPr>
            <w:tcW w:w="1095" w:type="dxa"/>
            <w:vMerge w:val="continue"/>
            <w:tcBorders>
              <w:bottom w:val="single" w:color="auto" w:sz="4" w:space="0"/>
            </w:tcBorders>
            <w:vAlign w:val="center"/>
          </w:tcPr>
          <w:p w14:paraId="2602AC96">
            <w:pPr>
              <w:spacing w:line="440" w:lineRule="exact"/>
              <w:jc w:val="center"/>
              <w:rPr>
                <w:rFonts w:ascii="宋体" w:hAnsi="宋体" w:cs="宋体"/>
                <w:color w:val="auto"/>
                <w:szCs w:val="21"/>
                <w:highlight w:val="none"/>
              </w:rPr>
            </w:pPr>
          </w:p>
        </w:tc>
        <w:tc>
          <w:tcPr>
            <w:tcW w:w="2084" w:type="dxa"/>
            <w:tcBorders>
              <w:bottom w:val="single" w:color="auto" w:sz="4" w:space="0"/>
            </w:tcBorders>
            <w:vAlign w:val="center"/>
          </w:tcPr>
          <w:p w14:paraId="2101ED0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5602" w:type="dxa"/>
            <w:tcBorders>
              <w:bottom w:val="single" w:color="auto" w:sz="4" w:space="0"/>
            </w:tcBorders>
            <w:vAlign w:val="center"/>
          </w:tcPr>
          <w:p w14:paraId="0ACD7EEC">
            <w:pPr>
              <w:spacing w:line="360" w:lineRule="exact"/>
              <w:rPr>
                <w:rFonts w:ascii="宋体" w:hAnsi="宋体" w:cs="宋体"/>
                <w:color w:val="auto"/>
                <w:szCs w:val="21"/>
                <w:highlight w:val="none"/>
              </w:rPr>
            </w:pPr>
            <w:r>
              <w:rPr>
                <w:rFonts w:hint="eastAsia" w:ascii="宋体" w:hAnsi="宋体" w:cs="宋体"/>
                <w:color w:val="auto"/>
                <w:szCs w:val="21"/>
                <w:highlight w:val="none"/>
              </w:rPr>
              <w:t>符合招标文件资格要求的其他要求</w:t>
            </w:r>
          </w:p>
        </w:tc>
      </w:tr>
      <w:tr w14:paraId="395F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095" w:type="dxa"/>
            <w:vMerge w:val="restart"/>
            <w:tcBorders>
              <w:top w:val="single" w:color="auto" w:sz="4" w:space="0"/>
              <w:left w:val="single" w:color="auto" w:sz="4" w:space="0"/>
              <w:bottom w:val="single" w:color="auto" w:sz="4" w:space="0"/>
              <w:right w:val="single" w:color="auto" w:sz="4" w:space="0"/>
            </w:tcBorders>
            <w:vAlign w:val="center"/>
          </w:tcPr>
          <w:p w14:paraId="48A7E45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15E8DBF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14:paraId="696CB99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供应商名称</w:t>
            </w:r>
          </w:p>
        </w:tc>
        <w:tc>
          <w:tcPr>
            <w:tcW w:w="5602" w:type="dxa"/>
            <w:tcBorders>
              <w:top w:val="single" w:color="auto" w:sz="4" w:space="0"/>
              <w:left w:val="single" w:color="auto" w:sz="4" w:space="0"/>
              <w:bottom w:val="single" w:color="auto" w:sz="4" w:space="0"/>
              <w:right w:val="single" w:color="auto" w:sz="4" w:space="0"/>
            </w:tcBorders>
            <w:vAlign w:val="center"/>
          </w:tcPr>
          <w:p w14:paraId="26C42773">
            <w:pPr>
              <w:spacing w:line="440" w:lineRule="exact"/>
              <w:rPr>
                <w:rFonts w:ascii="宋体" w:hAnsi="宋体" w:cs="宋体"/>
                <w:color w:val="auto"/>
                <w:szCs w:val="21"/>
                <w:highlight w:val="none"/>
              </w:rPr>
            </w:pPr>
            <w:r>
              <w:rPr>
                <w:rFonts w:hint="eastAsia" w:ascii="宋体" w:hAnsi="宋体" w:cs="宋体"/>
                <w:color w:val="auto"/>
                <w:szCs w:val="21"/>
                <w:highlight w:val="none"/>
              </w:rPr>
              <w:t>与营业执照等证件一致</w:t>
            </w:r>
          </w:p>
        </w:tc>
      </w:tr>
      <w:tr w14:paraId="3429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3F697153">
            <w:pPr>
              <w:spacing w:line="44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5B826980">
            <w:pPr>
              <w:spacing w:line="440" w:lineRule="exact"/>
              <w:jc w:val="center"/>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14:paraId="0875CA1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投标函签字盖章</w:t>
            </w:r>
          </w:p>
        </w:tc>
        <w:tc>
          <w:tcPr>
            <w:tcW w:w="5602" w:type="dxa"/>
            <w:tcBorders>
              <w:top w:val="single" w:color="auto" w:sz="4" w:space="0"/>
              <w:left w:val="single" w:color="auto" w:sz="4" w:space="0"/>
              <w:bottom w:val="single" w:color="auto" w:sz="4" w:space="0"/>
              <w:right w:val="single" w:color="auto" w:sz="4" w:space="0"/>
            </w:tcBorders>
            <w:vAlign w:val="center"/>
          </w:tcPr>
          <w:p w14:paraId="5490413C">
            <w:pPr>
              <w:spacing w:line="440" w:lineRule="exact"/>
              <w:rPr>
                <w:rFonts w:ascii="宋体" w:hAnsi="宋体" w:cs="宋体"/>
                <w:color w:val="auto"/>
                <w:szCs w:val="21"/>
                <w:highlight w:val="none"/>
              </w:rPr>
            </w:pPr>
            <w:r>
              <w:rPr>
                <w:rFonts w:hint="eastAsia" w:ascii="宋体" w:hAnsi="宋体" w:cs="宋体"/>
                <w:color w:val="auto"/>
                <w:szCs w:val="21"/>
                <w:highlight w:val="none"/>
              </w:rPr>
              <w:t>加盖单位公章并有法定代表人或其委托代理人签字或盖章</w:t>
            </w:r>
          </w:p>
        </w:tc>
      </w:tr>
      <w:tr w14:paraId="54AF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537690B9">
            <w:pPr>
              <w:spacing w:line="44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60DBEA48">
            <w:pPr>
              <w:spacing w:line="440" w:lineRule="exact"/>
              <w:jc w:val="center"/>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14:paraId="0F28403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5602" w:type="dxa"/>
            <w:tcBorders>
              <w:top w:val="single" w:color="auto" w:sz="4" w:space="0"/>
              <w:left w:val="single" w:color="auto" w:sz="4" w:space="0"/>
              <w:bottom w:val="single" w:color="auto" w:sz="4" w:space="0"/>
              <w:right w:val="single" w:color="auto" w:sz="4" w:space="0"/>
            </w:tcBorders>
            <w:vAlign w:val="center"/>
          </w:tcPr>
          <w:p w14:paraId="03EC4535">
            <w:pPr>
              <w:spacing w:line="360" w:lineRule="exact"/>
              <w:rPr>
                <w:rFonts w:ascii="宋体" w:hAnsi="宋体" w:cs="宋体"/>
                <w:color w:val="auto"/>
                <w:szCs w:val="21"/>
                <w:highlight w:val="none"/>
              </w:rPr>
            </w:pPr>
            <w:r>
              <w:rPr>
                <w:rFonts w:hint="eastAsia" w:ascii="宋体" w:hAnsi="宋体" w:cs="宋体"/>
                <w:color w:val="auto"/>
                <w:szCs w:val="21"/>
                <w:highlight w:val="none"/>
              </w:rPr>
              <w:t>符合招标文件格式要求</w:t>
            </w:r>
          </w:p>
        </w:tc>
      </w:tr>
      <w:tr w14:paraId="3925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64DA1FD5">
            <w:pPr>
              <w:spacing w:line="44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62E672A5">
            <w:pPr>
              <w:spacing w:line="440" w:lineRule="exact"/>
              <w:jc w:val="center"/>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14:paraId="340A166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报价唯一</w:t>
            </w:r>
          </w:p>
        </w:tc>
        <w:tc>
          <w:tcPr>
            <w:tcW w:w="5602" w:type="dxa"/>
            <w:tcBorders>
              <w:top w:val="single" w:color="auto" w:sz="4" w:space="0"/>
              <w:left w:val="single" w:color="auto" w:sz="4" w:space="0"/>
              <w:bottom w:val="single" w:color="auto" w:sz="4" w:space="0"/>
              <w:right w:val="single" w:color="auto" w:sz="4" w:space="0"/>
            </w:tcBorders>
            <w:vAlign w:val="center"/>
          </w:tcPr>
          <w:p w14:paraId="6374DDF3">
            <w:pPr>
              <w:spacing w:line="440" w:lineRule="exact"/>
              <w:rPr>
                <w:rFonts w:ascii="宋体" w:hAnsi="宋体" w:cs="宋体"/>
                <w:color w:val="auto"/>
                <w:szCs w:val="21"/>
                <w:highlight w:val="none"/>
              </w:rPr>
            </w:pPr>
            <w:r>
              <w:rPr>
                <w:rFonts w:hint="eastAsia" w:ascii="宋体" w:hAnsi="宋体" w:cs="宋体"/>
                <w:color w:val="auto"/>
                <w:szCs w:val="21"/>
                <w:highlight w:val="none"/>
              </w:rPr>
              <w:t>只能有一个有效报价</w:t>
            </w:r>
          </w:p>
        </w:tc>
      </w:tr>
      <w:tr w14:paraId="4CA7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6AE3128B">
            <w:pPr>
              <w:spacing w:line="440" w:lineRule="exact"/>
              <w:jc w:val="center"/>
              <w:rPr>
                <w:rFonts w:ascii="宋体" w:hAnsi="宋体" w:cs="宋体"/>
                <w:color w:val="auto"/>
                <w:szCs w:val="21"/>
                <w:highlight w:val="none"/>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5F8B169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14:paraId="260627FC">
            <w:pPr>
              <w:spacing w:line="440" w:lineRule="exact"/>
              <w:jc w:val="center"/>
              <w:rPr>
                <w:rFonts w:ascii="宋体" w:hAnsi="宋体" w:cs="宋体"/>
                <w:color w:val="auto"/>
                <w:szCs w:val="21"/>
                <w:highlight w:val="none"/>
              </w:rPr>
            </w:pPr>
            <w:r>
              <w:rPr>
                <w:spacing w:val="4"/>
                <w:position w:val="1"/>
              </w:rPr>
              <w:t>采购内容</w:t>
            </w:r>
          </w:p>
        </w:tc>
        <w:tc>
          <w:tcPr>
            <w:tcW w:w="5602" w:type="dxa"/>
            <w:tcBorders>
              <w:top w:val="single" w:color="auto" w:sz="4" w:space="0"/>
              <w:left w:val="single" w:color="auto" w:sz="4" w:space="0"/>
              <w:bottom w:val="single" w:color="auto" w:sz="4" w:space="0"/>
              <w:right w:val="single" w:color="auto" w:sz="4" w:space="0"/>
            </w:tcBorders>
            <w:vAlign w:val="center"/>
          </w:tcPr>
          <w:p w14:paraId="20D5FFC6">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 </w:t>
            </w:r>
            <w:r>
              <w:rPr>
                <w:spacing w:val="6"/>
                <w:position w:val="1"/>
              </w:rPr>
              <w:t>符合</w:t>
            </w:r>
            <w:r>
              <w:rPr>
                <w:rFonts w:hint="eastAsia"/>
                <w:spacing w:val="6"/>
                <w:position w:val="1"/>
                <w:lang w:val="en-US" w:eastAsia="zh-CN"/>
              </w:rPr>
              <w:t>招标文件</w:t>
            </w:r>
            <w:r>
              <w:rPr>
                <w:spacing w:val="6"/>
                <w:position w:val="1"/>
              </w:rPr>
              <w:t>采购内容规定</w:t>
            </w:r>
          </w:p>
        </w:tc>
      </w:tr>
      <w:tr w14:paraId="73FA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245B3BDF">
            <w:pPr>
              <w:spacing w:line="440" w:lineRule="exact"/>
              <w:jc w:val="center"/>
              <w:rPr>
                <w:rFonts w:ascii="宋体" w:hAnsi="宋体" w:cs="宋体"/>
                <w:color w:val="auto"/>
                <w:szCs w:val="21"/>
                <w:highlight w:val="none"/>
              </w:rPr>
            </w:pPr>
          </w:p>
        </w:tc>
        <w:tc>
          <w:tcPr>
            <w:tcW w:w="1095" w:type="dxa"/>
            <w:vMerge w:val="continue"/>
            <w:tcBorders>
              <w:left w:val="single" w:color="auto" w:sz="4" w:space="0"/>
              <w:right w:val="single" w:color="auto" w:sz="4" w:space="0"/>
            </w:tcBorders>
            <w:vAlign w:val="center"/>
          </w:tcPr>
          <w:p w14:paraId="72130A0B">
            <w:pPr>
              <w:spacing w:line="440" w:lineRule="exact"/>
              <w:jc w:val="center"/>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14:paraId="65B74BF6">
            <w:pPr>
              <w:spacing w:line="440" w:lineRule="exact"/>
              <w:ind w:firstLine="436" w:firstLineChars="200"/>
              <w:jc w:val="both"/>
              <w:rPr>
                <w:spacing w:val="4"/>
                <w:position w:val="1"/>
              </w:rPr>
            </w:pPr>
            <w:r>
              <w:rPr>
                <w:spacing w:val="4"/>
                <w:position w:val="1"/>
              </w:rPr>
              <w:t>运行周期</w:t>
            </w:r>
          </w:p>
        </w:tc>
        <w:tc>
          <w:tcPr>
            <w:tcW w:w="5602" w:type="dxa"/>
            <w:tcBorders>
              <w:top w:val="single" w:color="auto" w:sz="4" w:space="0"/>
              <w:left w:val="single" w:color="auto" w:sz="4" w:space="0"/>
              <w:bottom w:val="single" w:color="auto" w:sz="4" w:space="0"/>
              <w:right w:val="single" w:color="auto" w:sz="4" w:space="0"/>
            </w:tcBorders>
            <w:vAlign w:val="center"/>
          </w:tcPr>
          <w:p w14:paraId="63C9611E">
            <w:pPr>
              <w:spacing w:line="4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 年</w:t>
            </w:r>
          </w:p>
        </w:tc>
      </w:tr>
      <w:tr w14:paraId="789A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exact"/>
        </w:trPr>
        <w:tc>
          <w:tcPr>
            <w:tcW w:w="1095" w:type="dxa"/>
            <w:vMerge w:val="continue"/>
            <w:tcBorders>
              <w:top w:val="single" w:color="auto" w:sz="4" w:space="0"/>
              <w:left w:val="single" w:color="auto" w:sz="4" w:space="0"/>
              <w:bottom w:val="single" w:color="auto" w:sz="4" w:space="0"/>
              <w:right w:val="single" w:color="auto" w:sz="4" w:space="0"/>
            </w:tcBorders>
          </w:tcPr>
          <w:p w14:paraId="2D931FAF">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14:paraId="0B15BB71">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14:paraId="13ED6E9B">
            <w:pPr>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质量</w:t>
            </w:r>
            <w:r>
              <w:rPr>
                <w:rFonts w:hint="eastAsia" w:ascii="宋体" w:hAnsi="宋体" w:cs="宋体"/>
                <w:color w:val="auto"/>
                <w:szCs w:val="21"/>
                <w:highlight w:val="none"/>
                <w:lang w:val="en-US" w:eastAsia="zh-CN"/>
              </w:rPr>
              <w:t>标准</w:t>
            </w:r>
          </w:p>
        </w:tc>
        <w:tc>
          <w:tcPr>
            <w:tcW w:w="5602" w:type="dxa"/>
            <w:tcBorders>
              <w:top w:val="single" w:color="auto" w:sz="4" w:space="0"/>
              <w:left w:val="single" w:color="auto" w:sz="4" w:space="0"/>
              <w:bottom w:val="single" w:color="auto" w:sz="4" w:space="0"/>
              <w:right w:val="single" w:color="auto" w:sz="4" w:space="0"/>
            </w:tcBorders>
            <w:vAlign w:val="center"/>
          </w:tcPr>
          <w:p w14:paraId="76F20F76">
            <w:pPr>
              <w:spacing w:line="440" w:lineRule="exact"/>
              <w:rPr>
                <w:rFonts w:ascii="宋体" w:hAnsi="宋体" w:cs="宋体"/>
                <w:color w:val="auto"/>
                <w:szCs w:val="21"/>
                <w:highlight w:val="none"/>
              </w:rPr>
            </w:pPr>
            <w:r>
              <w:rPr>
                <w:rFonts w:ascii="宋体" w:hAnsi="宋体" w:cs="宋体"/>
                <w:color w:val="auto"/>
                <w:szCs w:val="21"/>
                <w:highlight w:val="none"/>
              </w:rPr>
              <w:t>按照《城市生活垃圾卫生填埋处  理技术规范》（GB 50869-2013） 渗滤液处理相关技术要求进行  处理，出水满足生活垃圾填埋场  污染控制标准（GB 16889-2008） 表二标准后排放。</w:t>
            </w:r>
          </w:p>
        </w:tc>
      </w:tr>
      <w:tr w14:paraId="31DD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095" w:type="dxa"/>
            <w:vMerge w:val="continue"/>
            <w:tcBorders>
              <w:top w:val="single" w:color="auto" w:sz="4" w:space="0"/>
              <w:left w:val="single" w:color="auto" w:sz="4" w:space="0"/>
              <w:bottom w:val="single" w:color="auto" w:sz="4" w:space="0"/>
              <w:right w:val="single" w:color="auto" w:sz="4" w:space="0"/>
            </w:tcBorders>
          </w:tcPr>
          <w:p w14:paraId="0F2D0166">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14:paraId="3B05603D">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14:paraId="2A024DB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商务报价</w:t>
            </w:r>
          </w:p>
        </w:tc>
        <w:tc>
          <w:tcPr>
            <w:tcW w:w="5602" w:type="dxa"/>
            <w:tcBorders>
              <w:top w:val="single" w:color="auto" w:sz="4" w:space="0"/>
              <w:left w:val="single" w:color="auto" w:sz="4" w:space="0"/>
              <w:bottom w:val="single" w:color="auto" w:sz="4" w:space="0"/>
              <w:right w:val="single" w:color="auto" w:sz="4" w:space="0"/>
            </w:tcBorders>
            <w:vAlign w:val="center"/>
          </w:tcPr>
          <w:p w14:paraId="1C6F9447">
            <w:pPr>
              <w:spacing w:line="360" w:lineRule="exact"/>
              <w:rPr>
                <w:rFonts w:ascii="宋体" w:hAnsi="宋体" w:cs="宋体"/>
                <w:color w:val="auto"/>
                <w:szCs w:val="21"/>
                <w:highlight w:val="none"/>
              </w:rPr>
            </w:pPr>
            <w:r>
              <w:rPr>
                <w:rFonts w:hint="eastAsia" w:ascii="宋体" w:hAnsi="宋体" w:cs="宋体"/>
                <w:color w:val="auto"/>
                <w:szCs w:val="21"/>
                <w:highlight w:val="none"/>
              </w:rPr>
              <w:t>只能有一个有效报价，且不能超过招标控制价</w:t>
            </w:r>
          </w:p>
        </w:tc>
      </w:tr>
      <w:tr w14:paraId="6D8E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095" w:type="dxa"/>
            <w:vMerge w:val="continue"/>
            <w:tcBorders>
              <w:top w:val="single" w:color="auto" w:sz="4" w:space="0"/>
              <w:left w:val="single" w:color="auto" w:sz="4" w:space="0"/>
              <w:bottom w:val="single" w:color="auto" w:sz="4" w:space="0"/>
              <w:right w:val="single" w:color="auto" w:sz="4" w:space="0"/>
            </w:tcBorders>
          </w:tcPr>
          <w:p w14:paraId="2B699D27">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14:paraId="3C0A8250">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14:paraId="45CE6B2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602" w:type="dxa"/>
            <w:tcBorders>
              <w:top w:val="single" w:color="auto" w:sz="4" w:space="0"/>
              <w:left w:val="single" w:color="auto" w:sz="4" w:space="0"/>
              <w:bottom w:val="single" w:color="auto" w:sz="4" w:space="0"/>
              <w:right w:val="single" w:color="auto" w:sz="4" w:space="0"/>
            </w:tcBorders>
            <w:vAlign w:val="center"/>
          </w:tcPr>
          <w:p w14:paraId="696A4C67">
            <w:pPr>
              <w:spacing w:line="440" w:lineRule="exact"/>
              <w:rPr>
                <w:rFonts w:ascii="宋体" w:hAnsi="宋体" w:cs="宋体"/>
                <w:color w:val="auto"/>
                <w:szCs w:val="21"/>
                <w:highlight w:val="none"/>
              </w:rPr>
            </w:pPr>
            <w:r>
              <w:rPr>
                <w:rFonts w:hint="eastAsia" w:ascii="宋体" w:hAnsi="宋体" w:cs="宋体"/>
                <w:color w:val="auto"/>
                <w:szCs w:val="21"/>
                <w:highlight w:val="none"/>
              </w:rPr>
              <w:t>60日历天（从投标截止之日算起）</w:t>
            </w:r>
          </w:p>
        </w:tc>
      </w:tr>
      <w:tr w14:paraId="3175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tcPr>
          <w:p w14:paraId="4F7EA982">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14:paraId="65D0E168">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shd w:val="clear" w:color="auto" w:fill="auto"/>
            <w:vAlign w:val="center"/>
          </w:tcPr>
          <w:p w14:paraId="76BDA3C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权利义务</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center"/>
          </w:tcPr>
          <w:p w14:paraId="4485A465">
            <w:pPr>
              <w:spacing w:line="440" w:lineRule="exact"/>
              <w:rPr>
                <w:rFonts w:ascii="宋体" w:hAnsi="宋体" w:cs="宋体"/>
                <w:color w:val="auto"/>
                <w:szCs w:val="21"/>
                <w:highlight w:val="none"/>
              </w:rPr>
            </w:pPr>
            <w:r>
              <w:rPr>
                <w:rFonts w:hint="eastAsia" w:ascii="宋体" w:hAnsi="宋体" w:cs="宋体"/>
                <w:color w:val="auto"/>
                <w:szCs w:val="21"/>
                <w:highlight w:val="none"/>
              </w:rPr>
              <w:t>符合招标文件第四章“合同条款及格式”规定</w:t>
            </w:r>
          </w:p>
        </w:tc>
      </w:tr>
      <w:tr w14:paraId="095D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1095" w:type="dxa"/>
            <w:vMerge w:val="continue"/>
            <w:tcBorders>
              <w:top w:val="single" w:color="auto" w:sz="4" w:space="0"/>
              <w:left w:val="single" w:color="auto" w:sz="4" w:space="0"/>
              <w:bottom w:val="single" w:color="auto" w:sz="4" w:space="0"/>
              <w:right w:val="single" w:color="auto" w:sz="4" w:space="0"/>
            </w:tcBorders>
          </w:tcPr>
          <w:p w14:paraId="5C2DF8EF">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14:paraId="4115E959">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shd w:val="clear" w:color="auto" w:fill="auto"/>
            <w:vAlign w:val="center"/>
          </w:tcPr>
          <w:p w14:paraId="1F4D8F1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技术标准和要求</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center"/>
          </w:tcPr>
          <w:p w14:paraId="365F01F7">
            <w:pPr>
              <w:spacing w:line="440" w:lineRule="exact"/>
              <w:rPr>
                <w:rFonts w:ascii="宋体" w:hAnsi="宋体" w:cs="宋体"/>
                <w:color w:val="auto"/>
                <w:szCs w:val="21"/>
                <w:highlight w:val="none"/>
              </w:rPr>
            </w:pPr>
            <w:r>
              <w:rPr>
                <w:rFonts w:hint="eastAsia" w:ascii="宋体" w:hAnsi="宋体" w:cs="宋体"/>
                <w:color w:val="auto"/>
                <w:szCs w:val="21"/>
                <w:highlight w:val="none"/>
              </w:rPr>
              <w:t>符合“采购内容及要求”规定，若不符合技术标准和要求规定，将不再进行评审</w:t>
            </w:r>
          </w:p>
        </w:tc>
      </w:tr>
      <w:tr w14:paraId="43F0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tcPr>
          <w:p w14:paraId="60BB0B98">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14:paraId="49F7B587">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shd w:val="clear" w:color="auto" w:fill="auto"/>
            <w:vAlign w:val="center"/>
          </w:tcPr>
          <w:p w14:paraId="5F0DA0F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投标文件的其他响应</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center"/>
          </w:tcPr>
          <w:p w14:paraId="53B16F77">
            <w:pPr>
              <w:spacing w:line="360" w:lineRule="exact"/>
              <w:rPr>
                <w:rFonts w:ascii="宋体" w:hAnsi="宋体" w:cs="宋体"/>
                <w:color w:val="auto"/>
                <w:szCs w:val="21"/>
                <w:highlight w:val="none"/>
              </w:rPr>
            </w:pPr>
            <w:r>
              <w:rPr>
                <w:rFonts w:hint="eastAsia" w:ascii="宋体" w:hAnsi="宋体" w:cs="宋体"/>
                <w:color w:val="auto"/>
                <w:szCs w:val="21"/>
                <w:highlight w:val="none"/>
              </w:rPr>
              <w:t>符合法律、法规和招标文件中规定的其他实质性要求的</w:t>
            </w:r>
          </w:p>
        </w:tc>
      </w:tr>
    </w:tbl>
    <w:p w14:paraId="1231F428">
      <w:pPr>
        <w:widowControl/>
        <w:jc w:val="center"/>
        <w:rPr>
          <w:rFonts w:ascii="宋体" w:hAnsi="宋体" w:cs="宋体"/>
          <w:b/>
          <w:color w:val="auto"/>
          <w:sz w:val="24"/>
          <w:highlight w:val="none"/>
        </w:rPr>
      </w:pPr>
    </w:p>
    <w:tbl>
      <w:tblPr>
        <w:tblStyle w:val="50"/>
        <w:tblW w:w="9975"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6"/>
        <w:gridCol w:w="976"/>
        <w:gridCol w:w="6963"/>
      </w:tblGrid>
      <w:tr w14:paraId="04206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3012" w:type="dxa"/>
            <w:gridSpan w:val="2"/>
            <w:vAlign w:val="top"/>
          </w:tcPr>
          <w:p w14:paraId="7B0C5217">
            <w:pPr>
              <w:spacing w:line="469" w:lineRule="auto"/>
              <w:rPr>
                <w:rFonts w:hint="eastAsia" w:asciiTheme="minorEastAsia" w:hAnsiTheme="minorEastAsia" w:eastAsiaTheme="minorEastAsia" w:cstheme="minorEastAsia"/>
                <w:sz w:val="21"/>
                <w:szCs w:val="21"/>
              </w:rPr>
            </w:pPr>
          </w:p>
          <w:p w14:paraId="7EF48479">
            <w:pPr>
              <w:pStyle w:val="49"/>
              <w:spacing w:before="113" w:line="466" w:lineRule="exact"/>
              <w:ind w:left="69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position w:val="2"/>
                <w:sz w:val="21"/>
                <w:szCs w:val="21"/>
              </w:rPr>
              <w:t>分值构成</w:t>
            </w:r>
          </w:p>
        </w:tc>
        <w:tc>
          <w:tcPr>
            <w:tcW w:w="6963" w:type="dxa"/>
            <w:vAlign w:val="top"/>
          </w:tcPr>
          <w:p w14:paraId="14CD7902">
            <w:pPr>
              <w:pStyle w:val="49"/>
              <w:spacing w:before="65" w:line="263" w:lineRule="auto"/>
              <w:ind w:left="21" w:right="3810" w:firstLine="3"/>
              <w:jc w:val="both"/>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报价部分（35</w:t>
            </w:r>
            <w:r>
              <w:rPr>
                <w:rFonts w:hint="eastAsia" w:asciiTheme="minorEastAsia" w:hAnsiTheme="minorEastAsia" w:eastAsiaTheme="minorEastAsia" w:cstheme="minorEastAsia"/>
                <w:spacing w:val="31"/>
                <w:w w:val="101"/>
                <w:sz w:val="21"/>
                <w:szCs w:val="21"/>
              </w:rPr>
              <w:t xml:space="preserve"> </w:t>
            </w:r>
            <w:r>
              <w:rPr>
                <w:rFonts w:hint="eastAsia" w:asciiTheme="minorEastAsia" w:hAnsiTheme="minorEastAsia" w:eastAsiaTheme="minorEastAsia" w:cstheme="minorEastAsia"/>
                <w:spacing w:val="4"/>
                <w:sz w:val="21"/>
                <w:szCs w:val="21"/>
              </w:rPr>
              <w:t>分）</w:t>
            </w:r>
          </w:p>
          <w:p w14:paraId="0118968B">
            <w:pPr>
              <w:pStyle w:val="49"/>
              <w:spacing w:before="65" w:line="263" w:lineRule="auto"/>
              <w:ind w:left="21" w:right="3810" w:firstLine="3"/>
              <w:jc w:val="both"/>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2"/>
                <w:sz w:val="21"/>
                <w:szCs w:val="21"/>
              </w:rPr>
              <w:t>技术部分（45</w:t>
            </w:r>
            <w:r>
              <w:rPr>
                <w:rFonts w:hint="eastAsia" w:asciiTheme="minorEastAsia" w:hAnsiTheme="minorEastAsia" w:eastAsiaTheme="minorEastAsia" w:cstheme="minorEastAsia"/>
                <w:spacing w:val="15"/>
                <w:sz w:val="21"/>
                <w:szCs w:val="21"/>
              </w:rPr>
              <w:t xml:space="preserve">  </w:t>
            </w:r>
            <w:r>
              <w:rPr>
                <w:rFonts w:hint="eastAsia" w:asciiTheme="minorEastAsia" w:hAnsiTheme="minorEastAsia" w:eastAsiaTheme="minorEastAsia" w:cstheme="minorEastAsia"/>
                <w:spacing w:val="-2"/>
                <w:sz w:val="21"/>
                <w:szCs w:val="21"/>
              </w:rPr>
              <w:t>分）</w:t>
            </w:r>
            <w:r>
              <w:rPr>
                <w:rFonts w:hint="eastAsia" w:asciiTheme="minorEastAsia" w:hAnsiTheme="minorEastAsia" w:eastAsiaTheme="minorEastAsia" w:cstheme="minorEastAsia"/>
                <w:spacing w:val="1"/>
                <w:sz w:val="21"/>
                <w:szCs w:val="21"/>
              </w:rPr>
              <w:t xml:space="preserve"> </w:t>
            </w:r>
          </w:p>
          <w:p w14:paraId="1CC71EFA">
            <w:pPr>
              <w:pStyle w:val="49"/>
              <w:spacing w:before="65" w:line="263" w:lineRule="auto"/>
              <w:ind w:left="21" w:right="3810" w:firstLine="3"/>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综合部分</w:t>
            </w:r>
            <w:r>
              <w:rPr>
                <w:rFonts w:hint="eastAsia" w:asciiTheme="minorEastAsia" w:hAnsiTheme="minorEastAsia" w:eastAsiaTheme="minorEastAsia" w:cstheme="minorEastAsia"/>
                <w:spacing w:val="3"/>
                <w:sz w:val="21"/>
                <w:szCs w:val="21"/>
              </w:rPr>
              <w:t>（20</w:t>
            </w:r>
            <w:r>
              <w:rPr>
                <w:rFonts w:hint="eastAsia" w:asciiTheme="minorEastAsia" w:hAnsiTheme="minorEastAsia" w:eastAsiaTheme="minorEastAsia" w:cstheme="minorEastAsia"/>
                <w:spacing w:val="24"/>
                <w:w w:val="101"/>
                <w:sz w:val="21"/>
                <w:szCs w:val="21"/>
              </w:rPr>
              <w:t xml:space="preserve"> </w:t>
            </w:r>
            <w:r>
              <w:rPr>
                <w:rFonts w:hint="eastAsia" w:asciiTheme="minorEastAsia" w:hAnsiTheme="minorEastAsia" w:eastAsiaTheme="minorEastAsia" w:cstheme="minorEastAsia"/>
                <w:spacing w:val="3"/>
                <w:sz w:val="21"/>
                <w:szCs w:val="21"/>
              </w:rPr>
              <w:t>分）</w:t>
            </w:r>
          </w:p>
        </w:tc>
      </w:tr>
      <w:tr w14:paraId="15ECE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2036" w:type="dxa"/>
            <w:vAlign w:val="top"/>
          </w:tcPr>
          <w:p w14:paraId="2BE23D21">
            <w:pPr>
              <w:pStyle w:val="49"/>
              <w:spacing w:before="200" w:line="464" w:lineRule="exact"/>
              <w:ind w:left="2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2"/>
                <w:position w:val="2"/>
                <w:sz w:val="21"/>
                <w:szCs w:val="21"/>
              </w:rPr>
              <w:t>评分要素</w:t>
            </w:r>
          </w:p>
        </w:tc>
        <w:tc>
          <w:tcPr>
            <w:tcW w:w="976" w:type="dxa"/>
            <w:vAlign w:val="top"/>
          </w:tcPr>
          <w:p w14:paraId="247E41AE">
            <w:pPr>
              <w:pStyle w:val="49"/>
              <w:spacing w:before="200" w:line="465" w:lineRule="exact"/>
              <w:ind w:left="1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4"/>
                <w:position w:val="2"/>
                <w:sz w:val="21"/>
                <w:szCs w:val="21"/>
              </w:rPr>
              <w:t>分值</w:t>
            </w:r>
          </w:p>
        </w:tc>
        <w:tc>
          <w:tcPr>
            <w:tcW w:w="6963" w:type="dxa"/>
            <w:vAlign w:val="top"/>
          </w:tcPr>
          <w:p w14:paraId="7AF54A33">
            <w:pPr>
              <w:pStyle w:val="49"/>
              <w:spacing w:before="200" w:line="464" w:lineRule="exact"/>
              <w:ind w:left="27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2"/>
                <w:position w:val="2"/>
                <w:sz w:val="21"/>
                <w:szCs w:val="21"/>
              </w:rPr>
              <w:t>评分标准</w:t>
            </w:r>
          </w:p>
        </w:tc>
      </w:tr>
    </w:tbl>
    <w:p w14:paraId="0B86AA4D">
      <w:pPr>
        <w:spacing w:before="91"/>
        <w:rPr>
          <w:rFonts w:hint="eastAsia" w:asciiTheme="minorEastAsia" w:hAnsiTheme="minorEastAsia" w:eastAsiaTheme="minorEastAsia" w:cstheme="minorEastAsia"/>
          <w:sz w:val="21"/>
          <w:szCs w:val="21"/>
        </w:rPr>
      </w:pPr>
    </w:p>
    <w:tbl>
      <w:tblPr>
        <w:tblStyle w:val="50"/>
        <w:tblW w:w="9578"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5"/>
        <w:gridCol w:w="976"/>
        <w:gridCol w:w="6827"/>
      </w:tblGrid>
      <w:tr w14:paraId="2101E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8" w:hRule="atLeast"/>
        </w:trPr>
        <w:tc>
          <w:tcPr>
            <w:tcW w:w="1775" w:type="dxa"/>
            <w:vAlign w:val="top"/>
          </w:tcPr>
          <w:p w14:paraId="48C060DC">
            <w:pPr>
              <w:spacing w:line="254" w:lineRule="auto"/>
              <w:rPr>
                <w:rFonts w:hint="eastAsia" w:asciiTheme="minorEastAsia" w:hAnsiTheme="minorEastAsia" w:eastAsiaTheme="minorEastAsia" w:cstheme="minorEastAsia"/>
                <w:sz w:val="21"/>
                <w:szCs w:val="21"/>
              </w:rPr>
            </w:pPr>
          </w:p>
          <w:p w14:paraId="7FE2735A">
            <w:pPr>
              <w:spacing w:line="254" w:lineRule="auto"/>
              <w:rPr>
                <w:rFonts w:hint="eastAsia" w:asciiTheme="minorEastAsia" w:hAnsiTheme="minorEastAsia" w:eastAsiaTheme="minorEastAsia" w:cstheme="minorEastAsia"/>
                <w:sz w:val="21"/>
                <w:szCs w:val="21"/>
              </w:rPr>
            </w:pPr>
          </w:p>
          <w:p w14:paraId="69A00907">
            <w:pPr>
              <w:spacing w:line="254" w:lineRule="auto"/>
              <w:rPr>
                <w:rFonts w:hint="eastAsia" w:asciiTheme="minorEastAsia" w:hAnsiTheme="minorEastAsia" w:eastAsiaTheme="minorEastAsia" w:cstheme="minorEastAsia"/>
                <w:sz w:val="21"/>
                <w:szCs w:val="21"/>
              </w:rPr>
            </w:pPr>
          </w:p>
          <w:p w14:paraId="20420C82">
            <w:pPr>
              <w:spacing w:line="254" w:lineRule="auto"/>
              <w:rPr>
                <w:rFonts w:hint="eastAsia" w:asciiTheme="minorEastAsia" w:hAnsiTheme="minorEastAsia" w:eastAsiaTheme="minorEastAsia" w:cstheme="minorEastAsia"/>
                <w:sz w:val="21"/>
                <w:szCs w:val="21"/>
              </w:rPr>
            </w:pPr>
          </w:p>
          <w:p w14:paraId="373835AB">
            <w:pPr>
              <w:spacing w:line="254" w:lineRule="auto"/>
              <w:rPr>
                <w:rFonts w:hint="eastAsia" w:asciiTheme="minorEastAsia" w:hAnsiTheme="minorEastAsia" w:eastAsiaTheme="minorEastAsia" w:cstheme="minorEastAsia"/>
                <w:sz w:val="21"/>
                <w:szCs w:val="21"/>
              </w:rPr>
            </w:pPr>
          </w:p>
          <w:p w14:paraId="33DE5C95">
            <w:pPr>
              <w:spacing w:line="254" w:lineRule="auto"/>
              <w:rPr>
                <w:rFonts w:hint="eastAsia" w:asciiTheme="minorEastAsia" w:hAnsiTheme="minorEastAsia" w:eastAsiaTheme="minorEastAsia" w:cstheme="minorEastAsia"/>
                <w:sz w:val="21"/>
                <w:szCs w:val="21"/>
              </w:rPr>
            </w:pPr>
          </w:p>
          <w:p w14:paraId="26C985D5">
            <w:pPr>
              <w:spacing w:line="255" w:lineRule="auto"/>
              <w:rPr>
                <w:rFonts w:hint="eastAsia" w:asciiTheme="minorEastAsia" w:hAnsiTheme="minorEastAsia" w:eastAsiaTheme="minorEastAsia" w:cstheme="minorEastAsia"/>
                <w:sz w:val="21"/>
                <w:szCs w:val="21"/>
              </w:rPr>
            </w:pPr>
          </w:p>
          <w:p w14:paraId="79FF3AA3">
            <w:pPr>
              <w:pStyle w:val="49"/>
              <w:spacing w:before="114" w:line="464" w:lineRule="exact"/>
              <w:ind w:left="2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position w:val="2"/>
                <w:sz w:val="21"/>
                <w:szCs w:val="21"/>
              </w:rPr>
              <w:t>报价部分</w:t>
            </w:r>
          </w:p>
        </w:tc>
        <w:tc>
          <w:tcPr>
            <w:tcW w:w="976" w:type="dxa"/>
            <w:vAlign w:val="top"/>
          </w:tcPr>
          <w:p w14:paraId="527ECFBE">
            <w:pPr>
              <w:spacing w:line="254" w:lineRule="auto"/>
              <w:rPr>
                <w:rFonts w:hint="eastAsia" w:asciiTheme="minorEastAsia" w:hAnsiTheme="minorEastAsia" w:eastAsiaTheme="minorEastAsia" w:cstheme="minorEastAsia"/>
                <w:sz w:val="21"/>
                <w:szCs w:val="21"/>
              </w:rPr>
            </w:pPr>
          </w:p>
          <w:p w14:paraId="4612D7B3">
            <w:pPr>
              <w:spacing w:line="254" w:lineRule="auto"/>
              <w:rPr>
                <w:rFonts w:hint="eastAsia" w:asciiTheme="minorEastAsia" w:hAnsiTheme="minorEastAsia" w:eastAsiaTheme="minorEastAsia" w:cstheme="minorEastAsia"/>
                <w:sz w:val="21"/>
                <w:szCs w:val="21"/>
              </w:rPr>
            </w:pPr>
          </w:p>
          <w:p w14:paraId="2D1CF498">
            <w:pPr>
              <w:spacing w:line="254" w:lineRule="auto"/>
              <w:rPr>
                <w:rFonts w:hint="eastAsia" w:asciiTheme="minorEastAsia" w:hAnsiTheme="minorEastAsia" w:eastAsiaTheme="minorEastAsia" w:cstheme="minorEastAsia"/>
                <w:sz w:val="21"/>
                <w:szCs w:val="21"/>
              </w:rPr>
            </w:pPr>
          </w:p>
          <w:p w14:paraId="1E12C0C6">
            <w:pPr>
              <w:spacing w:line="254" w:lineRule="auto"/>
              <w:rPr>
                <w:rFonts w:hint="eastAsia" w:asciiTheme="minorEastAsia" w:hAnsiTheme="minorEastAsia" w:eastAsiaTheme="minorEastAsia" w:cstheme="minorEastAsia"/>
                <w:sz w:val="21"/>
                <w:szCs w:val="21"/>
              </w:rPr>
            </w:pPr>
          </w:p>
          <w:p w14:paraId="3B9CCFEA">
            <w:pPr>
              <w:spacing w:line="254" w:lineRule="auto"/>
              <w:rPr>
                <w:rFonts w:hint="eastAsia" w:asciiTheme="minorEastAsia" w:hAnsiTheme="minorEastAsia" w:eastAsiaTheme="minorEastAsia" w:cstheme="minorEastAsia"/>
                <w:sz w:val="21"/>
                <w:szCs w:val="21"/>
              </w:rPr>
            </w:pPr>
          </w:p>
          <w:p w14:paraId="6C103591">
            <w:pPr>
              <w:spacing w:line="255" w:lineRule="auto"/>
              <w:rPr>
                <w:rFonts w:hint="eastAsia" w:asciiTheme="minorEastAsia" w:hAnsiTheme="minorEastAsia" w:eastAsiaTheme="minorEastAsia" w:cstheme="minorEastAsia"/>
                <w:sz w:val="21"/>
                <w:szCs w:val="21"/>
              </w:rPr>
            </w:pPr>
          </w:p>
          <w:p w14:paraId="564755DB">
            <w:pPr>
              <w:pStyle w:val="49"/>
              <w:spacing w:before="114" w:line="466" w:lineRule="exact"/>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1"/>
                <w:sz w:val="21"/>
                <w:szCs w:val="21"/>
              </w:rPr>
              <w:t>35</w:t>
            </w:r>
            <w:r>
              <w:rPr>
                <w:rFonts w:hint="eastAsia" w:asciiTheme="minorEastAsia" w:hAnsiTheme="minorEastAsia" w:eastAsiaTheme="minorEastAsia" w:cstheme="minorEastAsia"/>
                <w:spacing w:val="22"/>
                <w:position w:val="1"/>
                <w:sz w:val="21"/>
                <w:szCs w:val="21"/>
              </w:rPr>
              <w:t xml:space="preserve"> </w:t>
            </w:r>
            <w:r>
              <w:rPr>
                <w:rFonts w:hint="eastAsia" w:asciiTheme="minorEastAsia" w:hAnsiTheme="minorEastAsia" w:eastAsiaTheme="minorEastAsia" w:cstheme="minorEastAsia"/>
                <w:spacing w:val="-2"/>
                <w:position w:val="1"/>
                <w:sz w:val="21"/>
                <w:szCs w:val="21"/>
              </w:rPr>
              <w:t>分</w:t>
            </w:r>
          </w:p>
        </w:tc>
        <w:tc>
          <w:tcPr>
            <w:tcW w:w="6827" w:type="dxa"/>
            <w:vAlign w:val="top"/>
          </w:tcPr>
          <w:p w14:paraId="1729F416">
            <w:pPr>
              <w:pStyle w:val="49"/>
              <w:spacing w:before="44" w:line="232" w:lineRule="auto"/>
              <w:ind w:left="18" w:right="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价格分采用低价优先法计算，满足招标文件</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7"/>
                <w:sz w:val="21"/>
                <w:szCs w:val="21"/>
              </w:rPr>
              <w:t>要求且价格最低的报价为评标基准价，其价</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4"/>
                <w:sz w:val="21"/>
                <w:szCs w:val="21"/>
              </w:rPr>
              <w:t>格分为满分（</w:t>
            </w:r>
            <w:r>
              <w:rPr>
                <w:rFonts w:hint="eastAsia" w:asciiTheme="minorEastAsia" w:hAnsiTheme="minorEastAsia" w:eastAsiaTheme="minorEastAsia" w:cstheme="minorEastAsia"/>
                <w:spacing w:val="-61"/>
                <w:sz w:val="21"/>
                <w:szCs w:val="21"/>
              </w:rPr>
              <w:t xml:space="preserve"> </w:t>
            </w:r>
            <w:r>
              <w:rPr>
                <w:rFonts w:hint="eastAsia" w:asciiTheme="minorEastAsia" w:hAnsiTheme="minorEastAsia" w:eastAsiaTheme="minorEastAsia" w:cstheme="minorEastAsia"/>
                <w:spacing w:val="4"/>
                <w:sz w:val="21"/>
                <w:szCs w:val="21"/>
              </w:rPr>
              <w:t>即</w:t>
            </w:r>
            <w:r>
              <w:rPr>
                <w:rFonts w:hint="eastAsia" w:asciiTheme="minorEastAsia" w:hAnsiTheme="minorEastAsia" w:eastAsiaTheme="minorEastAsia" w:cstheme="minorEastAsia"/>
                <w:spacing w:val="-60"/>
                <w:sz w:val="21"/>
                <w:szCs w:val="21"/>
              </w:rPr>
              <w:t xml:space="preserve"> </w:t>
            </w:r>
            <w:r>
              <w:rPr>
                <w:rFonts w:hint="eastAsia" w:asciiTheme="minorEastAsia" w:hAnsiTheme="minorEastAsia" w:eastAsiaTheme="minorEastAsia" w:cstheme="minorEastAsia"/>
                <w:spacing w:val="4"/>
                <w:sz w:val="21"/>
                <w:szCs w:val="21"/>
              </w:rPr>
              <w:t>35</w:t>
            </w:r>
            <w:r>
              <w:rPr>
                <w:rFonts w:hint="eastAsia" w:asciiTheme="minorEastAsia" w:hAnsiTheme="minorEastAsia" w:eastAsiaTheme="minorEastAsia" w:cstheme="minorEastAsia"/>
                <w:spacing w:val="32"/>
                <w:sz w:val="21"/>
                <w:szCs w:val="21"/>
              </w:rPr>
              <w:t xml:space="preserve"> </w:t>
            </w:r>
            <w:r>
              <w:rPr>
                <w:rFonts w:hint="eastAsia" w:asciiTheme="minorEastAsia" w:hAnsiTheme="minorEastAsia" w:eastAsiaTheme="minorEastAsia" w:cstheme="minorEastAsia"/>
                <w:spacing w:val="4"/>
                <w:sz w:val="21"/>
                <w:szCs w:val="21"/>
              </w:rPr>
              <w:t>分）</w:t>
            </w:r>
            <w:r>
              <w:rPr>
                <w:rFonts w:hint="eastAsia" w:asciiTheme="minorEastAsia" w:hAnsiTheme="minorEastAsia" w:eastAsiaTheme="minorEastAsia" w:cstheme="minorEastAsia"/>
                <w:spacing w:val="-103"/>
                <w:sz w:val="21"/>
                <w:szCs w:val="21"/>
              </w:rPr>
              <w:t xml:space="preserve"> </w:t>
            </w:r>
            <w:r>
              <w:rPr>
                <w:rFonts w:hint="eastAsia" w:asciiTheme="minorEastAsia" w:hAnsiTheme="minorEastAsia" w:eastAsiaTheme="minorEastAsia" w:cstheme="minorEastAsia"/>
                <w:spacing w:val="4"/>
                <w:sz w:val="21"/>
                <w:szCs w:val="21"/>
              </w:rPr>
              <w:t>。其他投标人的价</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7"/>
                <w:sz w:val="21"/>
                <w:szCs w:val="21"/>
              </w:rPr>
              <w:t>格分统一按照下列公式计算：</w:t>
            </w:r>
          </w:p>
          <w:p w14:paraId="0DA7FF54">
            <w:pPr>
              <w:pStyle w:val="49"/>
              <w:spacing w:before="2" w:line="231" w:lineRule="auto"/>
              <w:ind w:left="15" w:right="5" w:firstLine="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6"/>
                <w:sz w:val="21"/>
                <w:szCs w:val="21"/>
              </w:rPr>
              <w:t>投标报价得分=(评标基准价／投标报价)×</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3"/>
                <w:sz w:val="21"/>
                <w:szCs w:val="21"/>
              </w:rPr>
              <w:t>35</w:t>
            </w:r>
          </w:p>
          <w:p w14:paraId="6011A303">
            <w:pPr>
              <w:pStyle w:val="49"/>
              <w:spacing w:before="7" w:line="219" w:lineRule="auto"/>
              <w:ind w:left="27" w:right="5" w:hanging="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注</w:t>
            </w:r>
            <w:r>
              <w:rPr>
                <w:rFonts w:hint="eastAsia" w:asciiTheme="minorEastAsia" w:hAnsiTheme="minorEastAsia" w:eastAsiaTheme="minorEastAsia" w:cstheme="minorEastAsia"/>
                <w:sz w:val="21"/>
                <w:szCs w:val="21"/>
              </w:rPr>
              <w:t>：以上计算过程中按四舍五入保留两位小数。</w:t>
            </w:r>
          </w:p>
          <w:p w14:paraId="088A4080">
            <w:pPr>
              <w:pStyle w:val="49"/>
              <w:spacing w:before="7" w:line="219" w:lineRule="auto"/>
              <w:ind w:left="27" w:right="5" w:hanging="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tc>
      </w:tr>
      <w:tr w14:paraId="416C3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775" w:type="dxa"/>
            <w:vAlign w:val="top"/>
          </w:tcPr>
          <w:p w14:paraId="11964952">
            <w:pPr>
              <w:spacing w:line="251" w:lineRule="auto"/>
              <w:rPr>
                <w:rFonts w:hint="eastAsia" w:asciiTheme="minorEastAsia" w:hAnsiTheme="minorEastAsia" w:eastAsiaTheme="minorEastAsia" w:cstheme="minorEastAsia"/>
                <w:sz w:val="21"/>
                <w:szCs w:val="21"/>
              </w:rPr>
            </w:pPr>
          </w:p>
          <w:p w14:paraId="5810EE7D">
            <w:pPr>
              <w:pStyle w:val="49"/>
              <w:spacing w:before="114" w:line="464" w:lineRule="exact"/>
              <w:ind w:left="2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position w:val="1"/>
                <w:sz w:val="21"/>
                <w:szCs w:val="21"/>
              </w:rPr>
              <w:t>技术部分</w:t>
            </w:r>
          </w:p>
        </w:tc>
        <w:tc>
          <w:tcPr>
            <w:tcW w:w="976" w:type="dxa"/>
            <w:vAlign w:val="top"/>
          </w:tcPr>
          <w:p w14:paraId="57DE623A">
            <w:pPr>
              <w:spacing w:line="250" w:lineRule="auto"/>
              <w:rPr>
                <w:rFonts w:hint="eastAsia" w:asciiTheme="minorEastAsia" w:hAnsiTheme="minorEastAsia" w:eastAsiaTheme="minorEastAsia" w:cstheme="minorEastAsia"/>
                <w:sz w:val="21"/>
                <w:szCs w:val="21"/>
              </w:rPr>
            </w:pPr>
          </w:p>
          <w:p w14:paraId="7A7F3D46">
            <w:pPr>
              <w:spacing w:line="251" w:lineRule="auto"/>
              <w:rPr>
                <w:rFonts w:hint="eastAsia" w:asciiTheme="minorEastAsia" w:hAnsiTheme="minorEastAsia" w:eastAsiaTheme="minorEastAsia" w:cstheme="minorEastAsia"/>
                <w:sz w:val="21"/>
                <w:szCs w:val="21"/>
              </w:rPr>
            </w:pPr>
          </w:p>
          <w:p w14:paraId="037BE43F">
            <w:pPr>
              <w:pStyle w:val="49"/>
              <w:spacing w:before="114" w:line="466" w:lineRule="exact"/>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position w:val="1"/>
                <w:sz w:val="21"/>
                <w:szCs w:val="21"/>
              </w:rPr>
              <w:t>45</w:t>
            </w:r>
            <w:r>
              <w:rPr>
                <w:rFonts w:hint="eastAsia" w:asciiTheme="minorEastAsia" w:hAnsiTheme="minorEastAsia" w:eastAsiaTheme="minorEastAsia" w:cstheme="minorEastAsia"/>
                <w:spacing w:val="22"/>
                <w:position w:val="1"/>
                <w:sz w:val="21"/>
                <w:szCs w:val="21"/>
              </w:rPr>
              <w:t xml:space="preserve"> </w:t>
            </w:r>
            <w:r>
              <w:rPr>
                <w:rFonts w:hint="eastAsia" w:asciiTheme="minorEastAsia" w:hAnsiTheme="minorEastAsia" w:eastAsiaTheme="minorEastAsia" w:cstheme="minorEastAsia"/>
                <w:spacing w:val="1"/>
                <w:position w:val="1"/>
                <w:sz w:val="21"/>
                <w:szCs w:val="21"/>
              </w:rPr>
              <w:t>分</w:t>
            </w:r>
          </w:p>
        </w:tc>
        <w:tc>
          <w:tcPr>
            <w:tcW w:w="6827" w:type="dxa"/>
            <w:vAlign w:val="top"/>
          </w:tcPr>
          <w:p w14:paraId="2E64F2A7">
            <w:pPr>
              <w:pStyle w:val="49"/>
              <w:spacing w:before="61" w:line="266" w:lineRule="auto"/>
              <w:ind w:right="5"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1.渗滤液处理设备的先进性，并制定有详细安装调试方案，优秀7-8分，良好4-6分，一般0-3分；</w:t>
            </w:r>
          </w:p>
          <w:p w14:paraId="310A734A">
            <w:pPr>
              <w:pStyle w:val="49"/>
              <w:spacing w:before="61" w:line="266" w:lineRule="auto"/>
              <w:ind w:right="5"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运营组织机构人员配备合理，保证项目专业化、安全化运行，本项目拟派驻运营工作人员中，每提供一名具有市政工程或环境工程类中级职称的得2分，每提供一名具有市政工程或环境工程类高级职称的得4分。本项最高得8分。（提供证书原件及本人近三个月在本单位的养老保险缴纳凭据）；</w:t>
            </w:r>
          </w:p>
          <w:p w14:paraId="5F0CC122">
            <w:pPr>
              <w:pStyle w:val="49"/>
              <w:spacing w:before="61" w:line="266" w:lineRule="auto"/>
              <w:ind w:right="5"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3.管理制度；建设运行资料、实施方案及保障措施。优秀6-7分，良好4-5分，一般0-3分；</w:t>
            </w:r>
          </w:p>
          <w:p w14:paraId="0A6314A7">
            <w:pPr>
              <w:pStyle w:val="49"/>
              <w:spacing w:before="61" w:line="266" w:lineRule="auto"/>
              <w:ind w:right="5"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4.投标人对本项目水质变化及季节特点有解决方案，保障出水质量及冬季运行稳定。优秀6-7分，良好4-5分，一般0-3分；</w:t>
            </w:r>
          </w:p>
          <w:p w14:paraId="47D31F94">
            <w:pPr>
              <w:pStyle w:val="49"/>
              <w:spacing w:before="61" w:line="266" w:lineRule="auto"/>
              <w:ind w:right="5"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5.本项目日常巡检方案。良好得3-5分，一般1-2分；</w:t>
            </w:r>
          </w:p>
          <w:p w14:paraId="5DD65F01">
            <w:pPr>
              <w:pStyle w:val="49"/>
              <w:spacing w:before="61" w:line="266" w:lineRule="auto"/>
              <w:ind w:right="5"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6.设备检修与维护管理措施及运营服务应急方案。良好得3-5分，一般1-2分；</w:t>
            </w:r>
          </w:p>
          <w:p w14:paraId="0C7D4B4C">
            <w:pPr>
              <w:pStyle w:val="49"/>
              <w:spacing w:before="61" w:line="266" w:lineRule="auto"/>
              <w:ind w:right="5"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7.通风和噪声控制和废液、废渣控制处理措施，环境保护措施。良好得3-5分，一般1-2分；</w:t>
            </w:r>
          </w:p>
        </w:tc>
      </w:tr>
      <w:tr w14:paraId="63FAD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775" w:type="dxa"/>
            <w:vAlign w:val="top"/>
          </w:tcPr>
          <w:p w14:paraId="43693AA4">
            <w:pPr>
              <w:pStyle w:val="49"/>
              <w:spacing w:before="114" w:line="464" w:lineRule="exact"/>
              <w:ind w:left="210"/>
              <w:rPr>
                <w:rFonts w:hint="eastAsia" w:asciiTheme="minorEastAsia" w:hAnsiTheme="minorEastAsia" w:eastAsiaTheme="minorEastAsia" w:cstheme="minorEastAsia"/>
                <w:spacing w:val="4"/>
                <w:position w:val="1"/>
                <w:sz w:val="21"/>
                <w:szCs w:val="21"/>
              </w:rPr>
            </w:pPr>
            <w:r>
              <w:rPr>
                <w:rFonts w:hint="eastAsia" w:asciiTheme="minorEastAsia" w:hAnsiTheme="minorEastAsia" w:eastAsiaTheme="minorEastAsia" w:cstheme="minorEastAsia"/>
                <w:spacing w:val="1"/>
                <w:position w:val="1"/>
                <w:sz w:val="21"/>
                <w:szCs w:val="21"/>
              </w:rPr>
              <w:t>综合部分</w:t>
            </w:r>
          </w:p>
        </w:tc>
        <w:tc>
          <w:tcPr>
            <w:tcW w:w="976" w:type="dxa"/>
            <w:vAlign w:val="top"/>
          </w:tcPr>
          <w:p w14:paraId="71EC8A86">
            <w:pPr>
              <w:pStyle w:val="49"/>
              <w:spacing w:before="114" w:line="466" w:lineRule="exact"/>
              <w:ind w:left="84"/>
              <w:rPr>
                <w:rFonts w:hint="default" w:asciiTheme="minorEastAsia" w:hAnsiTheme="minorEastAsia" w:eastAsiaTheme="minorEastAsia" w:cstheme="minorEastAsia"/>
                <w:spacing w:val="1"/>
                <w:position w:val="1"/>
                <w:sz w:val="21"/>
                <w:szCs w:val="21"/>
                <w:lang w:val="en-US" w:eastAsia="zh-CN"/>
              </w:rPr>
            </w:pPr>
            <w:r>
              <w:rPr>
                <w:rFonts w:hint="eastAsia" w:asciiTheme="minorEastAsia" w:hAnsiTheme="minorEastAsia" w:eastAsiaTheme="minorEastAsia" w:cstheme="minorEastAsia"/>
                <w:spacing w:val="1"/>
                <w:position w:val="1"/>
                <w:sz w:val="21"/>
                <w:szCs w:val="21"/>
                <w:lang w:val="en-US" w:eastAsia="zh-CN"/>
              </w:rPr>
              <w:t>20分</w:t>
            </w:r>
          </w:p>
        </w:tc>
        <w:tc>
          <w:tcPr>
            <w:tcW w:w="6827" w:type="dxa"/>
            <w:vAlign w:val="top"/>
          </w:tcPr>
          <w:p w14:paraId="1BB34518">
            <w:pPr>
              <w:pStyle w:val="49"/>
              <w:spacing w:before="71" w:line="311" w:lineRule="auto"/>
              <w:ind w:left="27" w:right="157" w:firstLine="339"/>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5"/>
                <w:sz w:val="21"/>
                <w:szCs w:val="21"/>
                <w:lang w:val="en-US" w:eastAsia="zh-CN"/>
              </w:rPr>
              <w:t>1.投标人自2021年6月以来（以签订合同时间为准）具有类似业绩的，每提供一项2分，最高10分；（提供中标通知书、合同及网上公示截屏，否则不得分）</w:t>
            </w:r>
          </w:p>
          <w:p w14:paraId="623A89C3">
            <w:pPr>
              <w:pStyle w:val="49"/>
              <w:spacing w:before="71" w:line="311" w:lineRule="auto"/>
              <w:ind w:left="27" w:right="157" w:firstLine="339"/>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5"/>
                <w:sz w:val="21"/>
                <w:szCs w:val="21"/>
                <w:lang w:val="en-US" w:eastAsia="zh-CN"/>
              </w:rPr>
              <w:t>2.投标人具有质量管理体系认证证书、环境管理体系认证证书、职业健康安全管理体系认证证书、每项得2分，最高得6分。</w:t>
            </w:r>
          </w:p>
          <w:p w14:paraId="2B288A26">
            <w:pPr>
              <w:pStyle w:val="49"/>
              <w:spacing w:before="71" w:line="311" w:lineRule="auto"/>
              <w:ind w:left="27" w:right="157" w:firstLine="339"/>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5"/>
                <w:sz w:val="21"/>
                <w:szCs w:val="21"/>
                <w:lang w:val="en-US" w:eastAsia="zh-CN"/>
              </w:rPr>
              <w:t>（注：投标文件中须附体系认证证书和全国认证认可信息公共服务平台证书截图并加盖公章，未提供以上资料或与信息不相符的不得分。）</w:t>
            </w:r>
          </w:p>
          <w:p w14:paraId="2310659F">
            <w:pPr>
              <w:pStyle w:val="49"/>
              <w:spacing w:before="71" w:line="311" w:lineRule="auto"/>
              <w:ind w:left="27" w:right="157" w:firstLine="339"/>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5"/>
                <w:sz w:val="21"/>
                <w:szCs w:val="21"/>
                <w:lang w:val="en-US" w:eastAsia="zh-CN"/>
              </w:rPr>
              <w:t>3.投标人具有企业信用等级 AAA 级得 2 分；AA 级得 1 分；其它不得分。</w:t>
            </w:r>
          </w:p>
          <w:p w14:paraId="63AA2257">
            <w:pPr>
              <w:pStyle w:val="49"/>
              <w:spacing w:before="71" w:line="311" w:lineRule="auto"/>
              <w:ind w:left="27" w:right="157" w:firstLine="339"/>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5"/>
                <w:sz w:val="21"/>
                <w:szCs w:val="21"/>
                <w:lang w:val="en-US" w:eastAsia="zh-CN"/>
              </w:rPr>
              <w:t>4.投标人纳税信用等级为 A 级：2分；B 级：1 分，其它不得分。</w:t>
            </w:r>
          </w:p>
          <w:p w14:paraId="2D52BDA8">
            <w:pPr>
              <w:pStyle w:val="49"/>
              <w:spacing w:before="71" w:line="311" w:lineRule="auto"/>
              <w:ind w:left="27" w:right="157" w:firstLine="339"/>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5"/>
                <w:sz w:val="21"/>
                <w:szCs w:val="21"/>
                <w:lang w:val="en-US" w:eastAsia="zh-CN"/>
              </w:rPr>
              <w:t>（注：投标文件须附税务机关网站查询网页截图并加盖公章，未提供以上资料或与信息不相符的不得分。）</w:t>
            </w:r>
          </w:p>
        </w:tc>
      </w:tr>
    </w:tbl>
    <w:p w14:paraId="20FD5D36">
      <w:pPr>
        <w:spacing w:before="91"/>
        <w:rPr>
          <w:rFonts w:hint="eastAsia" w:asciiTheme="minorEastAsia" w:hAnsiTheme="minorEastAsia" w:eastAsiaTheme="minorEastAsia" w:cstheme="minorEastAsia"/>
          <w:sz w:val="21"/>
          <w:szCs w:val="21"/>
        </w:rPr>
      </w:pPr>
    </w:p>
    <w:p w14:paraId="7E52284E">
      <w:pPr>
        <w:pStyle w:val="45"/>
        <w:spacing w:line="560" w:lineRule="exact"/>
        <w:rPr>
          <w:rFonts w:hint="eastAsia" w:asciiTheme="minorEastAsia" w:hAnsiTheme="minorEastAsia" w:eastAsiaTheme="minorEastAsia" w:cstheme="minorEastAsia"/>
          <w:color w:val="auto"/>
          <w:sz w:val="21"/>
          <w:szCs w:val="21"/>
          <w:highlight w:val="none"/>
        </w:rPr>
      </w:pPr>
    </w:p>
    <w:p w14:paraId="4A967369">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评标方法</w:t>
      </w:r>
    </w:p>
    <w:p w14:paraId="339E6764">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次评标采用综合评分法。评标委员会对满足招标文件实质性要求的投标文件，按照本章第2.2款规定的评分标准进行打分，并按得分由高到低顺序推荐中标候选人，或根据采购人授权直接确定中标人，但投标报价低于其成本的除外。综合评分相等时，以投标报价低的优先；投标报价也相等的，按技术指标优劣排列确定中标人。</w:t>
      </w:r>
    </w:p>
    <w:p w14:paraId="6A4FBD8B">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评审标准</w:t>
      </w:r>
    </w:p>
    <w:p w14:paraId="53FBBCF2">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 初步评审标准</w:t>
      </w:r>
    </w:p>
    <w:p w14:paraId="5FC5AE4E">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 形式评审标准：见评标办法前附表。</w:t>
      </w:r>
    </w:p>
    <w:p w14:paraId="1DEEBE83">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2.1.2 资格评审标准：见评标办法前附表。</w:t>
      </w:r>
    </w:p>
    <w:p w14:paraId="6332DBE6">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2.1.3 响应性评审标准：见评标办法前附表。</w:t>
      </w:r>
    </w:p>
    <w:p w14:paraId="0F390FA8">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 分值构成与评分标准</w:t>
      </w:r>
    </w:p>
    <w:p w14:paraId="29C91132">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2.2.1 分值构成</w:t>
      </w:r>
    </w:p>
    <w:p w14:paraId="30F76A81">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详细评分分值：见评标办法前附表。</w:t>
      </w:r>
    </w:p>
    <w:p w14:paraId="3BFCFCB7">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2.2.3 评分标准</w:t>
      </w:r>
    </w:p>
    <w:p w14:paraId="0B7C4140">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详细评分标准：见评标办法前附表。</w:t>
      </w:r>
    </w:p>
    <w:p w14:paraId="7A3EFDE8">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评标程序</w:t>
      </w:r>
    </w:p>
    <w:p w14:paraId="3048FC6D">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 初步评审</w:t>
      </w:r>
    </w:p>
    <w:p w14:paraId="447D1DAA">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3.1.1 评标委员会依据本章第2.1款规定的标准对投标文件进行初步评审。有一项不符合评审标准的，作废标处理。</w:t>
      </w:r>
    </w:p>
    <w:p w14:paraId="1B7831FA">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3.1.2 投标人有以下情形之一的，其投标作废标处理：</w:t>
      </w:r>
    </w:p>
    <w:p w14:paraId="70A83EAB">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（1）第二章“投标人须知”第1.4.3项规定的任何一种情形的；</w:t>
      </w:r>
    </w:p>
    <w:p w14:paraId="24BCD559">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（2）串通投标或弄虚作假或有其他违法行为的；</w:t>
      </w:r>
    </w:p>
    <w:p w14:paraId="5711CFCE">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（3）不按评标委员会要求澄清、说明或补正的。</w:t>
      </w:r>
    </w:p>
    <w:p w14:paraId="35FED39B">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3.1.3投标报价有算术错误的，评标委员会按以下原则对投标报价进行修正，修正的价格经投标人确认后具有约束力。投标人不接受修正价格的，其投标作废标处理。</w:t>
      </w:r>
    </w:p>
    <w:p w14:paraId="68CE3F2C">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（1）投标文件中的大写金额与小写金额不一致的，以大写金额为准；</w:t>
      </w:r>
    </w:p>
    <w:p w14:paraId="7EC45AD5">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（2）总价金额与依据单价计算出的结果不一致的，以单价金额为准修正总价，但单价金额小数点有明显错误的除外。</w:t>
      </w:r>
    </w:p>
    <w:p w14:paraId="23224F2C">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 详细评审</w:t>
      </w:r>
    </w:p>
    <w:p w14:paraId="5B886EA6">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3.2.1 评标委员会按本章第2.2款规定的量化因素和分值进行打分，并计算出综合得分。</w:t>
      </w:r>
    </w:p>
    <w:p w14:paraId="286CE337">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（1）按本章规定的评审因素和分值对</w:t>
      </w:r>
      <w:r>
        <w:rPr>
          <w:rFonts w:hint="eastAsia" w:asciiTheme="minorEastAsia" w:hAnsiTheme="minorEastAsia" w:eastAsiaTheme="minorEastAsia" w:cstheme="minorEastAsia"/>
          <w:color w:val="auto"/>
          <w:highlight w:val="none"/>
          <w:lang w:val="en-US" w:eastAsia="zh-CN"/>
        </w:rPr>
        <w:t>报价得分</w:t>
      </w:r>
      <w:r>
        <w:rPr>
          <w:rFonts w:hint="eastAsia" w:asciiTheme="minorEastAsia" w:hAnsiTheme="minorEastAsia" w:eastAsiaTheme="minorEastAsia" w:cstheme="minorEastAsia"/>
          <w:color w:val="auto"/>
          <w:highlight w:val="none"/>
        </w:rPr>
        <w:t>计算出得分A；</w:t>
      </w:r>
    </w:p>
    <w:p w14:paraId="1424330F">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（2）按本章规定的评审因素和分值对技术</w:t>
      </w:r>
      <w:r>
        <w:rPr>
          <w:rFonts w:hint="eastAsia" w:asciiTheme="minorEastAsia" w:hAnsiTheme="minorEastAsia" w:eastAsiaTheme="minorEastAsia" w:cstheme="minorEastAsia"/>
          <w:color w:val="auto"/>
          <w:highlight w:val="none"/>
          <w:lang w:val="en-US" w:eastAsia="zh-CN"/>
        </w:rPr>
        <w:t>得分</w:t>
      </w:r>
      <w:r>
        <w:rPr>
          <w:rFonts w:hint="eastAsia" w:asciiTheme="minorEastAsia" w:hAnsiTheme="minorEastAsia" w:eastAsiaTheme="minorEastAsia" w:cstheme="minorEastAsia"/>
          <w:color w:val="auto"/>
          <w:highlight w:val="none"/>
        </w:rPr>
        <w:t>计算出得分B；</w:t>
      </w:r>
    </w:p>
    <w:p w14:paraId="14372C66">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（3）按本章规定的评审因素和分值对综合</w:t>
      </w:r>
      <w:r>
        <w:rPr>
          <w:rFonts w:hint="eastAsia" w:asciiTheme="minorEastAsia" w:hAnsiTheme="minorEastAsia" w:eastAsiaTheme="minorEastAsia" w:cstheme="minorEastAsia"/>
          <w:color w:val="auto"/>
          <w:highlight w:val="none"/>
          <w:lang w:val="en-US" w:eastAsia="zh-CN"/>
        </w:rPr>
        <w:t>得分</w:t>
      </w:r>
      <w:r>
        <w:rPr>
          <w:rFonts w:hint="eastAsia" w:asciiTheme="minorEastAsia" w:hAnsiTheme="minorEastAsia" w:eastAsiaTheme="minorEastAsia" w:cstheme="minorEastAsia"/>
          <w:color w:val="auto"/>
          <w:highlight w:val="none"/>
        </w:rPr>
        <w:t>计算出得分C；</w:t>
      </w:r>
    </w:p>
    <w:p w14:paraId="3DEB10E8">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3.2.2 评分分值计算保留小数点后两位，小数点后第三位“四舍五入”。</w:t>
      </w:r>
    </w:p>
    <w:p w14:paraId="799F3C1D">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3.2.3 投标人得分=A+B+C。</w:t>
      </w:r>
    </w:p>
    <w:p w14:paraId="1852E45D">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3.2.4 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14:paraId="6731FEEF">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 投标文件的澄清和补正</w:t>
      </w:r>
    </w:p>
    <w:p w14:paraId="70BEDF20">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3.3.1在评标过程中，评标委员会可以要求投标人对所提交投标文件中不明确的内容进行澄清或说明，或者对细微偏差进行补正。评标委员会不接受投标人主动提出的澄清、说明或补正。</w:t>
      </w:r>
    </w:p>
    <w:p w14:paraId="35B22327">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3.3.2 澄清、说明和补正不得改变投标文件的实质性内容（算术性错误修正的除外）。投标人的澄清、说明和补正属于投标文件的组成部分。</w:t>
      </w:r>
    </w:p>
    <w:p w14:paraId="419D86A0">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3.3.3 评标委员会对投标人提交的澄清、说明或补正有疑问的，可以要求投标人进一步澄清、说明或补正，直至满足评标委员会的要求。</w:t>
      </w:r>
    </w:p>
    <w:p w14:paraId="25BCCD52">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 评标结果</w:t>
      </w:r>
    </w:p>
    <w:p w14:paraId="269FFBBA">
      <w:pPr>
        <w:tabs>
          <w:tab w:val="left" w:pos="720"/>
        </w:tabs>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3.4.1除第二章“投标人须知”前附表授权直接确定中标人外，评标委员会按照得分由高到低的顺序推荐中标候选人。</w:t>
      </w:r>
    </w:p>
    <w:p w14:paraId="1981220F">
      <w:pPr>
        <w:tabs>
          <w:tab w:val="left" w:pos="720"/>
        </w:tabs>
        <w:spacing w:line="44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highlight w:val="none"/>
        </w:rPr>
        <w:t>3.4.2 评标委员会完成评标后，应当向采购人提交评标报告。</w:t>
      </w:r>
      <w:r>
        <w:rPr>
          <w:rFonts w:hint="eastAsia" w:asciiTheme="minorEastAsia" w:hAnsiTheme="minorEastAsia" w:eastAsiaTheme="minorEastAsia" w:cstheme="minorEastAsia"/>
          <w:bCs/>
          <w:color w:val="auto"/>
          <w:kern w:val="0"/>
          <w:szCs w:val="21"/>
          <w:highlight w:val="none"/>
        </w:rPr>
        <w:br w:type="page"/>
      </w:r>
    </w:p>
    <w:p w14:paraId="20884AEB">
      <w:pPr>
        <w:pStyle w:val="20"/>
        <w:numPr>
          <w:ilvl w:val="0"/>
          <w:numId w:val="5"/>
        </w:numPr>
        <w:spacing w:line="600" w:lineRule="exact"/>
        <w:ind w:right="-63" w:rightChars="-3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 </w:t>
      </w:r>
      <w:bookmarkStart w:id="252" w:name="_Toc7325"/>
      <w:bookmarkStart w:id="253" w:name="_Toc27443"/>
      <w:r>
        <w:rPr>
          <w:rFonts w:hint="eastAsia" w:asciiTheme="minorEastAsia" w:hAnsiTheme="minorEastAsia" w:eastAsiaTheme="minorEastAsia" w:cstheme="minorEastAsia"/>
          <w:color w:val="auto"/>
          <w:sz w:val="36"/>
          <w:szCs w:val="36"/>
          <w:highlight w:val="none"/>
        </w:rPr>
        <w:t>合同条款及格式</w:t>
      </w:r>
      <w:bookmarkEnd w:id="249"/>
      <w:bookmarkEnd w:id="250"/>
      <w:bookmarkEnd w:id="251"/>
      <w:bookmarkEnd w:id="252"/>
      <w:bookmarkEnd w:id="253"/>
    </w:p>
    <w:p w14:paraId="487633DE">
      <w:pPr>
        <w:rPr>
          <w:color w:val="auto"/>
          <w:highlight w:val="none"/>
        </w:rPr>
      </w:pPr>
      <w:r>
        <w:rPr>
          <w:rFonts w:hint="eastAsia"/>
          <w:color w:val="auto"/>
          <w:highlight w:val="none"/>
        </w:rPr>
        <w:t xml:space="preserve">                             </w:t>
      </w:r>
      <w:r>
        <w:rPr>
          <w:rFonts w:hint="eastAsia"/>
          <w:color w:val="auto"/>
          <w:sz w:val="28"/>
          <w:szCs w:val="28"/>
          <w:highlight w:val="none"/>
        </w:rPr>
        <w:t xml:space="preserve">    </w:t>
      </w:r>
      <w:r>
        <w:rPr>
          <w:rFonts w:hint="eastAsia"/>
          <w:b/>
          <w:bCs/>
          <w:color w:val="auto"/>
          <w:sz w:val="28"/>
          <w:szCs w:val="28"/>
          <w:highlight w:val="none"/>
        </w:rPr>
        <w:t xml:space="preserve">  （仅供参考）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14:paraId="6AF2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9514" w:type="dxa"/>
          </w:tcPr>
          <w:p w14:paraId="1566B4D2">
            <w:pPr>
              <w:rPr>
                <w:rFonts w:hint="eastAsia"/>
                <w:color w:val="auto"/>
                <w:kern w:val="0"/>
                <w:sz w:val="20"/>
                <w:highlight w:val="none"/>
              </w:rPr>
            </w:pPr>
            <w:r>
              <w:rPr>
                <w:rFonts w:hint="eastAsia"/>
                <w:color w:val="auto"/>
                <w:kern w:val="0"/>
                <w:sz w:val="20"/>
                <w:highlight w:val="none"/>
              </w:rPr>
              <w:t>注释：</w:t>
            </w:r>
          </w:p>
          <w:p w14:paraId="173F85EE">
            <w:pPr>
              <w:rPr>
                <w:rFonts w:hint="eastAsia"/>
                <w:color w:val="auto"/>
                <w:kern w:val="0"/>
                <w:sz w:val="20"/>
                <w:highlight w:val="none"/>
              </w:rPr>
            </w:pPr>
            <w:r>
              <w:rPr>
                <w:rFonts w:hint="eastAsia"/>
                <w:color w:val="auto"/>
                <w:kern w:val="0"/>
                <w:sz w:val="20"/>
                <w:highlight w:val="none"/>
              </w:rPr>
              <w:t>本文条款仅作为双方签订合同的参考，为阐明各方的权利和义务，经协商可增加新的条款。但不得与招标文件、投标文件的实质性内容相背离。</w:t>
            </w:r>
          </w:p>
        </w:tc>
      </w:tr>
    </w:tbl>
    <w:p w14:paraId="3E829D47">
      <w:pPr>
        <w:spacing w:line="44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以下为合同签订时的基本内容，</w:t>
      </w:r>
      <w:r>
        <w:rPr>
          <w:rFonts w:hint="eastAsia" w:ascii="宋体" w:hAnsi="宋体"/>
          <w:color w:val="auto"/>
          <w:szCs w:val="21"/>
          <w:highlight w:val="none"/>
        </w:rPr>
        <w:t>若需修改及未尽事宜，待投标人中标后签订合同时与</w:t>
      </w:r>
      <w:r>
        <w:rPr>
          <w:rFonts w:hint="eastAsia" w:ascii="宋体" w:hAnsi="宋体"/>
          <w:bCs/>
          <w:color w:val="auto"/>
          <w:szCs w:val="21"/>
          <w:highlight w:val="none"/>
        </w:rPr>
        <w:t>招标人</w:t>
      </w:r>
      <w:r>
        <w:rPr>
          <w:rFonts w:hint="eastAsia" w:ascii="宋体" w:hAnsi="宋体"/>
          <w:color w:val="auto"/>
          <w:szCs w:val="21"/>
          <w:highlight w:val="none"/>
        </w:rPr>
        <w:t>协商确定。</w:t>
      </w:r>
      <w:r>
        <w:rPr>
          <w:rFonts w:hint="eastAsia" w:ascii="宋体" w:hAnsi="宋体"/>
          <w:bCs/>
          <w:color w:val="auto"/>
          <w:szCs w:val="21"/>
          <w:highlight w:val="none"/>
        </w:rPr>
        <w:t>最终文本是以招标人招标文件和中标人投标文件（包括评标时质询文件）相关内容为基础，经双方谈判后形成的</w:t>
      </w:r>
      <w:r>
        <w:rPr>
          <w:rFonts w:hint="eastAsia" w:ascii="宋体" w:hAnsi="宋体"/>
          <w:color w:val="auto"/>
          <w:szCs w:val="21"/>
          <w:highlight w:val="none"/>
        </w:rPr>
        <w:t>合同文本</w:t>
      </w:r>
      <w:r>
        <w:rPr>
          <w:rFonts w:hint="eastAsia" w:ascii="宋体" w:hAnsi="宋体"/>
          <w:bCs/>
          <w:color w:val="auto"/>
          <w:szCs w:val="21"/>
          <w:highlight w:val="none"/>
        </w:rPr>
        <w:t>。</w:t>
      </w:r>
    </w:p>
    <w:p w14:paraId="4DD86BEE">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甲方（需方）：_________</w:t>
      </w:r>
    </w:p>
    <w:p w14:paraId="3C925CEA">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乙方（供方）：_________</w:t>
      </w:r>
    </w:p>
    <w:p w14:paraId="29C75845">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经过双方友好协商，依据《</w:t>
      </w:r>
      <w:r>
        <w:rPr>
          <w:rFonts w:hint="eastAsia" w:ascii="宋体" w:hAnsi="宋体"/>
          <w:bCs/>
          <w:color w:val="auto"/>
          <w:szCs w:val="21"/>
          <w:highlight w:val="none"/>
        </w:rPr>
        <w:t>中华人民共和国民法典合同编</w:t>
      </w:r>
      <w:r>
        <w:rPr>
          <w:rFonts w:hint="eastAsia" w:ascii="宋体" w:hAnsi="宋体"/>
          <w:color w:val="auto"/>
          <w:szCs w:val="21"/>
          <w:highlight w:val="none"/>
        </w:rPr>
        <w:t>》，双方同意签订以下合同条款，以便双方共同遵守、履行合同。</w:t>
      </w:r>
    </w:p>
    <w:p w14:paraId="4CA43640">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1. 项目信息 </w:t>
      </w:r>
    </w:p>
    <w:p w14:paraId="6F25F40F">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（1）采购项目名称： </w:t>
      </w:r>
    </w:p>
    <w:p w14:paraId="3BE2DA8A">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（2）采购计划编号： </w:t>
      </w:r>
    </w:p>
    <w:p w14:paraId="708A6E87">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（3）项目内容： </w:t>
      </w:r>
    </w:p>
    <w:p w14:paraId="6627CFE5">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2. 合同金额 </w:t>
      </w:r>
    </w:p>
    <w:p w14:paraId="20A85DCB">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（1）合同金额小写： 大写： </w:t>
      </w:r>
    </w:p>
    <w:p w14:paraId="7EDFD3E0">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（2）具体标的见附件。 </w:t>
      </w:r>
    </w:p>
    <w:p w14:paraId="2EBF62ED">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（3）合同价格形式：固定总价合同 。 </w:t>
      </w:r>
    </w:p>
    <w:p w14:paraId="6AFFB329">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3. 履行合同的时间、地点及方式 </w:t>
      </w:r>
    </w:p>
    <w:p w14:paraId="25B22CFE">
      <w:pPr>
        <w:spacing w:line="440" w:lineRule="exact"/>
        <w:ind w:firstLine="630" w:firstLineChars="300"/>
        <w:jc w:val="left"/>
        <w:rPr>
          <w:rFonts w:hint="eastAsia" w:ascii="宋体" w:hAnsi="宋体"/>
          <w:bCs/>
          <w:color w:val="auto"/>
          <w:szCs w:val="21"/>
          <w:highlight w:val="none"/>
        </w:rPr>
      </w:pPr>
      <w:r>
        <w:rPr>
          <w:rFonts w:ascii="宋体" w:hAnsi="宋体"/>
          <w:bCs/>
          <w:color w:val="auto"/>
          <w:szCs w:val="21"/>
          <w:highlight w:val="none"/>
        </w:rPr>
        <w:t xml:space="preserve">起始日期： </w:t>
      </w:r>
    </w:p>
    <w:p w14:paraId="13A663D1">
      <w:pPr>
        <w:spacing w:line="440" w:lineRule="exact"/>
        <w:ind w:firstLine="630" w:firstLineChars="300"/>
        <w:jc w:val="left"/>
        <w:rPr>
          <w:rFonts w:hint="eastAsia" w:ascii="宋体" w:hAnsi="宋体"/>
          <w:bCs/>
          <w:color w:val="auto"/>
          <w:szCs w:val="21"/>
          <w:highlight w:val="none"/>
        </w:rPr>
      </w:pPr>
      <w:r>
        <w:rPr>
          <w:rFonts w:ascii="宋体" w:hAnsi="宋体"/>
          <w:bCs/>
          <w:color w:val="auto"/>
          <w:szCs w:val="21"/>
          <w:highlight w:val="none"/>
        </w:rPr>
        <w:t xml:space="preserve">地点： </w:t>
      </w:r>
    </w:p>
    <w:p w14:paraId="676BCC84">
      <w:pPr>
        <w:spacing w:line="440" w:lineRule="exact"/>
        <w:ind w:firstLine="630" w:firstLineChars="300"/>
        <w:jc w:val="left"/>
        <w:rPr>
          <w:rFonts w:hint="eastAsia" w:ascii="宋体" w:hAnsi="宋体"/>
          <w:bCs/>
          <w:color w:val="auto"/>
          <w:szCs w:val="21"/>
          <w:highlight w:val="none"/>
        </w:rPr>
      </w:pPr>
      <w:r>
        <w:rPr>
          <w:rFonts w:ascii="宋体" w:hAnsi="宋体"/>
          <w:bCs/>
          <w:color w:val="auto"/>
          <w:szCs w:val="21"/>
          <w:highlight w:val="none"/>
        </w:rPr>
        <w:t xml:space="preserve">方式： </w:t>
      </w:r>
    </w:p>
    <w:p w14:paraId="12F1D960">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4. 解决合同纠纷方式 首先通过双方协商解决，协商解决不成，则通过以下途径之一解决纠纷。 </w:t>
      </w:r>
    </w:p>
    <w:p w14:paraId="7CC8DA37">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5. 组成合同的文件 </w:t>
      </w:r>
    </w:p>
    <w:p w14:paraId="2783ED06">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本协议书与下列文件一起构成合同文件，如下述文件之间有任何抵触、矛盾或歧义，应 按以下顺序解释： </w:t>
      </w:r>
    </w:p>
    <w:p w14:paraId="70E3D110">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（1）在采购或合同履行过程中乙方作出的承诺以及双方协商达成的变更或补充协议 </w:t>
      </w:r>
    </w:p>
    <w:p w14:paraId="3FC81DDF">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（2）中标通知书 </w:t>
      </w:r>
    </w:p>
    <w:p w14:paraId="165AE598">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（3）投标文件 </w:t>
      </w:r>
    </w:p>
    <w:p w14:paraId="5898E6D2">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（4）政府采购合同格式条款及其附件</w:t>
      </w:r>
    </w:p>
    <w:p w14:paraId="3BDE4B30">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 （5）专用合同条款 </w:t>
      </w:r>
    </w:p>
    <w:p w14:paraId="2BBEB54D">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（6）通用合同条款（如果有） </w:t>
      </w:r>
    </w:p>
    <w:p w14:paraId="15397573">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（7）标准、规范及有关技术文件 </w:t>
      </w:r>
    </w:p>
    <w:p w14:paraId="4A495233">
      <w:pPr>
        <w:spacing w:line="440" w:lineRule="exact"/>
        <w:ind w:firstLine="420" w:firstLineChars="200"/>
        <w:jc w:val="left"/>
        <w:rPr>
          <w:rFonts w:hint="eastAsia" w:ascii="宋体" w:hAnsi="宋体"/>
          <w:bCs/>
          <w:color w:val="auto"/>
          <w:szCs w:val="21"/>
          <w:highlight w:val="none"/>
        </w:rPr>
      </w:pPr>
      <w:r>
        <w:rPr>
          <w:rFonts w:ascii="宋体" w:hAnsi="宋体"/>
          <w:bCs/>
          <w:color w:val="auto"/>
          <w:szCs w:val="21"/>
          <w:highlight w:val="none"/>
        </w:rPr>
        <w:t xml:space="preserve">（8）其他合同文件。 </w:t>
      </w:r>
    </w:p>
    <w:p w14:paraId="21D628E4">
      <w:pPr>
        <w:spacing w:line="44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6.其它</w:t>
      </w:r>
    </w:p>
    <w:p w14:paraId="0B2D62D5">
      <w:pPr>
        <w:spacing w:line="440" w:lineRule="exact"/>
        <w:ind w:firstLine="420" w:firstLineChars="200"/>
        <w:jc w:val="left"/>
        <w:rPr>
          <w:rFonts w:hint="eastAsia" w:ascii="宋体" w:hAnsi="宋体"/>
          <w:color w:val="auto"/>
          <w:szCs w:val="21"/>
          <w:highlight w:val="none"/>
        </w:rPr>
      </w:pPr>
      <w:r>
        <w:rPr>
          <w:rFonts w:hint="eastAsia" w:ascii="宋体" w:hAnsi="宋体"/>
          <w:bCs/>
          <w:color w:val="auto"/>
          <w:szCs w:val="21"/>
          <w:highlight w:val="none"/>
        </w:rPr>
        <w:t>6.1．本合同一式肆份，甲乙双方各执贰份，</w:t>
      </w:r>
      <w:r>
        <w:rPr>
          <w:rFonts w:hint="eastAsia" w:ascii="宋体" w:hAnsi="宋体"/>
          <w:color w:val="auto"/>
          <w:szCs w:val="21"/>
          <w:highlight w:val="none"/>
        </w:rPr>
        <w:t>；</w:t>
      </w:r>
    </w:p>
    <w:p w14:paraId="09A11D8F">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6.2．本合同自签订之日起生效；</w:t>
      </w:r>
    </w:p>
    <w:p w14:paraId="3234FF7E">
      <w:pPr>
        <w:spacing w:line="44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6.3．本项目的招标文件、投标文件、中标通知书是合同的附件，与合同具有同等的法律效力；</w:t>
      </w:r>
    </w:p>
    <w:p w14:paraId="056D5E94">
      <w:pPr>
        <w:spacing w:line="44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6.4．其它未尽事宜，由双方友好协商解决，并参照《中华人民共和国民法典合同编》有关条款执行。</w:t>
      </w:r>
    </w:p>
    <w:p w14:paraId="7865F2B3">
      <w:pPr>
        <w:spacing w:line="440" w:lineRule="exact"/>
        <w:ind w:firstLine="420" w:firstLineChars="200"/>
        <w:jc w:val="left"/>
        <w:rPr>
          <w:rFonts w:hint="eastAsia" w:ascii="宋体" w:hAnsi="宋体"/>
          <w:bCs/>
          <w:color w:val="auto"/>
          <w:szCs w:val="21"/>
          <w:highlight w:val="none"/>
        </w:rPr>
      </w:pPr>
    </w:p>
    <w:p w14:paraId="1BF91B7D">
      <w:pPr>
        <w:spacing w:line="440" w:lineRule="exact"/>
        <w:ind w:firstLine="420" w:firstLineChars="200"/>
        <w:jc w:val="left"/>
        <w:rPr>
          <w:rFonts w:hint="eastAsia" w:ascii="宋体" w:hAnsi="宋体"/>
          <w:bCs/>
          <w:color w:val="auto"/>
          <w:szCs w:val="21"/>
          <w:highlight w:val="none"/>
        </w:rPr>
      </w:pPr>
    </w:p>
    <w:p w14:paraId="2CE5E59A">
      <w:pPr>
        <w:pStyle w:val="5"/>
        <w:rPr>
          <w:rFonts w:hint="eastAsia"/>
          <w:color w:val="auto"/>
          <w:highlight w:val="none"/>
        </w:rPr>
      </w:pPr>
    </w:p>
    <w:p w14:paraId="3D1D746A">
      <w:pPr>
        <w:spacing w:line="44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甲方（盖章）：_________               乙方（盖章）：_________</w:t>
      </w:r>
    </w:p>
    <w:p w14:paraId="35E3D13B">
      <w:pPr>
        <w:spacing w:line="44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法定代表人（签字）：_________         法定代表人（签字）：_________</w:t>
      </w:r>
    </w:p>
    <w:p w14:paraId="387902FA">
      <w:pPr>
        <w:spacing w:line="44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_________年____月____日               _________年____月____日</w:t>
      </w:r>
    </w:p>
    <w:p w14:paraId="2E0F4A2A">
      <w:pPr>
        <w:rPr>
          <w:color w:val="auto"/>
          <w:highlight w:val="none"/>
        </w:rPr>
      </w:pPr>
      <w:bookmarkStart w:id="254" w:name="_Toc25464"/>
      <w:r>
        <w:rPr>
          <w:rFonts w:hint="eastAsia" w:ascii="宋体" w:hAnsi="宋体"/>
          <w:bCs/>
          <w:color w:val="auto"/>
          <w:szCs w:val="21"/>
          <w:highlight w:val="none"/>
        </w:rPr>
        <w:t>签订地点：_________                   签订地点：_________</w:t>
      </w:r>
      <w:bookmarkEnd w:id="254"/>
    </w:p>
    <w:p w14:paraId="018029AC">
      <w:pPr>
        <w:adjustRightInd w:val="0"/>
        <w:spacing w:line="360" w:lineRule="auto"/>
        <w:ind w:firstLine="480" w:firstLineChars="200"/>
        <w:textAlignment w:val="baseline"/>
        <w:rPr>
          <w:rFonts w:ascii="宋体" w:hAnsi="宋体" w:cs="宋体"/>
          <w:color w:val="auto"/>
          <w:sz w:val="24"/>
          <w:highlight w:val="none"/>
        </w:rPr>
      </w:pPr>
      <w:bookmarkStart w:id="255" w:name="_Toc12807"/>
    </w:p>
    <w:p w14:paraId="19E742C0">
      <w:pPr>
        <w:pStyle w:val="14"/>
        <w:jc w:val="center"/>
        <w:rPr>
          <w:rFonts w:asciiTheme="minorEastAsia" w:hAnsiTheme="minorEastAsia" w:eastAsiaTheme="minorEastAsia" w:cstheme="minorEastAsia"/>
          <w:b/>
          <w:bCs/>
          <w:color w:val="auto"/>
          <w:sz w:val="21"/>
          <w:szCs w:val="21"/>
          <w:highlight w:val="none"/>
        </w:rPr>
      </w:pPr>
    </w:p>
    <w:p w14:paraId="63E80050">
      <w:pPr>
        <w:pStyle w:val="14"/>
        <w:jc w:val="center"/>
        <w:rPr>
          <w:rFonts w:asciiTheme="minorEastAsia" w:hAnsiTheme="minorEastAsia" w:eastAsiaTheme="minorEastAsia" w:cstheme="minorEastAsia"/>
          <w:b/>
          <w:bCs/>
          <w:color w:val="auto"/>
          <w:sz w:val="21"/>
          <w:szCs w:val="21"/>
          <w:highlight w:val="none"/>
        </w:rPr>
      </w:pPr>
    </w:p>
    <w:p w14:paraId="10618FEC">
      <w:pPr>
        <w:pStyle w:val="14"/>
        <w:jc w:val="center"/>
        <w:rPr>
          <w:rFonts w:asciiTheme="minorEastAsia" w:hAnsiTheme="minorEastAsia" w:eastAsiaTheme="minorEastAsia" w:cstheme="minorEastAsia"/>
          <w:b/>
          <w:bCs/>
          <w:color w:val="auto"/>
          <w:sz w:val="21"/>
          <w:szCs w:val="21"/>
          <w:highlight w:val="none"/>
        </w:rPr>
      </w:pPr>
    </w:p>
    <w:p w14:paraId="51976B5E">
      <w:pPr>
        <w:pStyle w:val="14"/>
        <w:jc w:val="center"/>
        <w:rPr>
          <w:rFonts w:asciiTheme="minorEastAsia" w:hAnsiTheme="minorEastAsia" w:eastAsiaTheme="minorEastAsia" w:cstheme="minorEastAsia"/>
          <w:b/>
          <w:bCs/>
          <w:color w:val="auto"/>
          <w:sz w:val="21"/>
          <w:szCs w:val="21"/>
          <w:highlight w:val="none"/>
        </w:rPr>
      </w:pPr>
    </w:p>
    <w:p w14:paraId="2A0DCC85">
      <w:pPr>
        <w:pStyle w:val="14"/>
        <w:jc w:val="center"/>
        <w:rPr>
          <w:rFonts w:asciiTheme="minorEastAsia" w:hAnsiTheme="minorEastAsia" w:eastAsiaTheme="minorEastAsia" w:cstheme="minorEastAsia"/>
          <w:b/>
          <w:bCs/>
          <w:color w:val="auto"/>
          <w:sz w:val="21"/>
          <w:szCs w:val="21"/>
          <w:highlight w:val="none"/>
        </w:rPr>
      </w:pPr>
    </w:p>
    <w:p w14:paraId="48F79EE7">
      <w:pPr>
        <w:pStyle w:val="14"/>
        <w:jc w:val="center"/>
        <w:rPr>
          <w:rFonts w:asciiTheme="minorEastAsia" w:hAnsiTheme="minorEastAsia" w:eastAsiaTheme="minorEastAsia" w:cstheme="minorEastAsia"/>
          <w:b/>
          <w:bCs/>
          <w:color w:val="auto"/>
          <w:sz w:val="21"/>
          <w:szCs w:val="21"/>
          <w:highlight w:val="none"/>
        </w:rPr>
      </w:pPr>
    </w:p>
    <w:p w14:paraId="0BEFE2AF">
      <w:pPr>
        <w:pStyle w:val="14"/>
        <w:jc w:val="center"/>
        <w:rPr>
          <w:rFonts w:asciiTheme="minorEastAsia" w:hAnsiTheme="minorEastAsia" w:eastAsiaTheme="minorEastAsia" w:cstheme="minorEastAsia"/>
          <w:b/>
          <w:bCs/>
          <w:color w:val="auto"/>
          <w:sz w:val="21"/>
          <w:szCs w:val="21"/>
          <w:highlight w:val="none"/>
        </w:rPr>
      </w:pPr>
    </w:p>
    <w:p w14:paraId="0FE01EE3">
      <w:pPr>
        <w:pStyle w:val="14"/>
        <w:jc w:val="center"/>
        <w:rPr>
          <w:rFonts w:asciiTheme="minorEastAsia" w:hAnsiTheme="minorEastAsia" w:eastAsiaTheme="minorEastAsia" w:cstheme="minorEastAsia"/>
          <w:b/>
          <w:bCs/>
          <w:color w:val="auto"/>
          <w:sz w:val="21"/>
          <w:szCs w:val="21"/>
          <w:highlight w:val="none"/>
        </w:rPr>
      </w:pPr>
    </w:p>
    <w:p w14:paraId="65E80A09">
      <w:pPr>
        <w:pStyle w:val="14"/>
        <w:jc w:val="center"/>
        <w:rPr>
          <w:rFonts w:asciiTheme="minorEastAsia" w:hAnsiTheme="minorEastAsia" w:eastAsiaTheme="minorEastAsia" w:cstheme="minorEastAsia"/>
          <w:b/>
          <w:bCs/>
          <w:color w:val="auto"/>
          <w:sz w:val="21"/>
          <w:szCs w:val="21"/>
          <w:highlight w:val="none"/>
        </w:rPr>
      </w:pPr>
    </w:p>
    <w:p w14:paraId="04F6C767">
      <w:pPr>
        <w:pStyle w:val="14"/>
        <w:jc w:val="center"/>
        <w:rPr>
          <w:rFonts w:asciiTheme="minorEastAsia" w:hAnsiTheme="minorEastAsia" w:eastAsiaTheme="minorEastAsia" w:cstheme="minorEastAsia"/>
          <w:b/>
          <w:bCs/>
          <w:color w:val="auto"/>
          <w:sz w:val="21"/>
          <w:szCs w:val="21"/>
          <w:highlight w:val="none"/>
        </w:rPr>
      </w:pPr>
    </w:p>
    <w:p w14:paraId="41C753F0">
      <w:pPr>
        <w:pStyle w:val="14"/>
        <w:jc w:val="center"/>
        <w:rPr>
          <w:rFonts w:asciiTheme="minorEastAsia" w:hAnsiTheme="minorEastAsia" w:eastAsiaTheme="minorEastAsia" w:cstheme="minorEastAsia"/>
          <w:b/>
          <w:bCs/>
          <w:color w:val="auto"/>
          <w:sz w:val="21"/>
          <w:szCs w:val="21"/>
          <w:highlight w:val="none"/>
        </w:rPr>
      </w:pPr>
    </w:p>
    <w:p w14:paraId="742707AA">
      <w:pPr>
        <w:pStyle w:val="14"/>
        <w:jc w:val="center"/>
        <w:rPr>
          <w:rFonts w:asciiTheme="minorEastAsia" w:hAnsiTheme="minorEastAsia" w:eastAsiaTheme="minorEastAsia" w:cstheme="minorEastAsia"/>
          <w:b/>
          <w:bCs/>
          <w:color w:val="auto"/>
          <w:sz w:val="21"/>
          <w:szCs w:val="21"/>
          <w:highlight w:val="none"/>
        </w:rPr>
      </w:pPr>
    </w:p>
    <w:p w14:paraId="27D222B7">
      <w:pPr>
        <w:pStyle w:val="14"/>
        <w:jc w:val="center"/>
        <w:rPr>
          <w:rFonts w:asciiTheme="minorEastAsia" w:hAnsiTheme="minorEastAsia" w:eastAsiaTheme="minorEastAsia" w:cstheme="minorEastAsia"/>
          <w:b/>
          <w:bCs/>
          <w:color w:val="auto"/>
          <w:sz w:val="21"/>
          <w:szCs w:val="21"/>
          <w:highlight w:val="none"/>
        </w:rPr>
      </w:pPr>
    </w:p>
    <w:p w14:paraId="2E356F2D">
      <w:pPr>
        <w:pStyle w:val="14"/>
        <w:jc w:val="both"/>
        <w:rPr>
          <w:b/>
          <w:bCs/>
          <w:color w:val="auto"/>
          <w:sz w:val="32"/>
          <w:szCs w:val="32"/>
          <w:highlight w:val="none"/>
        </w:rPr>
      </w:pPr>
    </w:p>
    <w:p w14:paraId="58164B3A">
      <w:pPr>
        <w:pStyle w:val="14"/>
        <w:numPr>
          <w:ilvl w:val="0"/>
          <w:numId w:val="5"/>
        </w:numPr>
        <w:jc w:val="center"/>
        <w:outlineLvl w:val="0"/>
        <w:rPr>
          <w:b/>
          <w:bCs/>
          <w:color w:val="auto"/>
          <w:sz w:val="32"/>
          <w:szCs w:val="32"/>
          <w:highlight w:val="none"/>
        </w:rPr>
      </w:pPr>
      <w:r>
        <w:rPr>
          <w:rFonts w:hint="eastAsia"/>
          <w:b/>
          <w:bCs/>
          <w:color w:val="auto"/>
          <w:sz w:val="32"/>
          <w:szCs w:val="32"/>
          <w:highlight w:val="none"/>
        </w:rPr>
        <w:t xml:space="preserve">  </w:t>
      </w:r>
      <w:bookmarkStart w:id="256" w:name="_Toc6692"/>
      <w:r>
        <w:rPr>
          <w:rFonts w:hint="eastAsia"/>
          <w:b/>
          <w:bCs/>
          <w:color w:val="auto"/>
          <w:sz w:val="32"/>
          <w:szCs w:val="32"/>
          <w:highlight w:val="none"/>
        </w:rPr>
        <w:t>采购内容及技术要求</w:t>
      </w:r>
      <w:bookmarkEnd w:id="256"/>
    </w:p>
    <w:p w14:paraId="33721C86">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项目概况</w:t>
      </w:r>
    </w:p>
    <w:p w14:paraId="245CF21D">
      <w:pPr>
        <w:pStyle w:val="3"/>
        <w:spacing w:before="139" w:line="311" w:lineRule="auto"/>
        <w:ind w:left="1" w:right="291" w:firstLine="72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8"/>
        </w:rPr>
        <w:t>博爱县城管局通过公开招标选定博爱县垃圾处理场</w:t>
      </w:r>
      <w:r>
        <w:rPr>
          <w:rFonts w:hint="eastAsia" w:asciiTheme="minorEastAsia" w:hAnsiTheme="minorEastAsia" w:eastAsiaTheme="minorEastAsia" w:cstheme="minorEastAsia"/>
          <w:spacing w:val="3"/>
        </w:rPr>
        <w:t>渗滤液处理设备及运行提标改造项目的中标人，由中标人</w:t>
      </w:r>
      <w:r>
        <w:rPr>
          <w:rFonts w:hint="eastAsia" w:asciiTheme="minorEastAsia" w:hAnsiTheme="minorEastAsia" w:eastAsiaTheme="minorEastAsia" w:cstheme="minorEastAsia"/>
          <w:spacing w:val="-1"/>
        </w:rPr>
        <w:t>提供日处理垃圾渗滤液</w:t>
      </w:r>
      <w:r>
        <w:rPr>
          <w:rFonts w:hint="eastAsia" w:asciiTheme="minorEastAsia" w:hAnsiTheme="minorEastAsia" w:eastAsiaTheme="minorEastAsia" w:cstheme="minorEastAsia"/>
          <w:spacing w:val="-28"/>
        </w:rPr>
        <w:t xml:space="preserve"> </w:t>
      </w:r>
      <w:r>
        <w:rPr>
          <w:rFonts w:hint="eastAsia" w:asciiTheme="minorEastAsia" w:hAnsiTheme="minorEastAsia" w:eastAsiaTheme="minorEastAsia" w:cstheme="minorEastAsia"/>
          <w:spacing w:val="-1"/>
        </w:rPr>
        <w:t>100吨的设备，并负责运行、维护</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5"/>
        </w:rPr>
        <w:t>等工作，按照《城市生活垃圾卫生填埋处理技</w:t>
      </w:r>
      <w:r>
        <w:rPr>
          <w:rFonts w:hint="eastAsia" w:asciiTheme="minorEastAsia" w:hAnsiTheme="minorEastAsia" w:eastAsiaTheme="minorEastAsia" w:cstheme="minorEastAsia"/>
          <w:spacing w:val="-16"/>
        </w:rPr>
        <w:t>术规范》（GB</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4"/>
        </w:rPr>
        <w:t>50869-2013）渗滤液处理相关技术要求进行处理，出水满</w:t>
      </w:r>
      <w:r>
        <w:rPr>
          <w:rFonts w:hint="eastAsia" w:asciiTheme="minorEastAsia" w:hAnsiTheme="minorEastAsia" w:eastAsiaTheme="minorEastAsia" w:cstheme="minorEastAsia"/>
          <w:spacing w:val="15"/>
        </w:rPr>
        <w:t xml:space="preserve"> </w:t>
      </w:r>
      <w:r>
        <w:rPr>
          <w:rFonts w:hint="eastAsia" w:asciiTheme="minorEastAsia" w:hAnsiTheme="minorEastAsia" w:eastAsiaTheme="minorEastAsia" w:cstheme="minorEastAsia"/>
          <w:spacing w:val="7"/>
        </w:rPr>
        <w:t>足生活垃圾填埋场污染控制标准（</w:t>
      </w:r>
      <w:r>
        <w:rPr>
          <w:rFonts w:hint="eastAsia" w:asciiTheme="minorEastAsia" w:hAnsiTheme="minorEastAsia" w:eastAsiaTheme="minorEastAsia" w:cstheme="minorEastAsia"/>
        </w:rPr>
        <w:t>GB</w:t>
      </w:r>
      <w:r>
        <w:rPr>
          <w:rFonts w:hint="eastAsia" w:asciiTheme="minorEastAsia" w:hAnsiTheme="minorEastAsia" w:eastAsiaTheme="minorEastAsia" w:cstheme="minorEastAsia"/>
          <w:spacing w:val="7"/>
        </w:rPr>
        <w:t>16889-2008）表二</w:t>
      </w:r>
      <w:r>
        <w:rPr>
          <w:rFonts w:hint="eastAsia" w:asciiTheme="minorEastAsia" w:hAnsiTheme="minorEastAsia" w:eastAsiaTheme="minorEastAsia" w:cstheme="minorEastAsia"/>
          <w:spacing w:val="5"/>
        </w:rPr>
        <w:t>标准后排放。</w:t>
      </w:r>
    </w:p>
    <w:p w14:paraId="4F446F90">
      <w:pPr>
        <w:pStyle w:val="3"/>
        <w:spacing w:before="70" w:line="461"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2"/>
          <w:sz w:val="24"/>
          <w:szCs w:val="24"/>
          <w:lang w:val="en-US" w:eastAsia="zh-CN"/>
        </w:rPr>
        <w:t>二、</w:t>
      </w:r>
      <w:r>
        <w:rPr>
          <w:rFonts w:hint="eastAsia" w:asciiTheme="minorEastAsia" w:hAnsiTheme="minorEastAsia" w:eastAsiaTheme="minorEastAsia" w:cstheme="minorEastAsia"/>
          <w:b/>
          <w:bCs/>
          <w:spacing w:val="-1"/>
          <w:position w:val="2"/>
          <w:sz w:val="24"/>
          <w:szCs w:val="24"/>
        </w:rPr>
        <w:t>运行期限</w:t>
      </w:r>
    </w:p>
    <w:p w14:paraId="2E3BA001">
      <w:pPr>
        <w:pStyle w:val="3"/>
        <w:spacing w:before="138" w:line="298" w:lineRule="auto"/>
        <w:ind w:left="15" w:right="291" w:firstLine="70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运行期限为</w:t>
      </w:r>
      <w:r>
        <w:rPr>
          <w:rFonts w:hint="eastAsia" w:asciiTheme="minorEastAsia" w:hAnsiTheme="minorEastAsia" w:eastAsiaTheme="minorEastAsia" w:cstheme="minorEastAsia"/>
          <w:spacing w:val="-61"/>
        </w:rPr>
        <w:t xml:space="preserve"> </w:t>
      </w:r>
      <w:r>
        <w:rPr>
          <w:rFonts w:hint="eastAsia" w:asciiTheme="minorEastAsia" w:hAnsiTheme="minorEastAsia" w:eastAsiaTheme="minorEastAsia" w:cstheme="minorEastAsia"/>
          <w:spacing w:val="-7"/>
        </w:rPr>
        <w:t>2年（自设备正常运行，达标排放开始计</w:t>
      </w:r>
      <w:r>
        <w:rPr>
          <w:rFonts w:hint="eastAsia" w:asciiTheme="minorEastAsia" w:hAnsiTheme="minorEastAsia" w:eastAsiaTheme="minorEastAsia" w:cstheme="minorEastAsia"/>
          <w:spacing w:val="-5"/>
        </w:rPr>
        <w:t>算</w:t>
      </w:r>
      <w:r>
        <w:rPr>
          <w:rFonts w:hint="eastAsia" w:asciiTheme="minorEastAsia" w:hAnsiTheme="minorEastAsia" w:eastAsiaTheme="minorEastAsia" w:cstheme="minorEastAsia"/>
          <w:spacing w:val="-71"/>
        </w:rPr>
        <w:t xml:space="preserve"> </w:t>
      </w:r>
      <w:r>
        <w:rPr>
          <w:rFonts w:hint="eastAsia" w:asciiTheme="minorEastAsia" w:hAnsiTheme="minorEastAsia" w:eastAsiaTheme="minorEastAsia" w:cstheme="minorEastAsia"/>
          <w:spacing w:val="-5"/>
        </w:rPr>
        <w:t>日期</w:t>
      </w:r>
      <w:r>
        <w:rPr>
          <w:rFonts w:hint="eastAsia" w:asciiTheme="minorEastAsia" w:hAnsiTheme="minorEastAsia" w:eastAsiaTheme="minorEastAsia" w:cstheme="minorEastAsia"/>
          <w:spacing w:val="3"/>
        </w:rPr>
        <w:t>）</w:t>
      </w:r>
    </w:p>
    <w:p w14:paraId="0CD769DE">
      <w:pPr>
        <w:pStyle w:val="3"/>
        <w:spacing w:before="71" w:line="465"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82"/>
          <w:position w:val="1"/>
          <w:sz w:val="24"/>
          <w:szCs w:val="24"/>
        </w:rPr>
        <w:t xml:space="preserve"> </w:t>
      </w:r>
      <w:r>
        <w:rPr>
          <w:rFonts w:hint="eastAsia" w:asciiTheme="minorEastAsia" w:hAnsiTheme="minorEastAsia" w:eastAsiaTheme="minorEastAsia" w:cstheme="minorEastAsia"/>
          <w:b/>
          <w:bCs/>
          <w:spacing w:val="-2"/>
          <w:position w:val="1"/>
          <w:sz w:val="24"/>
          <w:szCs w:val="24"/>
        </w:rPr>
        <w:t>三</w:t>
      </w:r>
      <w:r>
        <w:rPr>
          <w:rFonts w:hint="eastAsia" w:asciiTheme="minorEastAsia" w:hAnsiTheme="minorEastAsia" w:eastAsiaTheme="minorEastAsia" w:cstheme="minorEastAsia"/>
          <w:b/>
          <w:bCs/>
          <w:spacing w:val="-2"/>
          <w:position w:val="1"/>
          <w:sz w:val="24"/>
          <w:szCs w:val="24"/>
          <w:lang w:eastAsia="zh-CN"/>
        </w:rPr>
        <w:t>、</w:t>
      </w:r>
      <w:r>
        <w:rPr>
          <w:rFonts w:hint="eastAsia" w:asciiTheme="minorEastAsia" w:hAnsiTheme="minorEastAsia" w:eastAsiaTheme="minorEastAsia" w:cstheme="minorEastAsia"/>
          <w:b/>
          <w:bCs/>
          <w:spacing w:val="-2"/>
          <w:position w:val="1"/>
          <w:sz w:val="24"/>
          <w:szCs w:val="24"/>
        </w:rPr>
        <w:t>付款方式</w:t>
      </w:r>
    </w:p>
    <w:p w14:paraId="2F5DCC17">
      <w:pPr>
        <w:pStyle w:val="3"/>
        <w:spacing w:before="136" w:line="298" w:lineRule="auto"/>
        <w:ind w:firstLine="724"/>
        <w:rPr>
          <w:rFonts w:hint="eastAsia" w:asciiTheme="minorEastAsia" w:hAnsiTheme="minorEastAsia" w:eastAsiaTheme="minorEastAsia" w:cstheme="minorEastAsia"/>
        </w:rPr>
      </w:pPr>
      <w:r>
        <w:rPr>
          <w:rFonts w:hint="eastAsia" w:asciiTheme="minorEastAsia" w:hAnsiTheme="minorEastAsia" w:eastAsiaTheme="minorEastAsia" w:cstheme="minorEastAsia"/>
        </w:rPr>
        <w:t>运行费用依据运行记录，检测结果等确定达标</w:t>
      </w:r>
      <w:r>
        <w:rPr>
          <w:rFonts w:hint="eastAsia" w:asciiTheme="minorEastAsia" w:hAnsiTheme="minorEastAsia" w:eastAsiaTheme="minorEastAsia" w:cstheme="minorEastAsia"/>
          <w:spacing w:val="-1"/>
        </w:rPr>
        <w:t>处理量，</w:t>
      </w:r>
      <w:r>
        <w:rPr>
          <w:rFonts w:hint="eastAsia" w:asciiTheme="minorEastAsia" w:hAnsiTheme="minorEastAsia" w:eastAsiaTheme="minorEastAsia" w:cstheme="minorEastAsia"/>
          <w:spacing w:val="6"/>
        </w:rPr>
        <w:t>每季度支付一次。</w:t>
      </w:r>
    </w:p>
    <w:p w14:paraId="701D6E11">
      <w:pPr>
        <w:pStyle w:val="3"/>
        <w:spacing w:before="69" w:line="464"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58"/>
          <w:position w:val="1"/>
          <w:sz w:val="24"/>
          <w:szCs w:val="24"/>
        </w:rPr>
        <w:t xml:space="preserve"> </w:t>
      </w:r>
      <w:r>
        <w:rPr>
          <w:rFonts w:hint="eastAsia" w:asciiTheme="minorEastAsia" w:hAnsiTheme="minorEastAsia" w:eastAsiaTheme="minorEastAsia" w:cstheme="minorEastAsia"/>
          <w:b/>
          <w:bCs/>
          <w:spacing w:val="-2"/>
          <w:position w:val="1"/>
          <w:sz w:val="24"/>
          <w:szCs w:val="24"/>
        </w:rPr>
        <w:t>四</w:t>
      </w:r>
      <w:r>
        <w:rPr>
          <w:rFonts w:hint="eastAsia" w:asciiTheme="minorEastAsia" w:hAnsiTheme="minorEastAsia" w:eastAsiaTheme="minorEastAsia" w:cstheme="minorEastAsia"/>
          <w:b/>
          <w:bCs/>
          <w:spacing w:val="-2"/>
          <w:position w:val="1"/>
          <w:sz w:val="24"/>
          <w:szCs w:val="24"/>
          <w:lang w:eastAsia="zh-CN"/>
        </w:rPr>
        <w:t>、</w:t>
      </w:r>
      <w:r>
        <w:rPr>
          <w:rFonts w:hint="eastAsia" w:asciiTheme="minorEastAsia" w:hAnsiTheme="minorEastAsia" w:eastAsiaTheme="minorEastAsia" w:cstheme="minorEastAsia"/>
          <w:b/>
          <w:bCs/>
          <w:spacing w:val="-2"/>
          <w:position w:val="1"/>
          <w:sz w:val="24"/>
          <w:szCs w:val="24"/>
        </w:rPr>
        <w:t>项目具体要求</w:t>
      </w:r>
    </w:p>
    <w:p w14:paraId="5EA2638C">
      <w:pPr>
        <w:pStyle w:val="3"/>
        <w:spacing w:before="136" w:line="463" w:lineRule="exact"/>
        <w:ind w:firstLine="428"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position w:val="1"/>
        </w:rPr>
        <w:t>具有渗滤液处理设备和工艺技术，具有相应的专业技</w:t>
      </w:r>
      <w:r>
        <w:rPr>
          <w:rFonts w:hint="eastAsia" w:asciiTheme="minorEastAsia" w:hAnsiTheme="minorEastAsia" w:eastAsiaTheme="minorEastAsia" w:cstheme="minorEastAsia"/>
          <w:spacing w:val="6"/>
          <w:position w:val="1"/>
        </w:rPr>
        <w:t>术队伍和经营管理经验。</w:t>
      </w:r>
      <w:r>
        <w:rPr>
          <w:rFonts w:hint="eastAsia" w:asciiTheme="minorEastAsia" w:hAnsiTheme="minorEastAsia" w:eastAsiaTheme="minorEastAsia" w:cstheme="minorEastAsia"/>
          <w:spacing w:val="2"/>
        </w:rPr>
        <w:t>日处理垃圾渗滤液原液</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spacing w:val="2"/>
        </w:rPr>
        <w:t>100吨</w:t>
      </w:r>
      <w:r>
        <w:rPr>
          <w:rFonts w:hint="eastAsia" w:asciiTheme="minorEastAsia" w:hAnsiTheme="minorEastAsia" w:eastAsiaTheme="minorEastAsia" w:cstheme="minorEastAsia"/>
          <w:spacing w:val="-102"/>
        </w:rPr>
        <w:t xml:space="preserve"> </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spacing w:val="-101"/>
        </w:rPr>
        <w:t xml:space="preserve"> </w:t>
      </w:r>
      <w:r>
        <w:rPr>
          <w:rFonts w:hint="eastAsia" w:asciiTheme="minorEastAsia" w:hAnsiTheme="minorEastAsia" w:eastAsiaTheme="minorEastAsia" w:cstheme="minorEastAsia"/>
          <w:spacing w:val="2"/>
        </w:rPr>
        <w:t>中水产生量不低于</w:t>
      </w:r>
      <w:r>
        <w:rPr>
          <w:rFonts w:hint="eastAsia" w:asciiTheme="minorEastAsia" w:hAnsiTheme="minorEastAsia" w:eastAsiaTheme="minorEastAsia" w:cstheme="minorEastAsia"/>
          <w:spacing w:val="7"/>
        </w:rPr>
        <w:t>70%需在规定时间内建成投用。</w:t>
      </w:r>
      <w:r>
        <w:rPr>
          <w:rFonts w:hint="eastAsia" w:asciiTheme="minorEastAsia" w:hAnsiTheme="minorEastAsia" w:eastAsiaTheme="minorEastAsia" w:cstheme="minorEastAsia"/>
          <w:spacing w:val="18"/>
        </w:rPr>
        <w:t>必须按照《城市生活垃圾卫生填埋处理技术规范》</w:t>
      </w:r>
      <w:r>
        <w:rPr>
          <w:rFonts w:hint="eastAsia" w:asciiTheme="minorEastAsia" w:hAnsiTheme="minorEastAsia" w:eastAsiaTheme="minorEastAsia" w:cstheme="minorEastAsia"/>
          <w:spacing w:val="12"/>
        </w:rPr>
        <w:t>（</w:t>
      </w:r>
      <w:r>
        <w:rPr>
          <w:rFonts w:hint="eastAsia" w:asciiTheme="minorEastAsia" w:hAnsiTheme="minorEastAsia" w:eastAsiaTheme="minorEastAsia" w:cstheme="minorEastAsia"/>
        </w:rPr>
        <w:t>GB</w:t>
      </w:r>
      <w:r>
        <w:rPr>
          <w:rFonts w:hint="eastAsia" w:asciiTheme="minorEastAsia" w:hAnsiTheme="minorEastAsia" w:eastAsiaTheme="minorEastAsia" w:cstheme="minorEastAsia"/>
          <w:spacing w:val="12"/>
        </w:rPr>
        <w:t xml:space="preserve"> 50869-2013）渗滤液处理相关技术</w:t>
      </w:r>
      <w:r>
        <w:rPr>
          <w:rFonts w:hint="eastAsia" w:asciiTheme="minorEastAsia" w:hAnsiTheme="minorEastAsia" w:eastAsiaTheme="minorEastAsia" w:cstheme="minorEastAsia"/>
          <w:spacing w:val="11"/>
        </w:rPr>
        <w:t>要求进行处理</w:t>
      </w:r>
      <w:r>
        <w:rPr>
          <w:rFonts w:hint="eastAsia" w:asciiTheme="minorEastAsia" w:hAnsiTheme="minorEastAsia" w:eastAsiaTheme="minorEastAsia" w:cstheme="minorEastAsia"/>
          <w:spacing w:val="11"/>
          <w:lang w:eastAsia="zh-CN"/>
        </w:rPr>
        <w:t>，</w:t>
      </w:r>
      <w:r>
        <w:rPr>
          <w:rFonts w:hint="eastAsia" w:asciiTheme="minorEastAsia" w:hAnsiTheme="minorEastAsia" w:eastAsiaTheme="minorEastAsia" w:cstheme="minorEastAsia"/>
          <w:spacing w:val="3"/>
        </w:rPr>
        <w:t>出水满足生活垃圾填埋场污染控制标准（</w:t>
      </w:r>
      <w:r>
        <w:rPr>
          <w:rFonts w:hint="eastAsia" w:asciiTheme="minorEastAsia" w:hAnsiTheme="minorEastAsia" w:eastAsiaTheme="minorEastAsia" w:cstheme="minorEastAsia"/>
        </w:rPr>
        <w:t>GB</w:t>
      </w:r>
      <w:r>
        <w:rPr>
          <w:rFonts w:hint="eastAsia" w:asciiTheme="minorEastAsia" w:hAnsiTheme="minorEastAsia" w:eastAsiaTheme="minorEastAsia" w:cstheme="minorEastAsia"/>
          <w:spacing w:val="46"/>
        </w:rPr>
        <w:t xml:space="preserve"> </w:t>
      </w:r>
      <w:r>
        <w:rPr>
          <w:rFonts w:hint="eastAsia" w:asciiTheme="minorEastAsia" w:hAnsiTheme="minorEastAsia" w:eastAsiaTheme="minorEastAsia" w:cstheme="minorEastAsia"/>
          <w:spacing w:val="3"/>
        </w:rPr>
        <w:t>16889-</w:t>
      </w:r>
      <w:r>
        <w:rPr>
          <w:rFonts w:hint="eastAsia" w:asciiTheme="minorEastAsia" w:hAnsiTheme="minorEastAsia" w:eastAsiaTheme="minorEastAsia" w:cstheme="minorEastAsia"/>
          <w:spacing w:val="2"/>
        </w:rPr>
        <w:t>2008）</w:t>
      </w:r>
      <w:r>
        <w:rPr>
          <w:rFonts w:hint="eastAsia" w:asciiTheme="minorEastAsia" w:hAnsiTheme="minorEastAsia" w:eastAsiaTheme="minorEastAsia" w:cstheme="minorEastAsia"/>
          <w:spacing w:val="10"/>
        </w:rPr>
        <w:t>表二标准后排放。</w:t>
      </w:r>
    </w:p>
    <w:p w14:paraId="058920FD">
      <w:pPr>
        <w:pStyle w:val="3"/>
        <w:spacing w:before="70" w:line="464"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position w:val="2"/>
          <w:sz w:val="24"/>
          <w:szCs w:val="24"/>
        </w:rPr>
        <w:t>五</w:t>
      </w:r>
      <w:r>
        <w:rPr>
          <w:rFonts w:hint="eastAsia" w:asciiTheme="minorEastAsia" w:hAnsiTheme="minorEastAsia" w:eastAsiaTheme="minorEastAsia" w:cstheme="minorEastAsia"/>
          <w:b/>
          <w:bCs/>
          <w:spacing w:val="-94"/>
          <w:position w:val="2"/>
          <w:sz w:val="24"/>
          <w:szCs w:val="24"/>
        </w:rPr>
        <w:t xml:space="preserve"> </w:t>
      </w:r>
      <w:r>
        <w:rPr>
          <w:rFonts w:hint="eastAsia" w:asciiTheme="minorEastAsia" w:hAnsiTheme="minorEastAsia" w:eastAsiaTheme="minorEastAsia" w:cstheme="minorEastAsia"/>
          <w:b/>
          <w:bCs/>
          <w:spacing w:val="-94"/>
          <w:position w:val="2"/>
          <w:sz w:val="24"/>
          <w:szCs w:val="24"/>
          <w:lang w:eastAsia="zh-CN"/>
        </w:rPr>
        <w:t>、</w:t>
      </w:r>
      <w:r>
        <w:rPr>
          <w:rFonts w:hint="eastAsia" w:asciiTheme="minorEastAsia" w:hAnsiTheme="minorEastAsia" w:eastAsiaTheme="minorEastAsia" w:cstheme="minorEastAsia"/>
          <w:b/>
          <w:bCs/>
          <w:spacing w:val="2"/>
          <w:position w:val="2"/>
          <w:sz w:val="24"/>
          <w:szCs w:val="24"/>
        </w:rPr>
        <w:t>中标企业权益</w:t>
      </w:r>
    </w:p>
    <w:p w14:paraId="2CBEA130">
      <w:pPr>
        <w:pStyle w:val="3"/>
        <w:spacing w:before="136" w:line="304" w:lineRule="auto"/>
        <w:ind w:right="314" w:firstLine="49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8"/>
        </w:rPr>
        <w:t>博爱县城市管理局管理协调</w:t>
      </w:r>
      <w:r>
        <w:rPr>
          <w:rFonts w:hint="eastAsia" w:asciiTheme="minorEastAsia" w:hAnsiTheme="minorEastAsia" w:eastAsiaTheme="minorEastAsia" w:cstheme="minorEastAsia"/>
          <w:spacing w:val="5"/>
        </w:rPr>
        <w:t>中标人</w:t>
      </w:r>
      <w:r>
        <w:rPr>
          <w:rFonts w:hint="eastAsia" w:asciiTheme="minorEastAsia" w:hAnsiTheme="minorEastAsia" w:eastAsiaTheme="minorEastAsia" w:cstheme="minorEastAsia"/>
          <w:spacing w:val="18"/>
        </w:rPr>
        <w:t>的博爱县垃</w:t>
      </w:r>
      <w:r>
        <w:rPr>
          <w:rFonts w:hint="eastAsia" w:asciiTheme="minorEastAsia" w:hAnsiTheme="minorEastAsia" w:eastAsiaTheme="minorEastAsia" w:cstheme="minorEastAsia"/>
          <w:spacing w:val="13"/>
        </w:rPr>
        <w:t>圾处理场渗滤液处理设备及运行提标改造项</w:t>
      </w:r>
      <w:r>
        <w:rPr>
          <w:rFonts w:hint="eastAsia" w:asciiTheme="minorEastAsia" w:hAnsiTheme="minorEastAsia" w:eastAsiaTheme="minorEastAsia" w:cstheme="minorEastAsia"/>
          <w:spacing w:val="-66"/>
        </w:rPr>
        <w:t xml:space="preserve"> </w:t>
      </w:r>
      <w:r>
        <w:rPr>
          <w:rFonts w:hint="eastAsia" w:asciiTheme="minorEastAsia" w:hAnsiTheme="minorEastAsia" w:eastAsiaTheme="minorEastAsia" w:cstheme="minorEastAsia"/>
          <w:spacing w:val="13"/>
        </w:rPr>
        <w:t>目的具体实</w:t>
      </w:r>
      <w:r>
        <w:rPr>
          <w:rFonts w:hint="eastAsia" w:asciiTheme="minorEastAsia" w:hAnsiTheme="minorEastAsia" w:eastAsiaTheme="minorEastAsia" w:cstheme="minorEastAsia"/>
          <w:spacing w:val="8"/>
        </w:rPr>
        <w:t>施。由公开招投标产生的中标企业享有以下权益:</w:t>
      </w:r>
    </w:p>
    <w:p w14:paraId="25A47FB6">
      <w:pPr>
        <w:pStyle w:val="3"/>
        <w:spacing w:before="69" w:line="299" w:lineRule="auto"/>
        <w:ind w:right="314" w:firstLine="44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1.项目建设用地位于现垃圾处理场内，中标人无</w:t>
      </w:r>
      <w:r>
        <w:rPr>
          <w:rFonts w:hint="eastAsia" w:asciiTheme="minorEastAsia" w:hAnsiTheme="minorEastAsia" w:eastAsiaTheme="minorEastAsia" w:cstheme="minorEastAsia"/>
          <w:spacing w:val="4"/>
        </w:rPr>
        <w:t>偿使</w:t>
      </w:r>
      <w:r>
        <w:rPr>
          <w:rFonts w:hint="eastAsia" w:asciiTheme="minorEastAsia" w:hAnsiTheme="minorEastAsia" w:eastAsiaTheme="minorEastAsia" w:cstheme="minorEastAsia"/>
          <w:spacing w:val="-7"/>
        </w:rPr>
        <w:t>用。</w:t>
      </w:r>
    </w:p>
    <w:p w14:paraId="1FD23E92">
      <w:pPr>
        <w:pStyle w:val="3"/>
        <w:spacing w:before="67" w:line="464" w:lineRule="exact"/>
        <w:ind w:firstLine="436"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position w:val="1"/>
        </w:rPr>
        <w:t>2.现有垃圾渗滤液处理设备可以利用，由中标人负责。</w:t>
      </w:r>
    </w:p>
    <w:p w14:paraId="513CC31C">
      <w:pPr>
        <w:pStyle w:val="3"/>
        <w:spacing w:before="136" w:line="464"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position w:val="1"/>
          <w:sz w:val="24"/>
          <w:szCs w:val="24"/>
        </w:rPr>
        <w:t>六</w:t>
      </w:r>
      <w:r>
        <w:rPr>
          <w:rFonts w:hint="eastAsia" w:asciiTheme="minorEastAsia" w:hAnsiTheme="minorEastAsia" w:eastAsiaTheme="minorEastAsia" w:cstheme="minorEastAsia"/>
          <w:b/>
          <w:bCs/>
          <w:spacing w:val="-2"/>
          <w:position w:val="1"/>
          <w:sz w:val="24"/>
          <w:szCs w:val="24"/>
          <w:lang w:eastAsia="zh-CN"/>
        </w:rPr>
        <w:t>、</w:t>
      </w:r>
      <w:r>
        <w:rPr>
          <w:rFonts w:hint="eastAsia" w:asciiTheme="minorEastAsia" w:hAnsiTheme="minorEastAsia" w:eastAsiaTheme="minorEastAsia" w:cstheme="minorEastAsia"/>
          <w:b/>
          <w:bCs/>
          <w:spacing w:val="-2"/>
          <w:position w:val="1"/>
          <w:sz w:val="24"/>
          <w:szCs w:val="24"/>
        </w:rPr>
        <w:t>中标企业承诺以下义务：</w:t>
      </w:r>
    </w:p>
    <w:p w14:paraId="75233A03">
      <w:pPr>
        <w:pStyle w:val="3"/>
        <w:spacing w:before="136" w:line="304" w:lineRule="auto"/>
        <w:ind w:right="314" w:firstLine="44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1.采购人免费提供场地，中标人负责设备土建及</w:t>
      </w:r>
      <w:r>
        <w:rPr>
          <w:rFonts w:hint="eastAsia" w:asciiTheme="minorEastAsia" w:hAnsiTheme="minorEastAsia" w:eastAsiaTheme="minorEastAsia" w:cstheme="minorEastAsia"/>
          <w:spacing w:val="4"/>
        </w:rPr>
        <w:t>安装</w:t>
      </w:r>
      <w:r>
        <w:rPr>
          <w:rFonts w:hint="eastAsia" w:asciiTheme="minorEastAsia" w:hAnsiTheme="minorEastAsia" w:eastAsiaTheme="minorEastAsia" w:cstheme="minorEastAsia"/>
          <w:spacing w:val="3"/>
        </w:rPr>
        <w:t>工程，并在规定期限内完成项目建成并投入运营</w:t>
      </w:r>
      <w:r>
        <w:rPr>
          <w:rFonts w:hint="eastAsia" w:asciiTheme="minorEastAsia" w:hAnsiTheme="minorEastAsia" w:eastAsiaTheme="minorEastAsia" w:cstheme="minorEastAsia"/>
          <w:spacing w:val="2"/>
        </w:rPr>
        <w:t>，否则无</w:t>
      </w:r>
      <w:r>
        <w:rPr>
          <w:rFonts w:hint="eastAsia" w:asciiTheme="minorEastAsia" w:hAnsiTheme="minorEastAsia" w:eastAsiaTheme="minorEastAsia" w:cstheme="minorEastAsia"/>
          <w:spacing w:val="3"/>
        </w:rPr>
        <w:t>条件退出。</w:t>
      </w:r>
    </w:p>
    <w:p w14:paraId="6F7AD6F0">
      <w:pPr>
        <w:pStyle w:val="3"/>
        <w:spacing w:before="113" w:line="465" w:lineRule="exact"/>
        <w:ind w:firstLine="45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2.</w:t>
      </w:r>
      <w:r>
        <w:rPr>
          <w:rFonts w:hint="eastAsia" w:asciiTheme="minorEastAsia" w:hAnsiTheme="minorEastAsia" w:eastAsiaTheme="minorEastAsia" w:cstheme="minorEastAsia"/>
          <w:spacing w:val="-37"/>
        </w:rPr>
        <w:t xml:space="preserve"> </w:t>
      </w:r>
      <w:r>
        <w:rPr>
          <w:rFonts w:hint="eastAsia" w:asciiTheme="minorEastAsia" w:hAnsiTheme="minorEastAsia" w:eastAsiaTheme="minorEastAsia" w:cstheme="minorEastAsia"/>
          <w:spacing w:val="8"/>
        </w:rPr>
        <w:t>必须按照《城市生活垃圾卫生填埋处理技术规范》</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2"/>
        </w:rPr>
        <w:t>（</w:t>
      </w:r>
      <w:r>
        <w:rPr>
          <w:rFonts w:hint="eastAsia" w:asciiTheme="minorEastAsia" w:hAnsiTheme="minorEastAsia" w:eastAsiaTheme="minorEastAsia" w:cstheme="minorEastAsia"/>
        </w:rPr>
        <w:t>GB</w:t>
      </w:r>
      <w:r>
        <w:rPr>
          <w:rFonts w:hint="eastAsia" w:asciiTheme="minorEastAsia" w:hAnsiTheme="minorEastAsia" w:eastAsiaTheme="minorEastAsia" w:cstheme="minorEastAsia"/>
          <w:spacing w:val="12"/>
        </w:rPr>
        <w:t xml:space="preserve"> 50869-2013）渗滤液处理相关技术</w:t>
      </w:r>
      <w:r>
        <w:rPr>
          <w:rFonts w:hint="eastAsia" w:asciiTheme="minorEastAsia" w:hAnsiTheme="minorEastAsia" w:eastAsiaTheme="minorEastAsia" w:cstheme="minorEastAsia"/>
          <w:spacing w:val="11"/>
        </w:rPr>
        <w:t>要求进行处理，</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3"/>
        </w:rPr>
        <w:t>出水满足生活垃圾填埋场污染控制标准（</w:t>
      </w:r>
      <w:r>
        <w:rPr>
          <w:rFonts w:hint="eastAsia" w:asciiTheme="minorEastAsia" w:hAnsiTheme="minorEastAsia" w:eastAsiaTheme="minorEastAsia" w:cstheme="minorEastAsia"/>
        </w:rPr>
        <w:t>GB</w:t>
      </w:r>
      <w:r>
        <w:rPr>
          <w:rFonts w:hint="eastAsia" w:asciiTheme="minorEastAsia" w:hAnsiTheme="minorEastAsia" w:eastAsiaTheme="minorEastAsia" w:cstheme="minorEastAsia"/>
          <w:spacing w:val="46"/>
        </w:rPr>
        <w:t xml:space="preserve"> </w:t>
      </w:r>
      <w:r>
        <w:rPr>
          <w:rFonts w:hint="eastAsia" w:asciiTheme="minorEastAsia" w:hAnsiTheme="minorEastAsia" w:eastAsiaTheme="minorEastAsia" w:cstheme="minorEastAsia"/>
          <w:spacing w:val="3"/>
        </w:rPr>
        <w:t>16889-</w:t>
      </w:r>
      <w:r>
        <w:rPr>
          <w:rFonts w:hint="eastAsia" w:asciiTheme="minorEastAsia" w:hAnsiTheme="minorEastAsia" w:eastAsiaTheme="minorEastAsia" w:cstheme="minorEastAsia"/>
          <w:spacing w:val="2"/>
        </w:rPr>
        <w:t>2008）</w:t>
      </w:r>
      <w:r>
        <w:rPr>
          <w:rFonts w:hint="eastAsia" w:asciiTheme="minorEastAsia" w:hAnsiTheme="minorEastAsia" w:eastAsiaTheme="minorEastAsia" w:cstheme="minorEastAsia"/>
          <w:spacing w:val="6"/>
          <w:position w:val="1"/>
        </w:rPr>
        <w:t>表二标准后排放。</w:t>
      </w:r>
    </w:p>
    <w:p w14:paraId="011DF530">
      <w:pPr>
        <w:pStyle w:val="3"/>
        <w:spacing w:before="70" w:line="304" w:lineRule="auto"/>
        <w:ind w:right="123" w:firstLine="444" w:firstLineChars="200"/>
        <w:jc w:val="both"/>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spacing w:val="6"/>
        </w:rPr>
        <w:t>3.城管部门负责对运行情况组织考核，环保部门负责</w:t>
      </w:r>
      <w:r>
        <w:rPr>
          <w:rFonts w:hint="eastAsia" w:asciiTheme="minorEastAsia" w:hAnsiTheme="minorEastAsia" w:eastAsiaTheme="minorEastAsia" w:cstheme="minorEastAsia"/>
          <w:spacing w:val="8"/>
        </w:rPr>
        <w:t>对排放进行监管，中标企业须无条件配合</w:t>
      </w:r>
      <w:r>
        <w:rPr>
          <w:rFonts w:hint="eastAsia" w:asciiTheme="minorEastAsia" w:hAnsiTheme="minorEastAsia" w:eastAsiaTheme="minorEastAsia" w:cstheme="minorEastAsia"/>
          <w:spacing w:val="8"/>
          <w:lang w:eastAsia="zh-CN"/>
        </w:rPr>
        <w:t>。</w:t>
      </w:r>
      <w:r>
        <w:rPr>
          <w:rFonts w:hint="eastAsia" w:ascii="宋体" w:hAnsi="宋体" w:cs="宋体"/>
          <w:b/>
          <w:bCs/>
          <w:color w:val="auto"/>
          <w:kern w:val="0"/>
          <w:sz w:val="24"/>
          <w:highlight w:val="none"/>
          <w:lang w:val="en-US" w:eastAsia="zh-CN"/>
        </w:rPr>
        <w:t>备注：本项目所属的行业：其他未列明行业</w:t>
      </w:r>
    </w:p>
    <w:p w14:paraId="2B27FCC6">
      <w:pPr>
        <w:keepNext w:val="0"/>
        <w:keepLines w:val="0"/>
        <w:widowControl/>
        <w:suppressLineNumbers w:val="0"/>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p>
    <w:bookmarkEnd w:id="255"/>
    <w:p w14:paraId="26DAC4A0">
      <w:pPr>
        <w:rPr>
          <w:rFonts w:hint="eastAsia" w:asciiTheme="minorEastAsia" w:hAnsiTheme="minorEastAsia" w:eastAsiaTheme="minorEastAsia" w:cstheme="minorEastAsia"/>
          <w:color w:val="auto"/>
          <w:sz w:val="24"/>
          <w:szCs w:val="24"/>
          <w:highlight w:val="none"/>
        </w:rPr>
      </w:pPr>
      <w:bookmarkStart w:id="257" w:name="_Toc28947"/>
      <w:bookmarkStart w:id="258" w:name="_Toc426369533"/>
      <w:bookmarkStart w:id="259" w:name="_Toc403122572"/>
      <w:bookmarkStart w:id="260" w:name="_Toc7906"/>
      <w:r>
        <w:rPr>
          <w:rFonts w:hint="eastAsia" w:asciiTheme="minorEastAsia" w:hAnsiTheme="minorEastAsia" w:eastAsiaTheme="minorEastAsia" w:cstheme="minorEastAsia"/>
          <w:color w:val="auto"/>
          <w:sz w:val="24"/>
          <w:szCs w:val="24"/>
          <w:highlight w:val="none"/>
        </w:rPr>
        <w:br w:type="page"/>
      </w:r>
    </w:p>
    <w:p w14:paraId="44CBD6F0">
      <w:pPr>
        <w:pStyle w:val="9"/>
        <w:spacing w:before="0" w:after="0" w:line="360" w:lineRule="auto"/>
        <w:ind w:firstLine="643" w:firstLineChars="200"/>
        <w:rPr>
          <w:color w:val="auto"/>
          <w:sz w:val="32"/>
          <w:szCs w:val="32"/>
          <w:highlight w:val="none"/>
        </w:rPr>
      </w:pPr>
      <w:r>
        <w:rPr>
          <w:rFonts w:hint="eastAsia"/>
          <w:color w:val="auto"/>
          <w:sz w:val="32"/>
          <w:szCs w:val="32"/>
          <w:highlight w:val="none"/>
        </w:rPr>
        <w:t>第六章 质疑与投诉</w:t>
      </w:r>
      <w:bookmarkEnd w:id="257"/>
    </w:p>
    <w:p w14:paraId="0881B0B6">
      <w:pPr>
        <w:rPr>
          <w:color w:val="auto"/>
          <w:highlight w:val="none"/>
        </w:rPr>
      </w:pPr>
    </w:p>
    <w:p w14:paraId="6C2A9ACB">
      <w:pPr>
        <w:pStyle w:val="10"/>
        <w:rPr>
          <w:rFonts w:ascii="宋体" w:hAnsi="宋体" w:cs="宋体"/>
          <w:b w:val="0"/>
          <w:bCs w:val="0"/>
          <w:color w:val="auto"/>
          <w:szCs w:val="21"/>
          <w:highlight w:val="none"/>
        </w:rPr>
      </w:pPr>
      <w:r>
        <w:rPr>
          <w:rFonts w:hint="eastAsia" w:ascii="宋体" w:hAnsi="宋体" w:cs="宋体"/>
          <w:color w:val="auto"/>
          <w:szCs w:val="21"/>
          <w:highlight w:val="none"/>
        </w:rPr>
        <w:t>一、质疑与答复</w:t>
      </w:r>
    </w:p>
    <w:p w14:paraId="2733F40D">
      <w:pPr>
        <w:pStyle w:val="2"/>
        <w:spacing w:line="360" w:lineRule="auto"/>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1BD3F017">
      <w:pPr>
        <w:pStyle w:val="5"/>
        <w:spacing w:line="360" w:lineRule="auto"/>
        <w:rPr>
          <w:rFonts w:ascii="宋体" w:hAnsi="宋体" w:cs="宋体"/>
          <w:color w:val="auto"/>
          <w:szCs w:val="21"/>
          <w:highlight w:val="none"/>
        </w:rPr>
      </w:pPr>
      <w:r>
        <w:rPr>
          <w:rFonts w:hint="eastAsia" w:ascii="宋体" w:hAnsi="宋体" w:cs="宋体"/>
          <w:color w:val="auto"/>
          <w:szCs w:val="21"/>
          <w:highlight w:val="none"/>
        </w:rPr>
        <w:t>2. 供应商提出质疑应当提交质疑函和必要的证明材料。政府采购供应商质疑函范本下载地址：</w:t>
      </w:r>
    </w:p>
    <w:p w14:paraId="21EFF374">
      <w:pPr>
        <w:pStyle w:val="5"/>
        <w:spacing w:line="360" w:lineRule="auto"/>
        <w:ind w:left="420" w:leftChars="200" w:firstLine="0" w:firstLine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"http://download.ccgp.gov.cn/2018/zhiyihanfanben.zip；" </w:instrText>
      </w:r>
      <w:r>
        <w:rPr>
          <w:color w:val="auto"/>
          <w:highlight w:val="none"/>
        </w:rPr>
        <w:fldChar w:fldCharType="separate"/>
      </w:r>
      <w:r>
        <w:rPr>
          <w:rStyle w:val="30"/>
          <w:rFonts w:hint="eastAsia" w:ascii="宋体" w:hAnsi="宋体" w:cs="宋体"/>
          <w:color w:val="auto"/>
          <w:szCs w:val="21"/>
          <w:highlight w:val="none"/>
        </w:rPr>
        <w:t>http://download.ccgp.gov.cn/2018/zhiyihanfanben.zip；</w:t>
      </w:r>
      <w:r>
        <w:rPr>
          <w:rStyle w:val="30"/>
          <w:rFonts w:hint="eastAsia" w:ascii="宋体" w:hAnsi="宋体" w:cs="宋体"/>
          <w:color w:val="auto"/>
          <w:szCs w:val="21"/>
          <w:highlight w:val="none"/>
        </w:rPr>
        <w:fldChar w:fldCharType="end"/>
      </w:r>
    </w:p>
    <w:p w14:paraId="0A5A1D71">
      <w:pPr>
        <w:numPr>
          <w:ilvl w:val="0"/>
          <w:numId w:val="7"/>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采购人、采购代理机构不得拒收质疑供应商在法定质疑期内发出的质疑函，应当在收到质疑函后7个工作日内作出答复，并以书面形式通知质疑供应商和其他有关供应商。</w:t>
      </w:r>
    </w:p>
    <w:p w14:paraId="7A8F6814">
      <w:pPr>
        <w:numPr>
          <w:ilvl w:val="0"/>
          <w:numId w:val="7"/>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供应商提出质疑应当提交质疑函和必要的证明材料。质疑函应当包括下列内容：</w:t>
      </w:r>
    </w:p>
    <w:p w14:paraId="16AAA799">
      <w:pPr>
        <w:numPr>
          <w:ilvl w:val="1"/>
          <w:numId w:val="7"/>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供应商的姓名或者名称、地址、邮编、联系人及联系电话；</w:t>
      </w:r>
    </w:p>
    <w:p w14:paraId="3664F686">
      <w:pPr>
        <w:numPr>
          <w:ilvl w:val="1"/>
          <w:numId w:val="7"/>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质疑项目的名称、编号；</w:t>
      </w:r>
    </w:p>
    <w:p w14:paraId="6062A377">
      <w:pPr>
        <w:numPr>
          <w:ilvl w:val="1"/>
          <w:numId w:val="7"/>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具体、明确的质疑事项和与质疑事项相关的请求；</w:t>
      </w:r>
    </w:p>
    <w:p w14:paraId="551D2A9E">
      <w:pPr>
        <w:numPr>
          <w:ilvl w:val="1"/>
          <w:numId w:val="7"/>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事实依据；</w:t>
      </w:r>
    </w:p>
    <w:p w14:paraId="45F13FA2">
      <w:pPr>
        <w:numPr>
          <w:ilvl w:val="1"/>
          <w:numId w:val="7"/>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必要的法律依据；</w:t>
      </w:r>
    </w:p>
    <w:p w14:paraId="76C983F0">
      <w:pPr>
        <w:numPr>
          <w:ilvl w:val="1"/>
          <w:numId w:val="7"/>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提出质疑的日期；</w:t>
      </w:r>
    </w:p>
    <w:p w14:paraId="634B31C3">
      <w:pPr>
        <w:numPr>
          <w:ilvl w:val="1"/>
          <w:numId w:val="7"/>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获取招标文件的凭证；</w:t>
      </w:r>
    </w:p>
    <w:p w14:paraId="6ABA4C39">
      <w:pPr>
        <w:numPr>
          <w:ilvl w:val="1"/>
          <w:numId w:val="7"/>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以上资料一式二份（采购人、采购代理机构各执一份）。</w:t>
      </w:r>
    </w:p>
    <w:p w14:paraId="769185C1">
      <w:pPr>
        <w:numPr>
          <w:ilvl w:val="0"/>
          <w:numId w:val="7"/>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供应商不得虚假质疑和恶意质疑，并对质疑内容的真实性承担责任。</w:t>
      </w:r>
    </w:p>
    <w:p w14:paraId="1C8E7673">
      <w:pPr>
        <w:pStyle w:val="10"/>
        <w:rPr>
          <w:rFonts w:ascii="宋体" w:hAnsi="宋体" w:cs="宋体"/>
          <w:b w:val="0"/>
          <w:bCs w:val="0"/>
          <w:color w:val="auto"/>
          <w:szCs w:val="21"/>
          <w:highlight w:val="none"/>
        </w:rPr>
      </w:pPr>
      <w:r>
        <w:rPr>
          <w:rFonts w:hint="eastAsia" w:ascii="宋体" w:hAnsi="宋体" w:cs="宋体"/>
          <w:color w:val="auto"/>
          <w:szCs w:val="21"/>
          <w:highlight w:val="none"/>
        </w:rPr>
        <w:t>二、投诉与处理</w:t>
      </w:r>
    </w:p>
    <w:p w14:paraId="36601E7F">
      <w:pPr>
        <w:pStyle w:val="2"/>
        <w:spacing w:line="360" w:lineRule="auto"/>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1、质疑供应商对采购人、采购代理机构的答复不满意，或者采购人、采购代理机构未在规定时间内作出答复的，可以在答复期满后15个工作日内向本办法第六条规定的财政部门提起投诉。</w:t>
      </w:r>
    </w:p>
    <w:p w14:paraId="5D34FD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2、质疑供应商对采购人、采购代理机构的答复不满意，或者采购人、采购代理机构未在规定时间内作出答复的，可以在答复期满后15个工作日内向财政部门提起投诉。</w:t>
      </w:r>
    </w:p>
    <w:p w14:paraId="0B9D0EDA">
      <w:pPr>
        <w:pStyle w:val="2"/>
        <w:spacing w:line="360" w:lineRule="auto"/>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14:paraId="686DE6C3">
      <w:pPr>
        <w:pStyle w:val="2"/>
        <w:spacing w:line="360" w:lineRule="auto"/>
        <w:ind w:firstLine="640" w:firstLineChars="200"/>
        <w:rPr>
          <w:rFonts w:hint="default"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"http://download.ccgp.gov.cn/2018/tousushufanben.zip" </w:instrText>
      </w:r>
      <w:r>
        <w:rPr>
          <w:color w:val="auto"/>
          <w:highlight w:val="none"/>
        </w:rPr>
        <w:fldChar w:fldCharType="separate"/>
      </w:r>
      <w:r>
        <w:rPr>
          <w:rStyle w:val="30"/>
          <w:rFonts w:ascii="宋体" w:hAnsi="宋体" w:eastAsia="宋体" w:cs="宋体"/>
          <w:color w:val="auto"/>
          <w:sz w:val="21"/>
          <w:szCs w:val="21"/>
          <w:highlight w:val="none"/>
        </w:rPr>
        <w:t>http://download.ccgp.gov.cn/2018/tousushufanben.zip</w:t>
      </w:r>
      <w:r>
        <w:rPr>
          <w:rStyle w:val="30"/>
          <w:rFonts w:ascii="宋体" w:hAnsi="宋体" w:eastAsia="宋体" w:cs="宋体"/>
          <w:color w:val="auto"/>
          <w:sz w:val="21"/>
          <w:szCs w:val="21"/>
          <w:highlight w:val="none"/>
        </w:rPr>
        <w:fldChar w:fldCharType="end"/>
      </w:r>
    </w:p>
    <w:p w14:paraId="59AAFF21">
      <w:pPr>
        <w:numPr>
          <w:ilvl w:val="0"/>
          <w:numId w:val="1"/>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财政部门自收到投诉之日起30个工作日内，对投诉事项作出处理决定并公示。</w:t>
      </w:r>
    </w:p>
    <w:p w14:paraId="32F801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投诉人在全国范围12个月内三次以上投诉查无实据的，由财政部门列入不良行为记录名单。</w:t>
      </w:r>
    </w:p>
    <w:p w14:paraId="63E046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投诉人有财政部94号令第三十七条情形的，属于虚假、恶意投诉，由财政部门列入不良行为记录名单，禁止其1至3年内参加政府采购活动。</w:t>
      </w:r>
    </w:p>
    <w:p w14:paraId="2DE51950">
      <w:pPr>
        <w:pStyle w:val="5"/>
        <w:spacing w:line="360" w:lineRule="auto"/>
        <w:rPr>
          <w:rFonts w:ascii="宋体" w:hAnsi="宋体" w:cs="宋体"/>
          <w:color w:val="auto"/>
          <w:szCs w:val="21"/>
          <w:highlight w:val="none"/>
        </w:rPr>
      </w:pPr>
    </w:p>
    <w:p w14:paraId="10D57D52">
      <w:pPr>
        <w:rPr>
          <w:rFonts w:ascii="宋体" w:hAnsi="宋体" w:cs="宋体"/>
          <w:b/>
          <w:bCs/>
          <w:color w:val="auto"/>
          <w:szCs w:val="21"/>
          <w:highlight w:val="none"/>
        </w:rPr>
      </w:pPr>
      <w:r>
        <w:rPr>
          <w:rFonts w:hint="eastAsia" w:ascii="宋体" w:hAnsi="宋体" w:cs="宋体"/>
          <w:color w:val="auto"/>
          <w:szCs w:val="21"/>
          <w:highlight w:val="none"/>
        </w:rPr>
        <w:t xml:space="preserve">投诉联系电话：0391-8683273  地址：博爱县机关综合办公楼主楼1213室 </w:t>
      </w:r>
    </w:p>
    <w:p w14:paraId="7F21D65D">
      <w:pPr>
        <w:rPr>
          <w:rFonts w:ascii="宋体" w:hAnsi="宋体" w:cs="宋体"/>
          <w:color w:val="auto"/>
          <w:szCs w:val="21"/>
          <w:highlight w:val="none"/>
        </w:rPr>
      </w:pPr>
    </w:p>
    <w:p w14:paraId="097651F9">
      <w:pPr>
        <w:rPr>
          <w:color w:val="auto"/>
          <w:szCs w:val="21"/>
          <w:highlight w:val="none"/>
        </w:rPr>
      </w:pPr>
    </w:p>
    <w:p w14:paraId="38459431">
      <w:pPr>
        <w:rPr>
          <w:color w:val="auto"/>
          <w:szCs w:val="21"/>
          <w:highlight w:val="none"/>
        </w:rPr>
      </w:pPr>
    </w:p>
    <w:p w14:paraId="08290A21">
      <w:pPr>
        <w:rPr>
          <w:color w:val="auto"/>
          <w:szCs w:val="21"/>
          <w:highlight w:val="none"/>
        </w:rPr>
      </w:pPr>
    </w:p>
    <w:p w14:paraId="0329EA78">
      <w:pPr>
        <w:rPr>
          <w:color w:val="auto"/>
          <w:szCs w:val="21"/>
          <w:highlight w:val="none"/>
        </w:rPr>
      </w:pPr>
    </w:p>
    <w:p w14:paraId="021BF87B">
      <w:pPr>
        <w:rPr>
          <w:color w:val="auto"/>
          <w:szCs w:val="21"/>
          <w:highlight w:val="none"/>
        </w:rPr>
      </w:pPr>
    </w:p>
    <w:p w14:paraId="745CAC1A">
      <w:pPr>
        <w:rPr>
          <w:color w:val="auto"/>
          <w:highlight w:val="none"/>
        </w:rPr>
      </w:pPr>
    </w:p>
    <w:p w14:paraId="23481B1A">
      <w:pPr>
        <w:rPr>
          <w:color w:val="auto"/>
          <w:highlight w:val="none"/>
        </w:rPr>
      </w:pPr>
    </w:p>
    <w:p w14:paraId="6F5D44D5">
      <w:pPr>
        <w:pStyle w:val="3"/>
        <w:rPr>
          <w:color w:val="auto"/>
          <w:highlight w:val="none"/>
        </w:rPr>
      </w:pPr>
    </w:p>
    <w:p w14:paraId="16B1077C">
      <w:pPr>
        <w:pStyle w:val="18"/>
        <w:rPr>
          <w:color w:val="auto"/>
          <w:highlight w:val="none"/>
        </w:rPr>
      </w:pPr>
    </w:p>
    <w:p w14:paraId="7042AAA8">
      <w:pPr>
        <w:pStyle w:val="3"/>
        <w:rPr>
          <w:color w:val="auto"/>
          <w:highlight w:val="none"/>
        </w:rPr>
      </w:pPr>
    </w:p>
    <w:p w14:paraId="1F9626DD">
      <w:pPr>
        <w:pStyle w:val="18"/>
        <w:rPr>
          <w:color w:val="auto"/>
          <w:highlight w:val="none"/>
        </w:rPr>
      </w:pPr>
    </w:p>
    <w:p w14:paraId="1A0486B5">
      <w:pPr>
        <w:pStyle w:val="3"/>
        <w:rPr>
          <w:color w:val="auto"/>
          <w:highlight w:val="none"/>
        </w:rPr>
      </w:pPr>
    </w:p>
    <w:p w14:paraId="408EE1F2">
      <w:pPr>
        <w:pStyle w:val="18"/>
        <w:rPr>
          <w:color w:val="auto"/>
          <w:highlight w:val="none"/>
        </w:rPr>
      </w:pPr>
    </w:p>
    <w:p w14:paraId="5E8A4B77">
      <w:pPr>
        <w:pStyle w:val="18"/>
        <w:rPr>
          <w:color w:val="auto"/>
          <w:highlight w:val="none"/>
        </w:rPr>
      </w:pPr>
    </w:p>
    <w:p w14:paraId="09691D6B">
      <w:pPr>
        <w:pStyle w:val="2"/>
        <w:spacing w:line="360" w:lineRule="auto"/>
        <w:ind w:firstLine="643" w:firstLineChars="200"/>
        <w:jc w:val="center"/>
        <w:outlineLvl w:val="0"/>
        <w:rPr>
          <w:rFonts w:hint="default" w:asciiTheme="majorEastAsia" w:hAnsiTheme="majorEastAsia" w:eastAsiaTheme="majorEastAsia" w:cstheme="majorEastAsia"/>
          <w:b/>
          <w:bCs/>
          <w:color w:val="auto"/>
          <w:szCs w:val="32"/>
          <w:highlight w:val="none"/>
        </w:rPr>
      </w:pPr>
      <w:bookmarkStart w:id="261" w:name="_Toc7285"/>
      <w:r>
        <w:rPr>
          <w:rFonts w:asciiTheme="majorEastAsia" w:hAnsiTheme="majorEastAsia" w:eastAsiaTheme="majorEastAsia" w:cstheme="majorEastAsia"/>
          <w:b/>
          <w:bCs/>
          <w:color w:val="auto"/>
          <w:szCs w:val="32"/>
          <w:highlight w:val="none"/>
        </w:rPr>
        <w:t>第七章 履约验收</w:t>
      </w:r>
      <w:bookmarkEnd w:id="261"/>
    </w:p>
    <w:p w14:paraId="79A772EC">
      <w:pPr>
        <w:pStyle w:val="5"/>
        <w:rPr>
          <w:color w:val="auto"/>
          <w:highlight w:val="none"/>
        </w:rPr>
      </w:pPr>
    </w:p>
    <w:p w14:paraId="6AE2C366">
      <w:pPr>
        <w:pStyle w:val="2"/>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供应商履约完成后，向采购人提出验收建议，采购人自收到验收建议之日起五个工作日内，采购人组织供应商参与，共同完成验收。技术复杂、专业性强等项目可适当延长验收时间。验收流程如下：</w:t>
      </w:r>
    </w:p>
    <w:p w14:paraId="691F0129">
      <w:pPr>
        <w:pStyle w:val="2"/>
        <w:numPr>
          <w:ilvl w:val="0"/>
          <w:numId w:val="8"/>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59012DEE">
      <w:pPr>
        <w:pStyle w:val="2"/>
        <w:numPr>
          <w:ilvl w:val="0"/>
          <w:numId w:val="8"/>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1A6C9522">
      <w:pPr>
        <w:pStyle w:val="2"/>
        <w:numPr>
          <w:ilvl w:val="0"/>
          <w:numId w:val="8"/>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4333F374">
      <w:pPr>
        <w:pStyle w:val="2"/>
        <w:numPr>
          <w:ilvl w:val="0"/>
          <w:numId w:val="8"/>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14:paraId="0C71735A">
      <w:pPr>
        <w:pStyle w:val="3"/>
        <w:rPr>
          <w:rFonts w:asciiTheme="minorEastAsia" w:hAnsiTheme="minorEastAsia" w:eastAsiaTheme="minorEastAsia" w:cstheme="minorEastAsia"/>
          <w:color w:val="auto"/>
          <w:szCs w:val="21"/>
          <w:highlight w:val="none"/>
        </w:rPr>
      </w:pPr>
    </w:p>
    <w:p w14:paraId="6BCBDEA3">
      <w:pPr>
        <w:pStyle w:val="18"/>
        <w:rPr>
          <w:rFonts w:asciiTheme="minorEastAsia" w:hAnsiTheme="minorEastAsia" w:eastAsiaTheme="minorEastAsia" w:cstheme="minorEastAsia"/>
          <w:color w:val="auto"/>
          <w:szCs w:val="21"/>
          <w:highlight w:val="none"/>
        </w:rPr>
      </w:pPr>
    </w:p>
    <w:p w14:paraId="4A43F998">
      <w:pPr>
        <w:pStyle w:val="3"/>
        <w:rPr>
          <w:rFonts w:asciiTheme="minorEastAsia" w:hAnsiTheme="minorEastAsia" w:eastAsiaTheme="minorEastAsia" w:cstheme="minorEastAsia"/>
          <w:color w:val="auto"/>
          <w:szCs w:val="21"/>
          <w:highlight w:val="none"/>
        </w:rPr>
      </w:pPr>
    </w:p>
    <w:p w14:paraId="202EF1BB">
      <w:pPr>
        <w:pStyle w:val="18"/>
        <w:rPr>
          <w:rFonts w:asciiTheme="minorEastAsia" w:hAnsiTheme="minorEastAsia" w:eastAsiaTheme="minorEastAsia" w:cstheme="minorEastAsia"/>
          <w:color w:val="auto"/>
          <w:szCs w:val="21"/>
          <w:highlight w:val="none"/>
        </w:rPr>
      </w:pPr>
    </w:p>
    <w:p w14:paraId="23D994E8">
      <w:pPr>
        <w:pStyle w:val="3"/>
        <w:rPr>
          <w:rFonts w:asciiTheme="minorEastAsia" w:hAnsiTheme="minorEastAsia" w:eastAsiaTheme="minorEastAsia" w:cstheme="minorEastAsia"/>
          <w:color w:val="auto"/>
          <w:szCs w:val="21"/>
          <w:highlight w:val="none"/>
        </w:rPr>
      </w:pPr>
    </w:p>
    <w:p w14:paraId="16389488">
      <w:pPr>
        <w:pStyle w:val="18"/>
        <w:rPr>
          <w:rFonts w:asciiTheme="minorEastAsia" w:hAnsiTheme="minorEastAsia" w:eastAsiaTheme="minorEastAsia" w:cstheme="minorEastAsia"/>
          <w:color w:val="auto"/>
          <w:szCs w:val="21"/>
          <w:highlight w:val="none"/>
        </w:rPr>
      </w:pPr>
    </w:p>
    <w:p w14:paraId="51BBF3AC">
      <w:pPr>
        <w:pStyle w:val="3"/>
        <w:rPr>
          <w:color w:val="auto"/>
          <w:highlight w:val="none"/>
        </w:rPr>
      </w:pPr>
    </w:p>
    <w:p w14:paraId="093010D7">
      <w:pPr>
        <w:pStyle w:val="3"/>
        <w:rPr>
          <w:color w:val="auto"/>
          <w:highlight w:val="none"/>
        </w:rPr>
      </w:pPr>
    </w:p>
    <w:p w14:paraId="7B5BCCF1">
      <w:pPr>
        <w:pStyle w:val="20"/>
        <w:numPr>
          <w:ilvl w:val="0"/>
          <w:numId w:val="9"/>
        </w:numPr>
        <w:spacing w:line="600" w:lineRule="exact"/>
        <w:ind w:right="-63" w:rightChars="-30"/>
        <w:rPr>
          <w:rFonts w:hint="eastAsia" w:asciiTheme="minorEastAsia" w:hAnsiTheme="minorEastAsia" w:eastAsiaTheme="minorEastAsia" w:cstheme="minorEastAsia"/>
          <w:color w:val="auto"/>
          <w:sz w:val="36"/>
          <w:szCs w:val="36"/>
          <w:highlight w:val="none"/>
        </w:rPr>
      </w:pPr>
      <w:bookmarkStart w:id="262" w:name="_Toc14191"/>
      <w:bookmarkStart w:id="263" w:name="_Toc12999"/>
      <w:r>
        <w:rPr>
          <w:rFonts w:hint="eastAsia" w:asciiTheme="minorEastAsia" w:hAnsiTheme="minorEastAsia" w:eastAsiaTheme="minorEastAsia" w:cstheme="minorEastAsia"/>
          <w:color w:val="auto"/>
          <w:sz w:val="36"/>
          <w:szCs w:val="36"/>
          <w:highlight w:val="none"/>
        </w:rPr>
        <w:t xml:space="preserve"> 投标文件格式</w:t>
      </w:r>
      <w:bookmarkEnd w:id="258"/>
      <w:bookmarkEnd w:id="259"/>
      <w:bookmarkEnd w:id="260"/>
      <w:bookmarkEnd w:id="262"/>
      <w:bookmarkEnd w:id="263"/>
    </w:p>
    <w:p w14:paraId="2C194A8E">
      <w:pPr>
        <w:numPr>
          <w:ilvl w:val="0"/>
          <w:numId w:val="0"/>
        </w:numPr>
        <w:rPr>
          <w:color w:val="auto"/>
          <w:highlight w:val="none"/>
        </w:rPr>
      </w:pPr>
    </w:p>
    <w:p w14:paraId="4621F4D4">
      <w:pPr>
        <w:ind w:firstLine="2530" w:firstLineChars="7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z w:val="36"/>
          <w:szCs w:val="36"/>
          <w:highlight w:val="none"/>
          <w:u w:val="single"/>
          <w:lang w:val="en-US" w:eastAsia="zh-CN"/>
        </w:rPr>
        <w:t xml:space="preserve">                 </w:t>
      </w:r>
      <w:r>
        <w:rPr>
          <w:rFonts w:hint="eastAsia" w:asciiTheme="minorEastAsia" w:hAnsiTheme="minorEastAsia" w:eastAsiaTheme="minorEastAsia" w:cstheme="minorEastAsia"/>
          <w:b/>
          <w:color w:val="auto"/>
          <w:sz w:val="36"/>
          <w:szCs w:val="36"/>
          <w:highlight w:val="none"/>
        </w:rPr>
        <w:t xml:space="preserve">（项目名称） </w:t>
      </w:r>
      <w:r>
        <w:rPr>
          <w:rFonts w:hint="eastAsia" w:asciiTheme="minorEastAsia" w:hAnsiTheme="minorEastAsia" w:eastAsiaTheme="minorEastAsia" w:cstheme="minorEastAsia"/>
          <w:b/>
          <w:color w:val="auto"/>
          <w:sz w:val="36"/>
          <w:szCs w:val="36"/>
          <w:highlight w:val="none"/>
          <w:lang w:val="en-US" w:eastAsia="zh-CN"/>
        </w:rPr>
        <w:t xml:space="preserve"> </w:t>
      </w:r>
    </w:p>
    <w:p w14:paraId="2A67C871">
      <w:pPr>
        <w:ind w:firstLine="2891" w:firstLineChars="8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color w:val="auto"/>
          <w:sz w:val="36"/>
          <w:szCs w:val="36"/>
          <w:highlight w:val="none"/>
          <w:lang w:val="en-US" w:eastAsia="zh-CN"/>
        </w:rPr>
        <w:t xml:space="preserve"> </w:t>
      </w:r>
    </w:p>
    <w:p w14:paraId="29681272">
      <w:pPr>
        <w:spacing w:line="360" w:lineRule="auto"/>
        <w:jc w:val="center"/>
        <w:rPr>
          <w:rFonts w:asciiTheme="minorEastAsia" w:hAnsiTheme="minorEastAsia" w:eastAsiaTheme="minorEastAsia" w:cstheme="minorEastAsia"/>
          <w:b/>
          <w:color w:val="auto"/>
          <w:sz w:val="32"/>
          <w:szCs w:val="32"/>
          <w:highlight w:val="none"/>
        </w:rPr>
      </w:pPr>
    </w:p>
    <w:p w14:paraId="5ADB71F8">
      <w:pPr>
        <w:pStyle w:val="5"/>
        <w:rPr>
          <w:color w:val="auto"/>
          <w:highlight w:val="none"/>
        </w:rPr>
      </w:pPr>
    </w:p>
    <w:p w14:paraId="57EFB1E1">
      <w:pPr>
        <w:pStyle w:val="5"/>
        <w:rPr>
          <w:color w:val="auto"/>
          <w:highlight w:val="none"/>
        </w:rPr>
      </w:pPr>
    </w:p>
    <w:p w14:paraId="3D27A53D">
      <w:pPr>
        <w:pStyle w:val="5"/>
        <w:rPr>
          <w:color w:val="auto"/>
          <w:highlight w:val="none"/>
        </w:rPr>
      </w:pPr>
    </w:p>
    <w:p w14:paraId="0BEF2764">
      <w:pPr>
        <w:spacing w:line="360" w:lineRule="auto"/>
        <w:jc w:val="center"/>
        <w:rPr>
          <w:rFonts w:asciiTheme="minorEastAsia" w:hAnsiTheme="minorEastAsia" w:eastAsiaTheme="minorEastAsia" w:cstheme="minorEastAsia"/>
          <w:b/>
          <w:color w:val="auto"/>
          <w:spacing w:val="24"/>
          <w:kern w:val="10"/>
          <w:sz w:val="52"/>
          <w:szCs w:val="52"/>
          <w:highlight w:val="none"/>
        </w:rPr>
      </w:pPr>
      <w:r>
        <w:rPr>
          <w:rFonts w:hint="eastAsia" w:asciiTheme="minorEastAsia" w:hAnsiTheme="minorEastAsia" w:eastAsiaTheme="minorEastAsia" w:cstheme="minorEastAsia"/>
          <w:b/>
          <w:color w:val="auto"/>
          <w:spacing w:val="24"/>
          <w:kern w:val="10"/>
          <w:sz w:val="52"/>
          <w:szCs w:val="52"/>
          <w:highlight w:val="none"/>
        </w:rPr>
        <w:t>投  标  文  件</w:t>
      </w:r>
    </w:p>
    <w:p w14:paraId="6331F06B">
      <w:pPr>
        <w:jc w:val="center"/>
        <w:rPr>
          <w:rFonts w:asciiTheme="minorEastAsia" w:hAnsiTheme="minorEastAsia" w:eastAsiaTheme="minorEastAsia" w:cstheme="minorEastAsia"/>
          <w:color w:val="auto"/>
          <w:sz w:val="24"/>
          <w:highlight w:val="none"/>
        </w:rPr>
      </w:pPr>
    </w:p>
    <w:p w14:paraId="46965665">
      <w:pPr>
        <w:pStyle w:val="12"/>
        <w:rPr>
          <w:color w:val="auto"/>
          <w:highlight w:val="none"/>
        </w:rPr>
      </w:pPr>
      <w:r>
        <w:rPr>
          <w:rFonts w:hint="eastAsia" w:asciiTheme="minorEastAsia" w:hAnsiTheme="minorEastAsia" w:eastAsiaTheme="minorEastAsia" w:cstheme="minorEastAsia"/>
          <w:color w:val="auto"/>
          <w:highlight w:val="none"/>
        </w:rPr>
        <w:t xml:space="preserve"> </w:t>
      </w:r>
    </w:p>
    <w:p w14:paraId="231D618D">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（封面）</w:t>
      </w:r>
    </w:p>
    <w:p w14:paraId="1A04F5F1">
      <w:pPr>
        <w:jc w:val="center"/>
        <w:rPr>
          <w:rFonts w:asciiTheme="minorEastAsia" w:hAnsiTheme="minorEastAsia" w:eastAsiaTheme="minorEastAsia" w:cstheme="minorEastAsia"/>
          <w:color w:val="auto"/>
          <w:sz w:val="24"/>
          <w:highlight w:val="none"/>
        </w:rPr>
      </w:pPr>
    </w:p>
    <w:p w14:paraId="75CB8AC0">
      <w:pPr>
        <w:jc w:val="center"/>
        <w:rPr>
          <w:rFonts w:asciiTheme="minorEastAsia" w:hAnsiTheme="minorEastAsia" w:eastAsiaTheme="minorEastAsia" w:cstheme="minorEastAsia"/>
          <w:color w:val="auto"/>
          <w:sz w:val="24"/>
          <w:highlight w:val="none"/>
        </w:rPr>
      </w:pPr>
    </w:p>
    <w:p w14:paraId="7B9B4934">
      <w:pPr>
        <w:jc w:val="center"/>
        <w:rPr>
          <w:rFonts w:asciiTheme="minorEastAsia" w:hAnsiTheme="minorEastAsia" w:eastAsiaTheme="minorEastAsia" w:cstheme="minorEastAsia"/>
          <w:color w:val="auto"/>
          <w:sz w:val="24"/>
          <w:highlight w:val="none"/>
        </w:rPr>
      </w:pPr>
    </w:p>
    <w:p w14:paraId="7B5CBC80">
      <w:pPr>
        <w:rPr>
          <w:rFonts w:asciiTheme="minorEastAsia" w:hAnsiTheme="minorEastAsia" w:eastAsiaTheme="minorEastAsia" w:cstheme="minorEastAsia"/>
          <w:color w:val="auto"/>
          <w:sz w:val="24"/>
          <w:highlight w:val="none"/>
        </w:rPr>
      </w:pPr>
    </w:p>
    <w:p w14:paraId="483B6690">
      <w:pPr>
        <w:jc w:val="center"/>
        <w:rPr>
          <w:rFonts w:asciiTheme="minorEastAsia" w:hAnsiTheme="minorEastAsia" w:eastAsiaTheme="minorEastAsia" w:cstheme="minorEastAsia"/>
          <w:color w:val="auto"/>
          <w:sz w:val="24"/>
          <w:highlight w:val="none"/>
        </w:rPr>
      </w:pPr>
    </w:p>
    <w:p w14:paraId="7DA46B6D">
      <w:pPr>
        <w:jc w:val="center"/>
        <w:rPr>
          <w:rFonts w:asciiTheme="minorEastAsia" w:hAnsiTheme="minorEastAsia" w:eastAsiaTheme="minorEastAsia" w:cstheme="minorEastAsia"/>
          <w:color w:val="auto"/>
          <w:sz w:val="24"/>
          <w:highlight w:val="none"/>
        </w:rPr>
      </w:pPr>
    </w:p>
    <w:p w14:paraId="19D4784A">
      <w:pPr>
        <w:jc w:val="center"/>
        <w:rPr>
          <w:rFonts w:asciiTheme="minorEastAsia" w:hAnsiTheme="minorEastAsia" w:eastAsiaTheme="minorEastAsia" w:cstheme="minorEastAsia"/>
          <w:color w:val="auto"/>
          <w:sz w:val="24"/>
          <w:highlight w:val="none"/>
        </w:rPr>
      </w:pPr>
    </w:p>
    <w:p w14:paraId="34A312E9">
      <w:pPr>
        <w:jc w:val="center"/>
        <w:rPr>
          <w:rFonts w:asciiTheme="minorEastAsia" w:hAnsiTheme="minorEastAsia" w:eastAsiaTheme="minorEastAsia" w:cstheme="minorEastAsia"/>
          <w:b/>
          <w:color w:val="auto"/>
          <w:sz w:val="24"/>
          <w:highlight w:val="none"/>
        </w:rPr>
      </w:pPr>
    </w:p>
    <w:p w14:paraId="288A2A66">
      <w:pPr>
        <w:pStyle w:val="15"/>
        <w:spacing w:line="600" w:lineRule="exact"/>
        <w:ind w:left="1050" w:leftChars="500" w:firstLine="1152" w:firstLineChars="45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8"/>
          <w:sz w:val="24"/>
          <w:highlight w:val="none"/>
        </w:rPr>
        <w:t>供  应  商：</w:t>
      </w:r>
      <w:r>
        <w:rPr>
          <w:rFonts w:asciiTheme="minorEastAsia" w:hAnsiTheme="minorEastAsia" w:eastAsiaTheme="minorEastAsia" w:cstheme="minorEastAsia"/>
          <w:color w:val="auto"/>
          <w:sz w:val="24"/>
          <w:highlight w:val="none"/>
        </w:rPr>
        <w:t>（单位公章）</w:t>
      </w:r>
    </w:p>
    <w:p w14:paraId="4ED553B5">
      <w:pPr>
        <w:pStyle w:val="15"/>
        <w:spacing w:line="600" w:lineRule="exact"/>
        <w:ind w:left="1050" w:leftChars="500" w:firstLine="1200" w:firstLineChars="5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法定代表人或</w:t>
      </w:r>
      <w:r>
        <w:rPr>
          <w:rFonts w:asciiTheme="minorEastAsia" w:hAnsiTheme="minorEastAsia" w:eastAsiaTheme="minorEastAsia" w:cstheme="minorEastAsia"/>
          <w:color w:val="auto"/>
          <w:spacing w:val="12"/>
          <w:sz w:val="24"/>
          <w:highlight w:val="none"/>
        </w:rPr>
        <w:t>委托代理人：</w:t>
      </w:r>
      <w:r>
        <w:rPr>
          <w:rFonts w:asciiTheme="minorEastAsia" w:hAnsiTheme="minorEastAsia" w:eastAsiaTheme="minorEastAsia" w:cstheme="minorEastAsia"/>
          <w:color w:val="auto"/>
          <w:sz w:val="24"/>
          <w:highlight w:val="none"/>
        </w:rPr>
        <w:t xml:space="preserve">（签字或盖章）  </w:t>
      </w:r>
    </w:p>
    <w:p w14:paraId="5EF83953">
      <w:pPr>
        <w:pStyle w:val="15"/>
        <w:spacing w:line="600" w:lineRule="exact"/>
        <w:ind w:left="1050" w:leftChars="500" w:firstLine="1200" w:firstLineChars="500"/>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color w:val="auto"/>
          <w:sz w:val="24"/>
          <w:highlight w:val="none"/>
        </w:rPr>
        <w:t>日       期：       年    月    日</w:t>
      </w:r>
    </w:p>
    <w:p w14:paraId="008E4D69">
      <w:pPr>
        <w:ind w:firstLine="540" w:firstLineChars="192"/>
        <w:jc w:val="center"/>
        <w:rPr>
          <w:rFonts w:asciiTheme="minorEastAsia" w:hAnsiTheme="minorEastAsia" w:eastAsiaTheme="minorEastAsia" w:cstheme="minorEastAsia"/>
          <w:b/>
          <w:bCs/>
          <w:color w:val="auto"/>
          <w:sz w:val="28"/>
          <w:szCs w:val="28"/>
          <w:highlight w:val="none"/>
        </w:rPr>
      </w:pPr>
    </w:p>
    <w:p w14:paraId="5DC78880">
      <w:pPr>
        <w:ind w:firstLine="848" w:firstLineChars="192"/>
        <w:jc w:val="center"/>
        <w:rPr>
          <w:rFonts w:asciiTheme="minorEastAsia" w:hAnsiTheme="minorEastAsia" w:eastAsiaTheme="minorEastAsia" w:cstheme="minorEastAsia"/>
          <w:b/>
          <w:bCs/>
          <w:color w:val="auto"/>
          <w:sz w:val="44"/>
          <w:szCs w:val="44"/>
          <w:highlight w:val="none"/>
        </w:rPr>
      </w:pPr>
    </w:p>
    <w:p w14:paraId="48FA7E1E">
      <w:pPr>
        <w:pStyle w:val="5"/>
        <w:ind w:firstLine="883"/>
        <w:rPr>
          <w:rFonts w:asciiTheme="minorEastAsia" w:hAnsiTheme="minorEastAsia" w:eastAsiaTheme="minorEastAsia" w:cstheme="minorEastAsia"/>
          <w:b/>
          <w:bCs/>
          <w:color w:val="auto"/>
          <w:sz w:val="44"/>
          <w:szCs w:val="44"/>
          <w:highlight w:val="none"/>
        </w:rPr>
      </w:pPr>
    </w:p>
    <w:p w14:paraId="0433F21B">
      <w:pPr>
        <w:rPr>
          <w:rFonts w:asciiTheme="minorEastAsia" w:hAnsiTheme="minorEastAsia" w:eastAsiaTheme="minorEastAsia" w:cstheme="minorEastAsia"/>
          <w:b/>
          <w:bCs/>
          <w:color w:val="auto"/>
          <w:sz w:val="44"/>
          <w:szCs w:val="44"/>
          <w:highlight w:val="none"/>
        </w:rPr>
      </w:pPr>
    </w:p>
    <w:p w14:paraId="6A9599DE">
      <w:pPr>
        <w:pStyle w:val="5"/>
        <w:rPr>
          <w:color w:val="auto"/>
          <w:highlight w:val="none"/>
        </w:rPr>
      </w:pPr>
    </w:p>
    <w:p w14:paraId="02105089">
      <w:pPr>
        <w:ind w:firstLine="848" w:firstLineChars="192"/>
        <w:jc w:val="center"/>
        <w:rPr>
          <w:rFonts w:asciiTheme="minorEastAsia" w:hAnsiTheme="minorEastAsia" w:eastAsiaTheme="minorEastAsia" w:cstheme="minorEastAsia"/>
          <w:b/>
          <w:bCs/>
          <w:color w:val="auto"/>
          <w:sz w:val="44"/>
          <w:szCs w:val="44"/>
          <w:highlight w:val="none"/>
        </w:rPr>
      </w:pPr>
    </w:p>
    <w:p w14:paraId="56F7B5AF">
      <w:pPr>
        <w:ind w:firstLine="848" w:firstLineChars="192"/>
        <w:jc w:val="center"/>
        <w:rPr>
          <w:rFonts w:asciiTheme="minorEastAsia" w:hAnsiTheme="minorEastAsia" w:eastAsiaTheme="minorEastAsia" w:cstheme="minorEastAsia"/>
          <w:b/>
          <w:bCs/>
          <w:color w:val="auto"/>
          <w:sz w:val="44"/>
          <w:szCs w:val="44"/>
          <w:highlight w:val="none"/>
        </w:rPr>
      </w:pPr>
    </w:p>
    <w:p w14:paraId="1B7356EA">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44"/>
          <w:szCs w:val="44"/>
          <w:highlight w:val="none"/>
        </w:rPr>
        <w:t>目    录</w:t>
      </w:r>
    </w:p>
    <w:p w14:paraId="6D1E8E8D">
      <w:pPr>
        <w:spacing w:line="600" w:lineRule="exact"/>
        <w:jc w:val="center"/>
        <w:outlineLvl w:val="1"/>
        <w:rPr>
          <w:rFonts w:asciiTheme="minorEastAsia" w:hAnsiTheme="minorEastAsia" w:eastAsiaTheme="minorEastAsia" w:cstheme="minorEastAsia"/>
          <w:b/>
          <w:bCs/>
          <w:color w:val="auto"/>
          <w:sz w:val="28"/>
          <w:szCs w:val="28"/>
          <w:highlight w:val="none"/>
        </w:rPr>
      </w:pPr>
      <w:bookmarkStart w:id="264" w:name="_Toc31547"/>
      <w:bookmarkStart w:id="265" w:name="_Toc2130"/>
      <w:r>
        <w:rPr>
          <w:rFonts w:asciiTheme="minorEastAsia" w:hAnsiTheme="minorEastAsia" w:eastAsiaTheme="minorEastAsia" w:cstheme="minorEastAsia"/>
          <w:color w:val="auto"/>
          <w:szCs w:val="21"/>
          <w:highlight w:val="none"/>
        </w:rPr>
        <w:t>（自拟）</w:t>
      </w:r>
      <w:r>
        <w:rPr>
          <w:rFonts w:hint="eastAsia" w:asciiTheme="minorEastAsia" w:hAnsiTheme="minorEastAsia" w:eastAsiaTheme="minorEastAsia" w:cstheme="minorEastAsia"/>
          <w:color w:val="auto"/>
          <w:szCs w:val="21"/>
          <w:highlight w:val="none"/>
        </w:rPr>
        <w:br w:type="page"/>
      </w:r>
      <w:bookmarkStart w:id="266" w:name="_Toc1921"/>
      <w:r>
        <w:rPr>
          <w:rFonts w:hint="eastAsia" w:asciiTheme="minorEastAsia" w:hAnsiTheme="minorEastAsia" w:eastAsiaTheme="minorEastAsia" w:cstheme="minorEastAsia"/>
          <w:b/>
          <w:bCs/>
          <w:color w:val="auto"/>
          <w:sz w:val="30"/>
          <w:szCs w:val="30"/>
          <w:highlight w:val="none"/>
        </w:rPr>
        <w:t>一、投标函</w:t>
      </w:r>
      <w:bookmarkEnd w:id="264"/>
      <w:r>
        <w:rPr>
          <w:rFonts w:hint="eastAsia" w:asciiTheme="minorEastAsia" w:hAnsiTheme="minorEastAsia" w:eastAsiaTheme="minorEastAsia" w:cstheme="minorEastAsia"/>
          <w:b/>
          <w:bCs/>
          <w:color w:val="auto"/>
          <w:sz w:val="30"/>
          <w:szCs w:val="30"/>
          <w:highlight w:val="none"/>
        </w:rPr>
        <w:t>及开标一览表</w:t>
      </w:r>
      <w:bookmarkEnd w:id="265"/>
      <w:bookmarkEnd w:id="266"/>
    </w:p>
    <w:p w14:paraId="46C43F32">
      <w:pPr>
        <w:numPr>
          <w:ilvl w:val="0"/>
          <w:numId w:val="10"/>
        </w:numPr>
        <w:spacing w:line="600" w:lineRule="exact"/>
        <w:jc w:val="center"/>
        <w:outlineLvl w:val="2"/>
        <w:rPr>
          <w:rFonts w:asciiTheme="minorEastAsia" w:hAnsiTheme="minorEastAsia" w:eastAsiaTheme="minorEastAsia" w:cstheme="minorEastAsia"/>
          <w:b/>
          <w:color w:val="auto"/>
          <w:sz w:val="28"/>
          <w:szCs w:val="28"/>
          <w:highlight w:val="none"/>
        </w:rPr>
      </w:pPr>
      <w:bookmarkStart w:id="267" w:name="_Toc600"/>
      <w:bookmarkStart w:id="268" w:name="_Toc12044"/>
      <w:bookmarkStart w:id="269" w:name="_Toc28684"/>
      <w:bookmarkStart w:id="270" w:name="_Toc27218"/>
      <w:r>
        <w:rPr>
          <w:rFonts w:hint="eastAsia" w:asciiTheme="minorEastAsia" w:hAnsiTheme="minorEastAsia" w:eastAsiaTheme="minorEastAsia" w:cstheme="minorEastAsia"/>
          <w:b/>
          <w:color w:val="auto"/>
          <w:sz w:val="28"/>
          <w:szCs w:val="28"/>
          <w:highlight w:val="none"/>
        </w:rPr>
        <w:t>投标函</w:t>
      </w:r>
      <w:bookmarkEnd w:id="267"/>
      <w:bookmarkEnd w:id="268"/>
      <w:bookmarkEnd w:id="269"/>
      <w:bookmarkEnd w:id="270"/>
    </w:p>
    <w:p w14:paraId="73326387">
      <w:pPr>
        <w:pStyle w:val="5"/>
        <w:ind w:firstLine="0" w:firstLineChars="0"/>
        <w:rPr>
          <w:color w:val="auto"/>
          <w:highlight w:val="none"/>
        </w:rPr>
      </w:pPr>
    </w:p>
    <w:p w14:paraId="30CBC72E">
      <w:pPr>
        <w:widowControl/>
        <w:spacing w:line="360" w:lineRule="auto"/>
        <w:ind w:firstLine="562" w:firstLineChars="200"/>
        <w:rPr>
          <w:rFonts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14:paraId="66322142">
      <w:pPr>
        <w:pStyle w:val="2"/>
        <w:spacing w:line="360" w:lineRule="auto"/>
        <w:ind w:firstLine="480" w:firstLineChars="200"/>
        <w:rPr>
          <w:rFonts w:hint="default" w:ascii="宋体" w:hAnsi="宋体" w:eastAsia="宋体"/>
          <w:color w:val="auto"/>
          <w:sz w:val="24"/>
          <w:highlight w:val="none"/>
        </w:rPr>
      </w:pPr>
      <w:r>
        <w:rPr>
          <w:rFonts w:ascii="宋体" w:hAnsi="宋体" w:eastAsia="宋体"/>
          <w:color w:val="auto"/>
          <w:sz w:val="24"/>
          <w:highlight w:val="none"/>
        </w:rPr>
        <w:t>我单位已收到的</w:t>
      </w:r>
      <w:r>
        <w:rPr>
          <w:rFonts w:ascii="宋体" w:hAnsi="宋体" w:eastAsia="宋体"/>
          <w:color w:val="auto"/>
          <w:sz w:val="24"/>
          <w:highlight w:val="none"/>
          <w:u w:val="single"/>
        </w:rPr>
        <w:t xml:space="preserve">                           </w:t>
      </w:r>
      <w:r>
        <w:rPr>
          <w:rFonts w:ascii="宋体" w:hAnsi="宋体" w:eastAsia="宋体"/>
          <w:color w:val="auto"/>
          <w:sz w:val="24"/>
          <w:highlight w:val="none"/>
        </w:rPr>
        <w:t xml:space="preserve"> 项目采购文件及有关纪要通知，现对参与投标及中标后工作，做出如下郑重承诺：</w:t>
      </w:r>
    </w:p>
    <w:p w14:paraId="314E69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1、我方愿以</w:t>
      </w:r>
      <w:r>
        <w:rPr>
          <w:rFonts w:hint="eastAsia" w:ascii="宋体" w:hAnsi="宋体"/>
          <w:color w:val="auto"/>
          <w:sz w:val="24"/>
          <w:highlight w:val="none"/>
          <w:lang w:val="en-US" w:eastAsia="zh-CN"/>
        </w:rPr>
        <w:t>投标单价</w:t>
      </w:r>
      <w:r>
        <w:rPr>
          <w:rFonts w:hint="eastAsia" w:ascii="宋体" w:hAnsi="宋体"/>
          <w:color w:val="auto"/>
          <w:sz w:val="24"/>
          <w:highlight w:val="none"/>
        </w:rPr>
        <w:t>为人民币（大写）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元/吨（按中水出水量）</w:t>
      </w:r>
      <w:r>
        <w:rPr>
          <w:rFonts w:hint="eastAsia" w:ascii="宋体" w:hAnsi="宋体"/>
          <w:color w:val="auto"/>
          <w:sz w:val="24"/>
          <w:highlight w:val="none"/>
          <w:u w:val="single"/>
        </w:rPr>
        <w:t>（</w:t>
      </w:r>
      <w:r>
        <w:rPr>
          <w:rFonts w:hint="eastAsia" w:ascii="宋体" w:hAnsi="宋体"/>
          <w:color w:val="auto"/>
          <w:sz w:val="24"/>
          <w:highlight w:val="none"/>
        </w:rPr>
        <w:t xml:space="preserve">小写）￥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元/吨（按中水出水量）</w:t>
      </w:r>
      <w:r>
        <w:rPr>
          <w:rFonts w:hint="eastAsia" w:ascii="宋体" w:hAnsi="宋体"/>
          <w:color w:val="auto"/>
          <w:sz w:val="24"/>
          <w:highlight w:val="none"/>
        </w:rPr>
        <w:t>，</w:t>
      </w:r>
      <w:r>
        <w:rPr>
          <w:rFonts w:hint="eastAsia" w:ascii="宋体" w:hAnsi="宋体"/>
          <w:color w:val="auto"/>
          <w:sz w:val="24"/>
          <w:highlight w:val="none"/>
          <w:lang w:val="en-US" w:eastAsia="zh-CN"/>
        </w:rPr>
        <w:t>运行周期</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，按合同约定实施和完成本项目。 </w:t>
      </w:r>
    </w:p>
    <w:p w14:paraId="2329E052">
      <w:pPr>
        <w:widowControl/>
        <w:spacing w:line="360" w:lineRule="auto"/>
        <w:ind w:firstLine="480" w:firstLineChars="200"/>
        <w:rPr>
          <w:rFonts w:ascii="宋体" w:hAnsi="宋体" w:cs="宋体"/>
          <w:strike/>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在响应性文件递交截止时间后至确定成交人的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，我单位不得要求退出竞标或者修改响应性文件。</w:t>
      </w:r>
    </w:p>
    <w:p w14:paraId="081ABEA9">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3、我方明白采购人不一定接纳最低投标报价的采购，也不需要采购人解释选择或否决任何供应商的原因和理由。</w:t>
      </w:r>
    </w:p>
    <w:p w14:paraId="736B8C74">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与本项目投标的所有资料真实有效，未在投标文件中提供虚假材料，无陪标、串标等违法行为。若相关部门查实或被不见面开标系统提示为“投标文件制作机器码一致”的，同意被视为投标无效，接受报监管部门依法作出的处理。</w:t>
      </w:r>
    </w:p>
    <w:p w14:paraId="69BBC83D">
      <w:pPr>
        <w:spacing w:line="360" w:lineRule="auto"/>
        <w:ind w:firstLine="480" w:firstLineChars="200"/>
        <w:jc w:val="left"/>
        <w:rPr>
          <w:color w:val="auto"/>
          <w:highlight w:val="none"/>
        </w:rPr>
      </w:pPr>
      <w:r>
        <w:rPr>
          <w:rFonts w:hint="eastAsia" w:ascii="宋体" w:hAnsi="宋体" w:cs="宋体"/>
          <w:color w:val="auto"/>
          <w:sz w:val="24"/>
          <w:highlight w:val="none"/>
        </w:rPr>
        <w:t>5、一旦我方中标，我方在收到中标通知书后15日内，依据采购文件、投标文件与采购人签订合同。若由于我方原因在15日内因非不可抗力拒绝与采购人签订合同的，愿意接受相关部门依法作出的处罚。合同签订后严格按照合同履约，并配合采购人完成履约验收。</w:t>
      </w:r>
    </w:p>
    <w:p w14:paraId="0F77F805">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供应商：（盖章）</w:t>
      </w:r>
    </w:p>
    <w:p w14:paraId="5EC16ECF">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14:paraId="323AB7C8">
      <w:pPr>
        <w:widowControl/>
        <w:spacing w:line="360" w:lineRule="auto"/>
        <w:ind w:firstLine="480" w:firstLineChars="200"/>
        <w:rPr>
          <w:rFonts w:ascii="宋体" w:hAnsi="宋体"/>
          <w:b/>
          <w:bCs/>
          <w:color w:val="auto"/>
          <w:kern w:val="0"/>
          <w:sz w:val="32"/>
          <w:szCs w:val="32"/>
          <w:highlight w:val="none"/>
        </w:rPr>
      </w:pPr>
      <w:r>
        <w:rPr>
          <w:rFonts w:hint="eastAsia" w:ascii="宋体" w:hAnsi="宋体"/>
          <w:color w:val="auto"/>
          <w:kern w:val="0"/>
          <w:sz w:val="24"/>
          <w:highlight w:val="none"/>
        </w:rPr>
        <w:t>年      月      日</w:t>
      </w:r>
    </w:p>
    <w:p w14:paraId="3E84FC23">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bookmarkStart w:id="271" w:name="_Toc9543"/>
      <w:bookmarkStart w:id="272" w:name="_Toc208"/>
      <w:bookmarkStart w:id="273" w:name="_Toc31291"/>
      <w:bookmarkStart w:id="274" w:name="_Toc14778"/>
      <w:r>
        <w:rPr>
          <w:rFonts w:hint="eastAsia" w:asciiTheme="minorEastAsia" w:hAnsiTheme="minorEastAsia" w:eastAsiaTheme="minorEastAsia" w:cstheme="minorEastAsia"/>
          <w:b/>
          <w:bCs/>
          <w:color w:val="auto"/>
          <w:sz w:val="28"/>
          <w:szCs w:val="28"/>
          <w:highlight w:val="none"/>
        </w:rPr>
        <w:t>（二） 开标一览表</w:t>
      </w:r>
      <w:bookmarkEnd w:id="271"/>
      <w:bookmarkEnd w:id="272"/>
      <w:bookmarkEnd w:id="273"/>
      <w:bookmarkEnd w:id="274"/>
    </w:p>
    <w:p w14:paraId="017FA617">
      <w:pPr>
        <w:jc w:val="center"/>
        <w:rPr>
          <w:rFonts w:asciiTheme="minorEastAsia" w:hAnsiTheme="minorEastAsia" w:eastAsiaTheme="minorEastAsia" w:cstheme="minorEastAsia"/>
          <w:b/>
          <w:bCs/>
          <w:color w:val="auto"/>
          <w:sz w:val="28"/>
          <w:highlight w:val="none"/>
        </w:rPr>
      </w:pPr>
    </w:p>
    <w:tbl>
      <w:tblPr>
        <w:tblStyle w:val="21"/>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14:paraId="7C01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2610" w:type="dxa"/>
            <w:vAlign w:val="center"/>
          </w:tcPr>
          <w:p w14:paraId="61177105">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5898" w:type="dxa"/>
            <w:vAlign w:val="center"/>
          </w:tcPr>
          <w:p w14:paraId="09132AD0">
            <w:pPr>
              <w:pStyle w:val="6"/>
              <w:spacing w:line="400" w:lineRule="exact"/>
              <w:ind w:firstLine="480"/>
              <w:rPr>
                <w:rFonts w:asciiTheme="minorEastAsia" w:hAnsiTheme="minorEastAsia" w:eastAsiaTheme="minorEastAsia" w:cstheme="minorEastAsia"/>
                <w:color w:val="auto"/>
                <w:sz w:val="24"/>
                <w:szCs w:val="20"/>
                <w:highlight w:val="none"/>
              </w:rPr>
            </w:pPr>
          </w:p>
        </w:tc>
      </w:tr>
      <w:tr w14:paraId="64A0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2610" w:type="dxa"/>
            <w:vAlign w:val="center"/>
          </w:tcPr>
          <w:p w14:paraId="09948DDF">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p>
        </w:tc>
        <w:tc>
          <w:tcPr>
            <w:tcW w:w="5898" w:type="dxa"/>
            <w:vAlign w:val="center"/>
          </w:tcPr>
          <w:p w14:paraId="47739549">
            <w:pPr>
              <w:pStyle w:val="6"/>
              <w:spacing w:line="400" w:lineRule="exact"/>
              <w:ind w:firstLine="480"/>
              <w:rPr>
                <w:rFonts w:asciiTheme="minorEastAsia" w:hAnsiTheme="minorEastAsia" w:eastAsiaTheme="minorEastAsia" w:cstheme="minorEastAsia"/>
                <w:color w:val="auto"/>
                <w:sz w:val="24"/>
                <w:szCs w:val="20"/>
                <w:highlight w:val="none"/>
              </w:rPr>
            </w:pPr>
          </w:p>
        </w:tc>
      </w:tr>
      <w:tr w14:paraId="0D2D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14:paraId="29BFF229">
            <w:pPr>
              <w:spacing w:line="300" w:lineRule="exact"/>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投标</w:t>
            </w:r>
            <w:r>
              <w:rPr>
                <w:rFonts w:hint="eastAsia" w:asciiTheme="minorEastAsia" w:hAnsiTheme="minorEastAsia" w:eastAsiaTheme="minorEastAsia" w:cstheme="minorEastAsia"/>
                <w:color w:val="auto"/>
                <w:sz w:val="24"/>
                <w:highlight w:val="none"/>
                <w:lang w:val="en-US" w:eastAsia="zh-CN"/>
              </w:rPr>
              <w:t>单价</w:t>
            </w:r>
          </w:p>
          <w:p w14:paraId="37701D93">
            <w:pPr>
              <w:spacing w:line="300" w:lineRule="exact"/>
              <w:jc w:val="center"/>
              <w:rPr>
                <w:rFonts w:hint="default" w:asciiTheme="minorEastAsia" w:hAnsiTheme="minorEastAsia" w:eastAsiaTheme="minorEastAsia" w:cstheme="minorEastAsia"/>
                <w:color w:val="auto"/>
                <w:sz w:val="24"/>
                <w:highlight w:val="none"/>
                <w:lang w:val="en-US" w:eastAsia="zh-CN"/>
              </w:rPr>
            </w:pPr>
          </w:p>
        </w:tc>
        <w:tc>
          <w:tcPr>
            <w:tcW w:w="5898" w:type="dxa"/>
            <w:vAlign w:val="center"/>
          </w:tcPr>
          <w:p w14:paraId="7B9B232A">
            <w:pPr>
              <w:pStyle w:val="6"/>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（大写）：</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 xml:space="preserve">元/吨 </w:t>
            </w:r>
            <w:r>
              <w:rPr>
                <w:rFonts w:hint="eastAsia" w:asciiTheme="minorEastAsia" w:hAnsiTheme="minorEastAsia" w:eastAsiaTheme="minorEastAsia" w:cstheme="minorEastAsia"/>
                <w:color w:val="auto"/>
                <w:sz w:val="24"/>
                <w:highlight w:val="none"/>
                <w:lang w:val="en-US" w:eastAsia="zh-CN"/>
              </w:rPr>
              <w:t>(按中水出水量)</w:t>
            </w:r>
            <w:r>
              <w:rPr>
                <w:rFonts w:hint="eastAsia" w:asciiTheme="minorEastAsia" w:hAnsiTheme="minorEastAsia" w:eastAsiaTheme="minorEastAsia" w:cstheme="minorEastAsia"/>
                <w:color w:val="auto"/>
                <w:kern w:val="2"/>
                <w:sz w:val="24"/>
                <w:szCs w:val="24"/>
                <w:highlight w:val="none"/>
                <w:lang w:val="en-US" w:eastAsia="zh-CN" w:bidi="ar-SA"/>
              </w:rPr>
              <w:t xml:space="preserve">                 </w:t>
            </w:r>
          </w:p>
          <w:p w14:paraId="1029DD5B">
            <w:pPr>
              <w:pStyle w:val="6"/>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left"/>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（小写）</w:t>
            </w:r>
            <w:r>
              <w:rPr>
                <w:rFonts w:hint="eastAsia" w:asciiTheme="minorEastAsia" w:hAnsiTheme="minorEastAsia" w:eastAsiaTheme="minorEastAsia" w:cstheme="minorEastAsia"/>
                <w:color w:val="auto"/>
                <w:sz w:val="24"/>
                <w:szCs w:val="20"/>
                <w:highlight w:val="none"/>
                <w:lang w:eastAsia="zh-CN"/>
              </w:rPr>
              <w:t>：</w:t>
            </w:r>
            <w:r>
              <w:rPr>
                <w:rFonts w:hint="eastAsia" w:asciiTheme="minorEastAsia" w:hAnsiTheme="minorEastAsia" w:eastAsiaTheme="minorEastAsia" w:cstheme="minorEastAsia"/>
                <w:color w:val="auto"/>
                <w:sz w:val="24"/>
                <w:szCs w:val="20"/>
                <w:highlight w:val="none"/>
                <w:u w:val="single"/>
              </w:rPr>
              <w:t xml:space="preserve">         </w:t>
            </w:r>
            <w:r>
              <w:rPr>
                <w:rFonts w:hint="eastAsia" w:asciiTheme="minorEastAsia" w:hAnsiTheme="minorEastAsia" w:eastAsiaTheme="minorEastAsia" w:cstheme="minorEastAsia"/>
                <w:color w:val="auto"/>
                <w:sz w:val="24"/>
                <w:szCs w:val="20"/>
                <w:highlight w:val="none"/>
                <w:u w:val="none"/>
                <w:lang w:val="en-US" w:eastAsia="zh-CN"/>
              </w:rPr>
              <w:t>元/吨</w:t>
            </w:r>
            <w:r>
              <w:rPr>
                <w:rFonts w:hint="eastAsia" w:asciiTheme="minorEastAsia" w:hAnsiTheme="minorEastAsia" w:eastAsiaTheme="minorEastAsia" w:cstheme="minorEastAsia"/>
                <w:color w:val="auto"/>
                <w:sz w:val="24"/>
                <w:szCs w:val="20"/>
                <w:highlight w:val="none"/>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sz w:val="24"/>
                <w:highlight w:val="none"/>
                <w:lang w:val="en-US" w:eastAsia="zh-CN"/>
              </w:rPr>
              <w:t>(按中水出水量)</w:t>
            </w:r>
            <w:r>
              <w:rPr>
                <w:rFonts w:hint="eastAsia" w:asciiTheme="minorEastAsia" w:hAnsiTheme="minorEastAsia" w:eastAsia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sz w:val="24"/>
                <w:szCs w:val="20"/>
                <w:highlight w:val="none"/>
              </w:rPr>
              <w:t xml:space="preserve">      </w:t>
            </w:r>
          </w:p>
        </w:tc>
      </w:tr>
      <w:tr w14:paraId="5DCE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610" w:type="dxa"/>
            <w:vAlign w:val="center"/>
          </w:tcPr>
          <w:p w14:paraId="404C81C6">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质量标准</w:t>
            </w:r>
          </w:p>
        </w:tc>
        <w:tc>
          <w:tcPr>
            <w:tcW w:w="5898" w:type="dxa"/>
            <w:vAlign w:val="center"/>
          </w:tcPr>
          <w:p w14:paraId="13A251DA">
            <w:pPr>
              <w:pStyle w:val="6"/>
              <w:spacing w:line="400" w:lineRule="exact"/>
              <w:ind w:firstLine="480"/>
              <w:rPr>
                <w:rFonts w:asciiTheme="minorEastAsia" w:hAnsiTheme="minorEastAsia" w:eastAsiaTheme="minorEastAsia" w:cstheme="minorEastAsia"/>
                <w:color w:val="auto"/>
                <w:sz w:val="24"/>
                <w:szCs w:val="20"/>
                <w:highlight w:val="none"/>
              </w:rPr>
            </w:pPr>
          </w:p>
        </w:tc>
      </w:tr>
      <w:tr w14:paraId="7C71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2610" w:type="dxa"/>
            <w:vAlign w:val="center"/>
          </w:tcPr>
          <w:p w14:paraId="5110D306">
            <w:pPr>
              <w:spacing w:line="300" w:lineRule="exact"/>
              <w:jc w:val="center"/>
              <w:rPr>
                <w:rFonts w:asciiTheme="minorEastAsia" w:hAnsiTheme="minorEastAsia" w:eastAsiaTheme="minorEastAsia" w:cstheme="minorEastAsia"/>
                <w:color w:val="auto"/>
                <w:sz w:val="24"/>
                <w:highlight w:val="none"/>
              </w:rPr>
            </w:pPr>
            <w:r>
              <w:rPr>
                <w:rFonts w:hint="default" w:asciiTheme="minorEastAsia" w:hAnsiTheme="minorEastAsia" w:eastAsiaTheme="minorEastAsia" w:cstheme="minorEastAsia"/>
                <w:color w:val="auto"/>
                <w:sz w:val="24"/>
                <w:highlight w:val="none"/>
                <w:lang w:val="en-US" w:eastAsia="zh-CN"/>
              </w:rPr>
              <w:t>运行周期</w:t>
            </w:r>
          </w:p>
        </w:tc>
        <w:tc>
          <w:tcPr>
            <w:tcW w:w="5898" w:type="dxa"/>
            <w:vAlign w:val="center"/>
          </w:tcPr>
          <w:p w14:paraId="490304ED">
            <w:pPr>
              <w:pStyle w:val="6"/>
              <w:spacing w:line="400" w:lineRule="exact"/>
              <w:ind w:firstLine="480"/>
              <w:rPr>
                <w:rFonts w:asciiTheme="minorEastAsia" w:hAnsiTheme="minorEastAsia" w:eastAsiaTheme="minorEastAsia" w:cstheme="minorEastAsia"/>
                <w:color w:val="auto"/>
                <w:sz w:val="24"/>
                <w:szCs w:val="20"/>
                <w:highlight w:val="none"/>
              </w:rPr>
            </w:pPr>
          </w:p>
        </w:tc>
      </w:tr>
      <w:tr w14:paraId="6480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2610" w:type="dxa"/>
            <w:vAlign w:val="center"/>
          </w:tcPr>
          <w:p w14:paraId="66E0753E">
            <w:pPr>
              <w:spacing w:line="300" w:lineRule="exact"/>
              <w:jc w:val="center"/>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bCs/>
                <w:iCs/>
                <w:color w:val="auto"/>
                <w:sz w:val="24"/>
                <w:highlight w:val="none"/>
              </w:rPr>
              <w:t>投标有效期</w:t>
            </w:r>
          </w:p>
        </w:tc>
        <w:tc>
          <w:tcPr>
            <w:tcW w:w="5898" w:type="dxa"/>
            <w:vAlign w:val="center"/>
          </w:tcPr>
          <w:p w14:paraId="4A379C86">
            <w:pPr>
              <w:pStyle w:val="6"/>
              <w:spacing w:line="400" w:lineRule="exact"/>
              <w:ind w:firstLine="480"/>
              <w:rPr>
                <w:rFonts w:asciiTheme="minorEastAsia" w:hAnsiTheme="minorEastAsia" w:eastAsiaTheme="minorEastAsia" w:cstheme="minorEastAsia"/>
                <w:color w:val="auto"/>
                <w:sz w:val="24"/>
                <w:szCs w:val="20"/>
                <w:highlight w:val="none"/>
              </w:rPr>
            </w:pPr>
          </w:p>
        </w:tc>
      </w:tr>
      <w:tr w14:paraId="53D8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8508" w:type="dxa"/>
            <w:gridSpan w:val="2"/>
            <w:vAlign w:val="center"/>
          </w:tcPr>
          <w:p w14:paraId="6DFB3C7A">
            <w:pPr>
              <w:pStyle w:val="6"/>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备注：</w:t>
            </w:r>
          </w:p>
        </w:tc>
      </w:tr>
    </w:tbl>
    <w:p w14:paraId="48302991">
      <w:pPr>
        <w:spacing w:line="360" w:lineRule="exact"/>
        <w:jc w:val="right"/>
        <w:rPr>
          <w:rFonts w:asciiTheme="minorEastAsia" w:hAnsiTheme="minorEastAsia" w:eastAsiaTheme="minorEastAsia" w:cstheme="minorEastAsia"/>
          <w:color w:val="auto"/>
          <w:sz w:val="24"/>
          <w:highlight w:val="none"/>
        </w:rPr>
      </w:pPr>
    </w:p>
    <w:p w14:paraId="0EB09EB0">
      <w:pPr>
        <w:ind w:firstLine="3240" w:firstLineChars="1350"/>
        <w:rPr>
          <w:rFonts w:asciiTheme="minorEastAsia" w:hAnsiTheme="minorEastAsia" w:eastAsiaTheme="minorEastAsia" w:cstheme="minorEastAsia"/>
          <w:color w:val="auto"/>
          <w:sz w:val="24"/>
          <w:highlight w:val="none"/>
        </w:rPr>
      </w:pPr>
    </w:p>
    <w:p w14:paraId="09BFE862">
      <w:pPr>
        <w:ind w:firstLine="3240" w:firstLineChars="1350"/>
        <w:rPr>
          <w:rFonts w:asciiTheme="minorEastAsia" w:hAnsiTheme="minorEastAsia" w:eastAsiaTheme="minorEastAsia" w:cstheme="minorEastAsia"/>
          <w:color w:val="auto"/>
          <w:sz w:val="24"/>
          <w:highlight w:val="none"/>
        </w:rPr>
      </w:pPr>
    </w:p>
    <w:p w14:paraId="533E55B8">
      <w:pPr>
        <w:ind w:firstLine="3240" w:firstLineChars="1350"/>
        <w:rPr>
          <w:rFonts w:asciiTheme="minorEastAsia" w:hAnsiTheme="minorEastAsia" w:eastAsiaTheme="minorEastAsia" w:cstheme="minorEastAsia"/>
          <w:color w:val="auto"/>
          <w:sz w:val="24"/>
          <w:highlight w:val="none"/>
        </w:rPr>
      </w:pPr>
    </w:p>
    <w:p w14:paraId="29D3E9D7">
      <w:pPr>
        <w:ind w:firstLine="3240" w:firstLineChars="1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供应商：（单位公章）</w:t>
      </w:r>
    </w:p>
    <w:p w14:paraId="6E2A7F35">
      <w:pPr>
        <w:ind w:left="1050" w:leftChars="500"/>
        <w:jc w:val="center"/>
        <w:rPr>
          <w:rFonts w:asciiTheme="minorEastAsia" w:hAnsiTheme="minorEastAsia" w:eastAsiaTheme="minorEastAsia" w:cstheme="minorEastAsia"/>
          <w:color w:val="auto"/>
          <w:sz w:val="24"/>
          <w:highlight w:val="none"/>
        </w:rPr>
      </w:pPr>
    </w:p>
    <w:p w14:paraId="536FE801">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法定代表人</w:t>
      </w:r>
      <w:r>
        <w:rPr>
          <w:rFonts w:hint="eastAsia" w:asciiTheme="minorEastAsia" w:hAnsiTheme="minorEastAsia" w:eastAsiaTheme="minorEastAsia" w:cstheme="minorEastAsia"/>
          <w:color w:val="auto"/>
          <w:sz w:val="24"/>
          <w:szCs w:val="20"/>
          <w:highlight w:val="none"/>
        </w:rPr>
        <w:t>或其委托代理人</w:t>
      </w:r>
      <w:r>
        <w:rPr>
          <w:rFonts w:hint="eastAsia" w:asciiTheme="minorEastAsia" w:hAnsiTheme="minorEastAsia" w:eastAsiaTheme="minorEastAsia" w:cstheme="minorEastAsia"/>
          <w:color w:val="auto"/>
          <w:sz w:val="24"/>
          <w:highlight w:val="none"/>
        </w:rPr>
        <w:t>：（签字或盖章）</w:t>
      </w:r>
    </w:p>
    <w:p w14:paraId="3597977D">
      <w:pPr>
        <w:ind w:left="1050" w:leftChars="500"/>
        <w:jc w:val="center"/>
        <w:rPr>
          <w:rFonts w:asciiTheme="minorEastAsia" w:hAnsiTheme="minorEastAsia" w:eastAsiaTheme="minorEastAsia" w:cstheme="minorEastAsia"/>
          <w:color w:val="auto"/>
          <w:sz w:val="24"/>
          <w:highlight w:val="none"/>
        </w:rPr>
      </w:pPr>
      <w:bookmarkStart w:id="305" w:name="_GoBack"/>
      <w:bookmarkEnd w:id="305"/>
    </w:p>
    <w:p w14:paraId="183E9104">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14:paraId="58972A07">
      <w:pPr>
        <w:rPr>
          <w:rFonts w:asciiTheme="minorEastAsia" w:hAnsiTheme="minorEastAsia" w:eastAsiaTheme="minorEastAsia" w:cstheme="minorEastAsia"/>
          <w:color w:val="auto"/>
          <w:highlight w:val="none"/>
        </w:rPr>
      </w:pPr>
    </w:p>
    <w:p w14:paraId="4FAD65A8">
      <w:pPr>
        <w:rPr>
          <w:rFonts w:asciiTheme="minorEastAsia" w:hAnsiTheme="minorEastAsia" w:eastAsiaTheme="minorEastAsia" w:cstheme="minorEastAsia"/>
          <w:color w:val="auto"/>
          <w:highlight w:val="none"/>
        </w:rPr>
      </w:pPr>
    </w:p>
    <w:p w14:paraId="7AA219BB">
      <w:pPr>
        <w:pStyle w:val="3"/>
        <w:rPr>
          <w:rFonts w:asciiTheme="minorEastAsia" w:hAnsiTheme="minorEastAsia" w:eastAsiaTheme="minorEastAsia" w:cstheme="minorEastAsia"/>
          <w:color w:val="auto"/>
          <w:sz w:val="24"/>
          <w:highlight w:val="none"/>
        </w:rPr>
      </w:pPr>
    </w:p>
    <w:p w14:paraId="78E7F99B">
      <w:pPr>
        <w:pStyle w:val="35"/>
        <w:rPr>
          <w:rFonts w:ascii="宋体" w:hAnsi="宋体" w:cs="宋体"/>
          <w:b/>
          <w:color w:val="auto"/>
          <w:sz w:val="30"/>
          <w:szCs w:val="30"/>
          <w:highlight w:val="none"/>
        </w:rPr>
      </w:pPr>
    </w:p>
    <w:p w14:paraId="1B5BE436">
      <w:pPr>
        <w:pStyle w:val="5"/>
        <w:ind w:firstLine="480"/>
        <w:rPr>
          <w:rFonts w:asciiTheme="minorEastAsia" w:hAnsiTheme="minorEastAsia" w:eastAsiaTheme="minorEastAsia" w:cstheme="minorEastAsia"/>
          <w:color w:val="auto"/>
          <w:sz w:val="24"/>
          <w:highlight w:val="none"/>
        </w:rPr>
      </w:pPr>
    </w:p>
    <w:p w14:paraId="560522E4">
      <w:pPr>
        <w:pStyle w:val="20"/>
        <w:numPr>
          <w:ilvl w:val="0"/>
          <w:numId w:val="11"/>
        </w:numPr>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75" w:name="_Toc2213"/>
      <w:bookmarkStart w:id="276" w:name="_Toc17935"/>
      <w:bookmarkStart w:id="277" w:name="_Toc26698"/>
      <w:bookmarkStart w:id="278" w:name="_Toc5614"/>
      <w:r>
        <w:rPr>
          <w:rFonts w:hint="eastAsia" w:asciiTheme="minorEastAsia" w:hAnsiTheme="minorEastAsia" w:eastAsiaTheme="minorEastAsia" w:cstheme="minorEastAsia"/>
          <w:color w:val="auto"/>
          <w:sz w:val="30"/>
          <w:szCs w:val="30"/>
          <w:highlight w:val="none"/>
        </w:rPr>
        <w:t>法定代表人身份证明书</w:t>
      </w:r>
      <w:bookmarkEnd w:id="275"/>
      <w:bookmarkEnd w:id="276"/>
      <w:bookmarkEnd w:id="277"/>
      <w:bookmarkEnd w:id="278"/>
    </w:p>
    <w:p w14:paraId="15A9FF0D">
      <w:pPr>
        <w:rPr>
          <w:color w:val="auto"/>
          <w:highlight w:val="none"/>
        </w:rPr>
      </w:pPr>
    </w:p>
    <w:p w14:paraId="583DB096">
      <w:pPr>
        <w:spacing w:line="360" w:lineRule="auto"/>
        <w:ind w:firstLine="480" w:firstLineChars="200"/>
        <w:rPr>
          <w:rFonts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2E8FE7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79A969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8DA584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316C4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A78CE6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14:paraId="091CF1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14:paraId="6429F20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特此证明。</w:t>
      </w:r>
    </w:p>
    <w:p w14:paraId="1181B728">
      <w:pPr>
        <w:rPr>
          <w:rFonts w:ascii="宋体" w:hAnsi="宋体"/>
          <w:color w:val="auto"/>
          <w:sz w:val="24"/>
          <w:highlight w:val="none"/>
        </w:rPr>
      </w:pPr>
    </w:p>
    <w:p w14:paraId="0DECA2EC">
      <w:pPr>
        <w:rPr>
          <w:rFonts w:ascii="宋体" w:hAnsi="宋体"/>
          <w:color w:val="auto"/>
          <w:sz w:val="24"/>
          <w:highlight w:val="none"/>
        </w:rPr>
      </w:pPr>
    </w:p>
    <w:p w14:paraId="4830692C">
      <w:pPr>
        <w:ind w:firstLine="480" w:firstLineChars="200"/>
        <w:rPr>
          <w:color w:val="auto"/>
          <w:highlight w:val="none"/>
        </w:rPr>
      </w:pPr>
      <w:r>
        <w:rPr>
          <w:rFonts w:hint="eastAsia" w:ascii="宋体" w:hAnsi="宋体"/>
          <w:color w:val="auto"/>
          <w:sz w:val="24"/>
          <w:highlight w:val="none"/>
        </w:rPr>
        <w:t>附：法定代表人身份证复印件（正反面）</w:t>
      </w:r>
    </w:p>
    <w:p w14:paraId="639723FB">
      <w:pPr>
        <w:rPr>
          <w:rFonts w:ascii="宋体" w:hAnsi="宋体"/>
          <w:color w:val="auto"/>
          <w:sz w:val="24"/>
          <w:highlight w:val="none"/>
        </w:rPr>
      </w:pPr>
    </w:p>
    <w:p w14:paraId="28549C1D">
      <w:pPr>
        <w:rPr>
          <w:color w:val="auto"/>
          <w:highlight w:val="none"/>
        </w:rPr>
      </w:pPr>
    </w:p>
    <w:p w14:paraId="2EF7DA2E">
      <w:pPr>
        <w:spacing w:line="360" w:lineRule="auto"/>
        <w:ind w:firstLine="480" w:firstLineChars="200"/>
        <w:rPr>
          <w:rFonts w:ascii="宋体" w:hAnsi="宋体"/>
          <w:color w:val="auto"/>
          <w:sz w:val="24"/>
          <w:highlight w:val="none"/>
        </w:rPr>
      </w:pPr>
    </w:p>
    <w:p w14:paraId="64B5921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p>
    <w:p w14:paraId="119EF81C">
      <w:pPr>
        <w:spacing w:line="360" w:lineRule="auto"/>
        <w:ind w:firstLine="480" w:firstLineChars="200"/>
        <w:rPr>
          <w:rFonts w:ascii="宋体" w:hAnsi="宋体"/>
          <w:color w:val="auto"/>
          <w:sz w:val="24"/>
          <w:highlight w:val="none"/>
        </w:rPr>
      </w:pPr>
    </w:p>
    <w:p w14:paraId="0D1D1D74">
      <w:pPr>
        <w:spacing w:line="360" w:lineRule="auto"/>
        <w:ind w:firstLine="5760" w:firstLineChars="2400"/>
        <w:rPr>
          <w:rFonts w:ascii="宋体" w:hAnsi="宋体"/>
          <w:color w:val="auto"/>
          <w:sz w:val="24"/>
          <w:highlight w:val="none"/>
        </w:rPr>
      </w:pPr>
    </w:p>
    <w:p w14:paraId="6E66A41A">
      <w:pPr>
        <w:spacing w:line="360" w:lineRule="auto"/>
        <w:ind w:firstLine="5760" w:firstLineChars="2400"/>
        <w:rPr>
          <w:rFonts w:ascii="宋体" w:hAnsi="宋体"/>
          <w:color w:val="auto"/>
          <w:sz w:val="24"/>
          <w:highlight w:val="none"/>
        </w:rPr>
      </w:pPr>
    </w:p>
    <w:p w14:paraId="71734C6C">
      <w:pPr>
        <w:spacing w:line="360" w:lineRule="auto"/>
        <w:ind w:firstLine="5760" w:firstLineChars="2400"/>
        <w:rPr>
          <w:rFonts w:ascii="宋体" w:hAnsi="宋体"/>
          <w:color w:val="auto"/>
          <w:sz w:val="24"/>
          <w:highlight w:val="none"/>
        </w:rPr>
      </w:pPr>
    </w:p>
    <w:p w14:paraId="6F1D4B6B">
      <w:pPr>
        <w:spacing w:line="360" w:lineRule="auto"/>
        <w:jc w:val="righ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（盖单位公章） </w:t>
      </w:r>
    </w:p>
    <w:p w14:paraId="6E6E679E">
      <w:pPr>
        <w:spacing w:line="360" w:lineRule="auto"/>
        <w:ind w:firstLine="5760" w:firstLineChars="2400"/>
        <w:jc w:val="right"/>
        <w:rPr>
          <w:rFonts w:ascii="宋体" w:hAnsi="宋体"/>
          <w:color w:val="auto"/>
          <w:sz w:val="24"/>
          <w:highlight w:val="none"/>
        </w:rPr>
      </w:pPr>
    </w:p>
    <w:p w14:paraId="21B7521A">
      <w:pPr>
        <w:spacing w:line="360" w:lineRule="auto"/>
        <w:ind w:firstLine="5760" w:firstLineChars="2400"/>
        <w:jc w:val="right"/>
        <w:rPr>
          <w:rFonts w:ascii="宋体" w:hAnsi="宋体"/>
          <w:color w:val="auto"/>
          <w:sz w:val="24"/>
          <w:highlight w:val="none"/>
        </w:rPr>
      </w:pPr>
      <w:r>
        <w:rPr>
          <w:rFonts w:hint="eastAsia" w:ascii="宋体" w:hAnsi="宋体"/>
          <w:color w:val="auto"/>
          <w:sz w:val="24"/>
          <w:highlight w:val="none"/>
        </w:rPr>
        <w:t>年    月     日</w:t>
      </w:r>
    </w:p>
    <w:p w14:paraId="53C8CA21">
      <w:pPr>
        <w:spacing w:line="440" w:lineRule="exact"/>
        <w:rPr>
          <w:rFonts w:asciiTheme="minorEastAsia" w:hAnsiTheme="minorEastAsia" w:eastAsiaTheme="minorEastAsia" w:cstheme="minorEastAsia"/>
          <w:color w:val="auto"/>
          <w:highlight w:val="none"/>
        </w:rPr>
      </w:pPr>
    </w:p>
    <w:p w14:paraId="3FBE40A3">
      <w:pPr>
        <w:jc w:val="center"/>
        <w:rPr>
          <w:rFonts w:asciiTheme="minorEastAsia" w:hAnsiTheme="minorEastAsia" w:eastAsiaTheme="minorEastAsia" w:cstheme="minorEastAsia"/>
          <w:b/>
          <w:bCs/>
          <w:color w:val="auto"/>
          <w:sz w:val="30"/>
          <w:szCs w:val="30"/>
          <w:highlight w:val="none"/>
        </w:rPr>
      </w:pPr>
      <w:bookmarkStart w:id="279" w:name="_Toc5815"/>
      <w:bookmarkStart w:id="280" w:name="_Toc17980"/>
      <w:bookmarkStart w:id="281" w:name="_Toc6009"/>
      <w:bookmarkStart w:id="282" w:name="_Toc15395"/>
      <w:r>
        <w:rPr>
          <w:rFonts w:hint="eastAsia" w:asciiTheme="minorEastAsia" w:hAnsiTheme="minorEastAsia" w:eastAsiaTheme="minorEastAsia" w:cstheme="minorEastAsia"/>
          <w:b/>
          <w:bCs/>
          <w:color w:val="auto"/>
          <w:sz w:val="30"/>
          <w:szCs w:val="30"/>
          <w:highlight w:val="none"/>
        </w:rPr>
        <w:t>三、授权委托书</w:t>
      </w:r>
      <w:bookmarkEnd w:id="279"/>
      <w:bookmarkEnd w:id="280"/>
      <w:bookmarkEnd w:id="281"/>
      <w:bookmarkEnd w:id="282"/>
    </w:p>
    <w:p w14:paraId="6DF05A3F">
      <w:pPr>
        <w:rPr>
          <w:color w:val="auto"/>
          <w:highlight w:val="none"/>
        </w:rPr>
      </w:pPr>
    </w:p>
    <w:p w14:paraId="1FDE816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lang w:val="en-US" w:eastAsia="zh-CN"/>
        </w:rPr>
        <w:t>的</w:t>
      </w:r>
      <w:r>
        <w:rPr>
          <w:rFonts w:hint="eastAsia" w:ascii="宋体" w:hAnsi="宋体"/>
          <w:color w:val="auto"/>
          <w:sz w:val="24"/>
          <w:highlight w:val="none"/>
        </w:rPr>
        <w:t>投标文件、签订合同和处理有关事宜，其法律后果由我方承担。</w:t>
      </w:r>
    </w:p>
    <w:p w14:paraId="6B98026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094EE71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16EEC878">
      <w:pPr>
        <w:spacing w:line="360" w:lineRule="auto"/>
        <w:ind w:firstLine="480" w:firstLineChars="200"/>
        <w:rPr>
          <w:rFonts w:ascii="宋体" w:hAnsi="宋体"/>
          <w:color w:val="auto"/>
          <w:sz w:val="24"/>
          <w:highlight w:val="none"/>
        </w:rPr>
      </w:pPr>
    </w:p>
    <w:p w14:paraId="3EC9335B">
      <w:pPr>
        <w:rPr>
          <w:color w:val="auto"/>
          <w:highlight w:val="none"/>
        </w:rPr>
      </w:pPr>
      <w:r>
        <w:rPr>
          <w:rFonts w:hint="eastAsia" w:ascii="宋体" w:hAnsi="宋体"/>
          <w:color w:val="auto"/>
          <w:sz w:val="24"/>
          <w:highlight w:val="none"/>
        </w:rPr>
        <w:t>附：委托代理人身份证复印件正反面</w:t>
      </w:r>
    </w:p>
    <w:p w14:paraId="397CAD15">
      <w:pPr>
        <w:spacing w:line="360" w:lineRule="auto"/>
        <w:jc w:val="left"/>
        <w:rPr>
          <w:rFonts w:ascii="宋体" w:hAnsi="宋体"/>
          <w:color w:val="auto"/>
          <w:sz w:val="24"/>
          <w:highlight w:val="none"/>
        </w:rPr>
      </w:pPr>
    </w:p>
    <w:p w14:paraId="48795FF4">
      <w:pPr>
        <w:spacing w:line="360" w:lineRule="auto"/>
        <w:ind w:firstLine="480" w:firstLineChars="200"/>
        <w:jc w:val="left"/>
        <w:rPr>
          <w:rFonts w:ascii="宋体" w:hAnsi="宋体"/>
          <w:color w:val="auto"/>
          <w:sz w:val="24"/>
          <w:highlight w:val="none"/>
        </w:rPr>
      </w:pPr>
    </w:p>
    <w:p w14:paraId="09489967">
      <w:pPr>
        <w:spacing w:line="360" w:lineRule="auto"/>
        <w:ind w:firstLine="480" w:firstLineChars="200"/>
        <w:jc w:val="left"/>
        <w:rPr>
          <w:rFonts w:ascii="宋体" w:hAnsi="宋体"/>
          <w:color w:val="auto"/>
          <w:sz w:val="24"/>
          <w:highlight w:val="none"/>
        </w:rPr>
      </w:pPr>
    </w:p>
    <w:p w14:paraId="62C4DC82">
      <w:pPr>
        <w:spacing w:line="360" w:lineRule="auto"/>
        <w:ind w:firstLine="480" w:firstLineChars="200"/>
        <w:jc w:val="left"/>
        <w:rPr>
          <w:rFonts w:ascii="宋体" w:hAnsi="宋体"/>
          <w:color w:val="auto"/>
          <w:sz w:val="24"/>
          <w:highlight w:val="none"/>
        </w:rPr>
      </w:pPr>
    </w:p>
    <w:p w14:paraId="0C33EAEA">
      <w:pPr>
        <w:spacing w:line="360" w:lineRule="auto"/>
        <w:ind w:firstLine="480" w:firstLineChars="200"/>
        <w:jc w:val="left"/>
        <w:rPr>
          <w:rFonts w:ascii="宋体" w:hAnsi="宋体"/>
          <w:color w:val="auto"/>
          <w:sz w:val="24"/>
          <w:highlight w:val="none"/>
        </w:rPr>
      </w:pPr>
    </w:p>
    <w:p w14:paraId="3DB9C0BB">
      <w:pPr>
        <w:spacing w:line="360" w:lineRule="auto"/>
        <w:jc w:val="left"/>
        <w:rPr>
          <w:rFonts w:ascii="宋体" w:hAnsi="宋体"/>
          <w:color w:val="auto"/>
          <w:sz w:val="24"/>
          <w:highlight w:val="none"/>
        </w:rPr>
      </w:pPr>
    </w:p>
    <w:p w14:paraId="68DF8BF1">
      <w:pPr>
        <w:spacing w:line="360" w:lineRule="auto"/>
        <w:ind w:firstLine="4560" w:firstLineChars="1900"/>
        <w:jc w:val="lef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（盖单位公章） </w:t>
      </w:r>
    </w:p>
    <w:p w14:paraId="068B9308">
      <w:pPr>
        <w:spacing w:line="360" w:lineRule="auto"/>
        <w:ind w:firstLine="4560" w:firstLineChars="1900"/>
        <w:jc w:val="left"/>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78D1DB27">
      <w:pPr>
        <w:spacing w:line="360" w:lineRule="auto"/>
        <w:ind w:firstLine="4560" w:firstLineChars="1900"/>
        <w:jc w:val="left"/>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06088FED">
      <w:pPr>
        <w:spacing w:line="360" w:lineRule="auto"/>
        <w:ind w:firstLine="5040" w:firstLineChars="2100"/>
        <w:rPr>
          <w:rFonts w:ascii="宋体" w:hAnsi="宋体"/>
          <w:color w:val="auto"/>
          <w:sz w:val="24"/>
          <w:highlight w:val="none"/>
        </w:rPr>
      </w:pPr>
    </w:p>
    <w:p w14:paraId="74B969E4">
      <w:pPr>
        <w:spacing w:line="360" w:lineRule="auto"/>
        <w:ind w:firstLine="5040" w:firstLineChars="2100"/>
        <w:rPr>
          <w:rFonts w:asciiTheme="minorEastAsia" w:hAnsiTheme="minorEastAsia" w:eastAsiaTheme="minorEastAsia" w:cstheme="minorEastAsia"/>
          <w:color w:val="auto"/>
          <w:sz w:val="30"/>
          <w:szCs w:val="30"/>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bookmarkEnd w:id="248"/>
    </w:p>
    <w:p w14:paraId="6B3FED8B">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kern w:val="2"/>
          <w:sz w:val="30"/>
          <w:szCs w:val="30"/>
          <w:highlight w:val="none"/>
        </w:rPr>
      </w:pPr>
    </w:p>
    <w:p w14:paraId="15816A9C">
      <w:pPr>
        <w:pStyle w:val="19"/>
        <w:widowControl w:val="0"/>
        <w:spacing w:before="120" w:beforeAutospacing="0" w:after="120" w:afterAutospacing="0" w:line="500" w:lineRule="exact"/>
        <w:ind w:right="29" w:rightChars="14"/>
        <w:jc w:val="both"/>
        <w:rPr>
          <w:rFonts w:asciiTheme="minorEastAsia" w:hAnsiTheme="minorEastAsia" w:eastAsiaTheme="minorEastAsia" w:cstheme="minorEastAsia"/>
          <w:b/>
          <w:bCs/>
          <w:color w:val="auto"/>
          <w:kern w:val="2"/>
          <w:sz w:val="30"/>
          <w:szCs w:val="30"/>
          <w:highlight w:val="none"/>
        </w:rPr>
      </w:pPr>
    </w:p>
    <w:p w14:paraId="5F21C06B">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bookmarkStart w:id="283" w:name="_Toc8304"/>
      <w:bookmarkStart w:id="284" w:name="_Toc25161"/>
    </w:p>
    <w:p w14:paraId="46FB0044">
      <w:pP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23B3471C">
      <w:pPr>
        <w:pStyle w:val="19"/>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kern w:val="2"/>
          <w:sz w:val="30"/>
          <w:szCs w:val="30"/>
          <w:highlight w:val="none"/>
        </w:rPr>
        <w:t>四、项目</w:t>
      </w:r>
      <w:r>
        <w:rPr>
          <w:rFonts w:hint="eastAsia" w:asciiTheme="minorEastAsia" w:hAnsiTheme="minorEastAsia" w:eastAsiaTheme="minorEastAsia" w:cstheme="minorEastAsia"/>
          <w:b/>
          <w:color w:val="auto"/>
          <w:kern w:val="2"/>
          <w:sz w:val="30"/>
          <w:szCs w:val="30"/>
          <w:highlight w:val="none"/>
          <w:lang w:val="en-US" w:eastAsia="zh-CN"/>
        </w:rPr>
        <w:t>服务</w:t>
      </w:r>
      <w:r>
        <w:rPr>
          <w:rFonts w:hint="eastAsia" w:asciiTheme="minorEastAsia" w:hAnsiTheme="minorEastAsia" w:eastAsiaTheme="minorEastAsia" w:cstheme="minorEastAsia"/>
          <w:b/>
          <w:color w:val="auto"/>
          <w:kern w:val="2"/>
          <w:sz w:val="30"/>
          <w:szCs w:val="30"/>
          <w:highlight w:val="none"/>
        </w:rPr>
        <w:t>方案</w:t>
      </w:r>
      <w:bookmarkEnd w:id="283"/>
      <w:r>
        <w:rPr>
          <w:rFonts w:hint="eastAsia" w:asciiTheme="minorEastAsia" w:hAnsiTheme="minorEastAsia" w:eastAsiaTheme="minorEastAsia" w:cstheme="minorEastAsia"/>
          <w:b/>
          <w:color w:val="auto"/>
          <w:kern w:val="2"/>
          <w:sz w:val="30"/>
          <w:szCs w:val="30"/>
          <w:highlight w:val="none"/>
        </w:rPr>
        <w:t>等</w:t>
      </w:r>
      <w:bookmarkEnd w:id="284"/>
    </w:p>
    <w:p w14:paraId="02759F1A">
      <w:pPr>
        <w:ind w:left="420"/>
        <w:rPr>
          <w:rFonts w:asciiTheme="minorEastAsia" w:hAnsiTheme="minorEastAsia" w:eastAsiaTheme="minorEastAsia" w:cstheme="minorEastAsia"/>
          <w:b/>
          <w:color w:val="auto"/>
          <w:sz w:val="30"/>
          <w:szCs w:val="30"/>
          <w:highlight w:val="none"/>
        </w:rPr>
      </w:pPr>
    </w:p>
    <w:p w14:paraId="43EDBE4F">
      <w:pPr>
        <w:ind w:left="420"/>
        <w:rPr>
          <w:rFonts w:asciiTheme="minorEastAsia" w:hAnsiTheme="minorEastAsia" w:eastAsiaTheme="minorEastAsia" w:cstheme="minorEastAsia"/>
          <w:b/>
          <w:color w:val="auto"/>
          <w:sz w:val="30"/>
          <w:szCs w:val="30"/>
          <w:highlight w:val="none"/>
        </w:rPr>
      </w:pPr>
    </w:p>
    <w:p w14:paraId="2EEEE792">
      <w:pPr>
        <w:ind w:left="420"/>
        <w:rPr>
          <w:rFonts w:asciiTheme="minorEastAsia" w:hAnsiTheme="minorEastAsia" w:eastAsiaTheme="minorEastAsia" w:cstheme="minorEastAsia"/>
          <w:b/>
          <w:color w:val="auto"/>
          <w:sz w:val="30"/>
          <w:szCs w:val="30"/>
          <w:highlight w:val="none"/>
        </w:rPr>
      </w:pPr>
    </w:p>
    <w:p w14:paraId="5211565F">
      <w:pPr>
        <w:ind w:left="420"/>
        <w:rPr>
          <w:rFonts w:asciiTheme="minorEastAsia" w:hAnsiTheme="minorEastAsia" w:eastAsiaTheme="minorEastAsia" w:cstheme="minorEastAsia"/>
          <w:b/>
          <w:color w:val="auto"/>
          <w:sz w:val="30"/>
          <w:szCs w:val="30"/>
          <w:highlight w:val="none"/>
        </w:rPr>
      </w:pPr>
    </w:p>
    <w:p w14:paraId="48678EF9">
      <w:pPr>
        <w:ind w:left="420"/>
        <w:rPr>
          <w:rFonts w:asciiTheme="minorEastAsia" w:hAnsiTheme="minorEastAsia" w:eastAsiaTheme="minorEastAsia" w:cstheme="minorEastAsia"/>
          <w:b/>
          <w:color w:val="auto"/>
          <w:sz w:val="30"/>
          <w:szCs w:val="30"/>
          <w:highlight w:val="none"/>
        </w:rPr>
      </w:pPr>
    </w:p>
    <w:p w14:paraId="799965FA">
      <w:pPr>
        <w:ind w:left="420"/>
        <w:rPr>
          <w:rFonts w:asciiTheme="minorEastAsia" w:hAnsiTheme="minorEastAsia" w:eastAsiaTheme="minorEastAsia" w:cstheme="minorEastAsia"/>
          <w:b/>
          <w:color w:val="auto"/>
          <w:sz w:val="30"/>
          <w:szCs w:val="30"/>
          <w:highlight w:val="none"/>
        </w:rPr>
      </w:pPr>
    </w:p>
    <w:p w14:paraId="39E3B3D7">
      <w:pPr>
        <w:ind w:left="420"/>
        <w:rPr>
          <w:rFonts w:asciiTheme="minorEastAsia" w:hAnsiTheme="minorEastAsia" w:eastAsiaTheme="minorEastAsia" w:cstheme="minorEastAsia"/>
          <w:b/>
          <w:color w:val="auto"/>
          <w:sz w:val="30"/>
          <w:szCs w:val="30"/>
          <w:highlight w:val="none"/>
        </w:rPr>
      </w:pPr>
    </w:p>
    <w:p w14:paraId="6852D2C4">
      <w:pPr>
        <w:ind w:left="420"/>
        <w:rPr>
          <w:rFonts w:asciiTheme="minorEastAsia" w:hAnsiTheme="minorEastAsia" w:eastAsiaTheme="minorEastAsia" w:cstheme="minorEastAsia"/>
          <w:b/>
          <w:color w:val="auto"/>
          <w:sz w:val="30"/>
          <w:szCs w:val="30"/>
          <w:highlight w:val="none"/>
        </w:rPr>
      </w:pPr>
    </w:p>
    <w:p w14:paraId="0D42DD0A">
      <w:pPr>
        <w:ind w:left="420"/>
        <w:rPr>
          <w:rFonts w:asciiTheme="minorEastAsia" w:hAnsiTheme="minorEastAsia" w:eastAsiaTheme="minorEastAsia" w:cstheme="minorEastAsia"/>
          <w:b/>
          <w:color w:val="auto"/>
          <w:sz w:val="30"/>
          <w:szCs w:val="30"/>
          <w:highlight w:val="none"/>
        </w:rPr>
      </w:pPr>
    </w:p>
    <w:p w14:paraId="32910DAC">
      <w:pPr>
        <w:ind w:left="420"/>
        <w:rPr>
          <w:rFonts w:asciiTheme="minorEastAsia" w:hAnsiTheme="minorEastAsia" w:eastAsiaTheme="minorEastAsia" w:cstheme="minorEastAsia"/>
          <w:b/>
          <w:color w:val="auto"/>
          <w:sz w:val="30"/>
          <w:szCs w:val="30"/>
          <w:highlight w:val="none"/>
        </w:rPr>
      </w:pPr>
    </w:p>
    <w:p w14:paraId="73B4C2F9">
      <w:pPr>
        <w:ind w:left="420"/>
        <w:rPr>
          <w:rFonts w:asciiTheme="minorEastAsia" w:hAnsiTheme="minorEastAsia" w:eastAsiaTheme="minorEastAsia" w:cstheme="minorEastAsia"/>
          <w:b/>
          <w:color w:val="auto"/>
          <w:sz w:val="30"/>
          <w:szCs w:val="30"/>
          <w:highlight w:val="none"/>
        </w:rPr>
      </w:pPr>
    </w:p>
    <w:p w14:paraId="00AC9FD0">
      <w:pPr>
        <w:rPr>
          <w:rFonts w:asciiTheme="minorEastAsia" w:hAnsiTheme="minorEastAsia" w:eastAsiaTheme="minorEastAsia" w:cstheme="minorEastAsia"/>
          <w:b/>
          <w:color w:val="auto"/>
          <w:sz w:val="30"/>
          <w:szCs w:val="30"/>
          <w:highlight w:val="none"/>
        </w:rPr>
      </w:pPr>
    </w:p>
    <w:p w14:paraId="7FF4C10E">
      <w:pPr>
        <w:rPr>
          <w:rFonts w:asciiTheme="minorEastAsia" w:hAnsiTheme="minorEastAsia" w:eastAsiaTheme="minorEastAsia" w:cstheme="minorEastAsia"/>
          <w:b/>
          <w:color w:val="auto"/>
          <w:sz w:val="30"/>
          <w:szCs w:val="30"/>
          <w:highlight w:val="none"/>
        </w:rPr>
      </w:pPr>
    </w:p>
    <w:p w14:paraId="0217802A">
      <w:pPr>
        <w:ind w:left="420"/>
        <w:rPr>
          <w:rFonts w:asciiTheme="minorEastAsia" w:hAnsiTheme="minorEastAsia" w:eastAsiaTheme="minorEastAsia" w:cstheme="minorEastAsia"/>
          <w:b/>
          <w:color w:val="auto"/>
          <w:sz w:val="30"/>
          <w:szCs w:val="30"/>
          <w:highlight w:val="none"/>
        </w:rPr>
      </w:pPr>
    </w:p>
    <w:p w14:paraId="51E0AED0">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bookmarkStart w:id="285" w:name="_Toc10043"/>
    </w:p>
    <w:p w14:paraId="61E840C9">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14:paraId="51C5F29F">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14:paraId="62C733EF">
      <w:pPr>
        <w:rPr>
          <w:rFonts w:asciiTheme="minorEastAsia" w:hAnsiTheme="minorEastAsia" w:eastAsiaTheme="minorEastAsia" w:cstheme="minorEastAsia"/>
          <w:b/>
          <w:color w:val="auto"/>
          <w:sz w:val="30"/>
          <w:szCs w:val="30"/>
          <w:highlight w:val="none"/>
        </w:rPr>
      </w:pPr>
      <w:bookmarkStart w:id="286" w:name="_Toc20650"/>
      <w:bookmarkStart w:id="287" w:name="_Toc30146"/>
      <w:bookmarkStart w:id="288" w:name="_Toc29492"/>
      <w:r>
        <w:rPr>
          <w:rFonts w:hint="eastAsia" w:asciiTheme="minorEastAsia" w:hAnsiTheme="minorEastAsia" w:eastAsiaTheme="minorEastAsia" w:cstheme="minorEastAsia"/>
          <w:b/>
          <w:color w:val="auto"/>
          <w:sz w:val="30"/>
          <w:szCs w:val="30"/>
          <w:highlight w:val="none"/>
        </w:rPr>
        <w:br w:type="page"/>
      </w:r>
    </w:p>
    <w:p w14:paraId="4D952CE5">
      <w:pPr>
        <w:overflowPunct w:val="0"/>
        <w:adjustRightInd w:val="0"/>
        <w:snapToGrid w:val="0"/>
        <w:spacing w:line="574" w:lineRule="exact"/>
        <w:jc w:val="center"/>
        <w:rPr>
          <w:rFonts w:ascii="宋体" w:hAnsi="宋体" w:cs="宋体"/>
          <w:b/>
          <w:bCs/>
          <w:color w:val="auto"/>
          <w:sz w:val="32"/>
          <w:szCs w:val="32"/>
          <w:highlight w:val="none"/>
        </w:rPr>
      </w:pPr>
      <w:r>
        <w:rPr>
          <w:rFonts w:hint="eastAsia" w:asciiTheme="minorEastAsia" w:hAnsiTheme="minorEastAsia" w:eastAsiaTheme="minorEastAsia" w:cstheme="minorEastAsia"/>
          <w:b/>
          <w:color w:val="auto"/>
          <w:sz w:val="30"/>
          <w:szCs w:val="30"/>
          <w:highlight w:val="none"/>
        </w:rPr>
        <w:t>五、</w:t>
      </w:r>
      <w:bookmarkEnd w:id="285"/>
      <w:bookmarkEnd w:id="286"/>
      <w:bookmarkEnd w:id="287"/>
      <w:bookmarkEnd w:id="288"/>
      <w:r>
        <w:rPr>
          <w:rFonts w:hint="eastAsia" w:ascii="宋体" w:hAnsi="宋体" w:cs="宋体"/>
          <w:b/>
          <w:bCs/>
          <w:color w:val="auto"/>
          <w:sz w:val="32"/>
          <w:szCs w:val="32"/>
          <w:highlight w:val="none"/>
        </w:rPr>
        <w:t>政府采购供应商资格信用承诺函</w:t>
      </w:r>
    </w:p>
    <w:p w14:paraId="6E60E62B">
      <w:pPr>
        <w:spacing w:line="400" w:lineRule="exact"/>
        <w:jc w:val="left"/>
        <w:rPr>
          <w:color w:val="auto"/>
          <w:sz w:val="24"/>
          <w:highlight w:val="none"/>
        </w:rPr>
      </w:pPr>
    </w:p>
    <w:p w14:paraId="04B1ED27">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致</w:t>
      </w:r>
      <w:r>
        <w:rPr>
          <w:rFonts w:hint="eastAsia" w:ascii="仿宋_GB2312" w:hAnsi="仿宋_GB2312" w:cs="仿宋_GB2312"/>
          <w:color w:val="auto"/>
          <w:sz w:val="24"/>
          <w:highlight w:val="none"/>
          <w:u w:val="single"/>
        </w:rPr>
        <w:t xml:space="preserve">（采购人）     </w:t>
      </w:r>
      <w:r>
        <w:rPr>
          <w:rFonts w:hint="eastAsia" w:ascii="仿宋_GB2312" w:hAnsi="仿宋_GB2312" w:cs="仿宋_GB2312"/>
          <w:color w:val="auto"/>
          <w:sz w:val="24"/>
          <w:highlight w:val="none"/>
        </w:rPr>
        <w:t>：</w:t>
      </w:r>
    </w:p>
    <w:p w14:paraId="6FC09B8F">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供应商名称：</w:t>
      </w:r>
      <w:r>
        <w:rPr>
          <w:rFonts w:hint="eastAsia" w:ascii="仿宋_GB2312" w:hAnsi="仿宋_GB2312" w:cs="仿宋_GB2312"/>
          <w:color w:val="auto"/>
          <w:sz w:val="24"/>
          <w:highlight w:val="none"/>
          <w:u w:val="single"/>
        </w:rPr>
        <w:t xml:space="preserve">                                         </w:t>
      </w:r>
      <w:r>
        <w:rPr>
          <w:rFonts w:hint="eastAsia" w:ascii="仿宋_GB2312" w:hAnsi="仿宋_GB2312" w:cs="仿宋_GB2312"/>
          <w:color w:val="auto"/>
          <w:sz w:val="24"/>
          <w:highlight w:val="none"/>
        </w:rPr>
        <w:t xml:space="preserve">                                  </w:t>
      </w:r>
    </w:p>
    <w:p w14:paraId="5942E19E">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统一社会信用代码：</w:t>
      </w:r>
      <w:r>
        <w:rPr>
          <w:rFonts w:hint="eastAsia" w:ascii="仿宋_GB2312" w:hAnsi="仿宋_GB2312" w:cs="仿宋_GB2312"/>
          <w:color w:val="auto"/>
          <w:sz w:val="24"/>
          <w:highlight w:val="none"/>
          <w:u w:val="single"/>
        </w:rPr>
        <w:t xml:space="preserve">                                 </w:t>
      </w:r>
      <w:r>
        <w:rPr>
          <w:rFonts w:hint="eastAsia" w:ascii="仿宋_GB2312" w:hAnsi="仿宋_GB2312" w:cs="仿宋_GB2312"/>
          <w:color w:val="auto"/>
          <w:sz w:val="24"/>
          <w:highlight w:val="none"/>
        </w:rPr>
        <w:t xml:space="preserve">                            </w:t>
      </w:r>
    </w:p>
    <w:p w14:paraId="23E4EA62">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供应商地址：</w:t>
      </w:r>
      <w:r>
        <w:rPr>
          <w:rFonts w:hint="eastAsia" w:ascii="仿宋_GB2312" w:hAnsi="仿宋_GB2312" w:cs="仿宋_GB2312"/>
          <w:color w:val="auto"/>
          <w:sz w:val="24"/>
          <w:highlight w:val="none"/>
          <w:u w:val="single"/>
        </w:rPr>
        <w:t xml:space="preserve">                                         </w:t>
      </w:r>
      <w:r>
        <w:rPr>
          <w:rFonts w:hint="eastAsia" w:ascii="仿宋_GB2312" w:hAnsi="仿宋_GB2312" w:cs="仿宋_GB2312"/>
          <w:color w:val="auto"/>
          <w:sz w:val="24"/>
          <w:highlight w:val="none"/>
        </w:rPr>
        <w:t xml:space="preserve">                              </w:t>
      </w:r>
    </w:p>
    <w:p w14:paraId="053064AF">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BC7AB9E">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一、我单位具有有效的营业执照（三证合一），并具有实施完成本项目的经营实力和完善的售后服务体系；</w:t>
      </w:r>
    </w:p>
    <w:p w14:paraId="2650A29A">
      <w:pPr>
        <w:overflowPunct w:val="0"/>
        <w:adjustRightInd w:val="0"/>
        <w:snapToGrid w:val="0"/>
        <w:spacing w:line="574" w:lineRule="exact"/>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二、我单位符合《中华人民共和国政府采购法》第二十二条规定的条件：</w:t>
      </w:r>
    </w:p>
    <w:p w14:paraId="3FB20C63">
      <w:pPr>
        <w:overflowPunct w:val="0"/>
        <w:adjustRightInd w:val="0"/>
        <w:snapToGrid w:val="0"/>
        <w:spacing w:line="574" w:lineRule="exact"/>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1.我单位具有符合采购文件资格要求的独立承担民事责任的能力。</w:t>
      </w:r>
    </w:p>
    <w:p w14:paraId="5AA111D3">
      <w:pPr>
        <w:overflowPunct w:val="0"/>
        <w:adjustRightInd w:val="0"/>
        <w:snapToGrid w:val="0"/>
        <w:spacing w:line="574" w:lineRule="exact"/>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2.我单位具有符合采购文件资格要求的财务状况报告。</w:t>
      </w:r>
    </w:p>
    <w:p w14:paraId="076BCEB9">
      <w:pPr>
        <w:overflowPunct w:val="0"/>
        <w:adjustRightInd w:val="0"/>
        <w:snapToGrid w:val="0"/>
        <w:spacing w:line="574" w:lineRule="exact"/>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3.我单位具有符合采购文件资格要求的依法缴纳税收和社会保障记录的良好记录。</w:t>
      </w:r>
    </w:p>
    <w:p w14:paraId="6264BAC7">
      <w:pPr>
        <w:overflowPunct w:val="0"/>
        <w:adjustRightInd w:val="0"/>
        <w:snapToGrid w:val="0"/>
        <w:spacing w:line="574" w:lineRule="exact"/>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4.我单位具有符合采购文件资格要求的履行合同所必需的设备和专业技术能力。</w:t>
      </w:r>
    </w:p>
    <w:p w14:paraId="2526DA62">
      <w:pPr>
        <w:overflowPunct w:val="0"/>
        <w:adjustRightInd w:val="0"/>
        <w:snapToGrid w:val="0"/>
        <w:spacing w:line="574" w:lineRule="exact"/>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5.我单位参加政府采购活动前三年内，在经营活动中没有重大违法记录。</w:t>
      </w:r>
    </w:p>
    <w:p w14:paraId="34DCA2EE">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若我单位承诺不实，自愿承担提供虚假材料谋取中标、成交的法律责任。</w:t>
      </w:r>
    </w:p>
    <w:p w14:paraId="6C8BDF11">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承诺供应商（全称并加盖公章）：</w:t>
      </w:r>
      <w:r>
        <w:rPr>
          <w:rFonts w:hint="eastAsia" w:ascii="仿宋_GB2312" w:hAnsi="仿宋_GB2312" w:cs="仿宋_GB2312"/>
          <w:color w:val="auto"/>
          <w:sz w:val="24"/>
          <w:highlight w:val="none"/>
          <w:u w:val="single"/>
        </w:rPr>
        <w:t xml:space="preserve">                                          </w:t>
      </w:r>
      <w:r>
        <w:rPr>
          <w:rFonts w:hint="eastAsia" w:ascii="仿宋_GB2312" w:hAnsi="仿宋_GB2312" w:cs="仿宋_GB2312"/>
          <w:color w:val="auto"/>
          <w:sz w:val="24"/>
          <w:highlight w:val="none"/>
        </w:rPr>
        <w:t xml:space="preserve"> </w:t>
      </w:r>
    </w:p>
    <w:p w14:paraId="2E948026">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法定代表人或授权代表(签字或签章)：</w:t>
      </w:r>
      <w:r>
        <w:rPr>
          <w:rFonts w:hint="eastAsia" w:ascii="仿宋_GB2312" w:hAnsi="仿宋_GB2312" w:cs="仿宋_GB2312"/>
          <w:color w:val="auto"/>
          <w:sz w:val="24"/>
          <w:highlight w:val="none"/>
          <w:u w:val="single"/>
        </w:rPr>
        <w:t xml:space="preserve">                                           </w:t>
      </w:r>
      <w:r>
        <w:rPr>
          <w:rFonts w:hint="eastAsia" w:ascii="仿宋_GB2312" w:hAnsi="仿宋_GB2312" w:cs="仿宋_GB2312"/>
          <w:color w:val="auto"/>
          <w:sz w:val="24"/>
          <w:highlight w:val="none"/>
        </w:rPr>
        <w:t xml:space="preserve">  </w:t>
      </w:r>
    </w:p>
    <w:p w14:paraId="73FF95C4">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日期：    年  月  日 </w:t>
      </w:r>
    </w:p>
    <w:p w14:paraId="7F13501B">
      <w:pPr>
        <w:overflowPunct w:val="0"/>
        <w:adjustRightInd w:val="0"/>
        <w:snapToGrid w:val="0"/>
        <w:spacing w:line="574" w:lineRule="exact"/>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w:t>
      </w:r>
      <w:r>
        <w:rPr>
          <w:rFonts w:hint="eastAsia" w:ascii="仿宋_GB2312" w:hAnsi="仿宋_GB2312" w:cs="仿宋_GB2312"/>
          <w:b/>
          <w:bCs/>
          <w:color w:val="auto"/>
          <w:sz w:val="24"/>
          <w:highlight w:val="none"/>
        </w:rPr>
        <w:t>注：</w:t>
      </w:r>
      <w:r>
        <w:rPr>
          <w:rFonts w:hint="eastAsia" w:ascii="Times New Roman" w:hAnsi="Times New Roman" w:cs="仿宋_GB2312"/>
          <w:color w:val="auto"/>
          <w:sz w:val="24"/>
          <w:highlight w:val="none"/>
        </w:rPr>
        <w:t>1</w:t>
      </w:r>
      <w:r>
        <w:rPr>
          <w:rFonts w:hint="eastAsia" w:ascii="仿宋_GB2312" w:hAnsi="仿宋_GB2312" w:cs="仿宋_GB2312"/>
          <w:color w:val="auto"/>
          <w:sz w:val="24"/>
          <w:highlight w:val="none"/>
        </w:rPr>
        <w:t>.供应商须在投标文件中按此模板提供承诺函，未提供视为未实质性响应招标文件要求，按无效投标处理。</w:t>
      </w:r>
    </w:p>
    <w:p w14:paraId="31797058">
      <w:pPr>
        <w:overflowPunct w:val="0"/>
        <w:adjustRightInd w:val="0"/>
        <w:snapToGrid w:val="0"/>
        <w:spacing w:line="574" w:lineRule="exact"/>
        <w:rPr>
          <w:color w:val="auto"/>
          <w:sz w:val="24"/>
          <w:highlight w:val="none"/>
        </w:rPr>
      </w:pPr>
      <w:r>
        <w:rPr>
          <w:rFonts w:hint="eastAsia" w:ascii="仿宋_GB2312" w:hAnsi="仿宋_GB2312" w:cs="仿宋_GB2312"/>
          <w:color w:val="auto"/>
          <w:sz w:val="24"/>
          <w:highlight w:val="none"/>
        </w:rPr>
        <w:t xml:space="preserve">     </w:t>
      </w:r>
    </w:p>
    <w:p w14:paraId="6ACF73F8">
      <w:pPr>
        <w:pStyle w:val="5"/>
        <w:rPr>
          <w:color w:val="auto"/>
          <w:highlight w:val="none"/>
        </w:rPr>
      </w:pPr>
    </w:p>
    <w:p w14:paraId="6A5601B5">
      <w:pPr>
        <w:autoSpaceDE w:val="0"/>
        <w:autoSpaceDN w:val="0"/>
        <w:adjustRightInd w:val="0"/>
        <w:spacing w:line="440" w:lineRule="exact"/>
        <w:rPr>
          <w:rFonts w:asciiTheme="minorEastAsia" w:hAnsiTheme="minorEastAsia" w:eastAsiaTheme="minorEastAsia" w:cstheme="minorEastAsia"/>
          <w:b/>
          <w:color w:val="auto"/>
          <w:sz w:val="28"/>
          <w:highlight w:val="none"/>
        </w:rPr>
      </w:pPr>
    </w:p>
    <w:p w14:paraId="7AC8A1AD">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14:paraId="6F413B8C">
      <w:pPr>
        <w:pStyle w:val="2"/>
        <w:ind w:firstLine="281"/>
        <w:rPr>
          <w:rFonts w:hint="default" w:asciiTheme="minorEastAsia" w:hAnsiTheme="minorEastAsia" w:eastAsiaTheme="minorEastAsia" w:cstheme="minorEastAsia"/>
          <w:b/>
          <w:color w:val="auto"/>
          <w:sz w:val="28"/>
          <w:highlight w:val="none"/>
        </w:rPr>
      </w:pPr>
    </w:p>
    <w:p w14:paraId="0F9787DF">
      <w:pPr>
        <w:pStyle w:val="5"/>
        <w:ind w:firstLine="562"/>
        <w:rPr>
          <w:rFonts w:asciiTheme="minorEastAsia" w:hAnsiTheme="minorEastAsia" w:eastAsiaTheme="minorEastAsia" w:cstheme="minorEastAsia"/>
          <w:b/>
          <w:color w:val="auto"/>
          <w:sz w:val="28"/>
          <w:highlight w:val="none"/>
        </w:rPr>
      </w:pPr>
    </w:p>
    <w:p w14:paraId="197B7E5A">
      <w:pPr>
        <w:pStyle w:val="19"/>
        <w:widowControl w:val="0"/>
        <w:tabs>
          <w:tab w:val="left" w:pos="0"/>
        </w:tabs>
        <w:spacing w:before="120" w:beforeAutospacing="0" w:after="120" w:afterAutospacing="0" w:line="500" w:lineRule="exact"/>
        <w:ind w:right="29" w:rightChars="14" w:firstLine="3313" w:firstLineChars="1100"/>
        <w:outlineLvl w:val="1"/>
        <w:rPr>
          <w:rFonts w:asciiTheme="minorEastAsia" w:hAnsiTheme="minorEastAsia" w:eastAsiaTheme="minorEastAsia" w:cstheme="minorEastAsia"/>
          <w:b/>
          <w:color w:val="auto"/>
          <w:kern w:val="2"/>
          <w:sz w:val="30"/>
          <w:szCs w:val="30"/>
          <w:highlight w:val="none"/>
        </w:rPr>
      </w:pPr>
      <w:bookmarkStart w:id="289" w:name="_Toc4390"/>
      <w:bookmarkStart w:id="290" w:name="_Toc6465"/>
      <w:bookmarkStart w:id="291" w:name="_Toc8330"/>
      <w:bookmarkStart w:id="292" w:name="_Toc31553"/>
      <w:r>
        <w:rPr>
          <w:rFonts w:hint="eastAsia" w:asciiTheme="minorEastAsia" w:hAnsiTheme="minorEastAsia" w:eastAsiaTheme="minorEastAsia" w:cstheme="minorEastAsia"/>
          <w:b/>
          <w:color w:val="auto"/>
          <w:kern w:val="2"/>
          <w:sz w:val="30"/>
          <w:szCs w:val="30"/>
          <w:highlight w:val="none"/>
        </w:rPr>
        <w:t>六、供应商服务承诺和优惠承诺</w:t>
      </w:r>
      <w:bookmarkEnd w:id="289"/>
    </w:p>
    <w:p w14:paraId="1979D49D">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51196DB3">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29B2B8F1">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5CC41D47">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6E1E7669">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47D8B646">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4DE7C715">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47204ABE">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3A64DA75">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06C1D412">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0FA7B1EF">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1A14C6DF">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71B19FCA">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0CE91C33">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5E9C70C6">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6426ADAE">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75D26F54">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2D311837">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14:paraId="0A49C119">
      <w:pPr>
        <w:pStyle w:val="19"/>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bookmarkEnd w:id="290"/>
    <w:bookmarkEnd w:id="291"/>
    <w:p w14:paraId="745AE2F4">
      <w:pPr>
        <w:pStyle w:val="19"/>
        <w:widowControl w:val="0"/>
        <w:spacing w:before="120" w:beforeAutospacing="0" w:after="120" w:afterAutospacing="0" w:line="500" w:lineRule="exact"/>
        <w:ind w:right="29" w:rightChars="14"/>
        <w:jc w:val="both"/>
        <w:rPr>
          <w:rFonts w:asciiTheme="minorEastAsia" w:hAnsiTheme="minorEastAsia" w:eastAsiaTheme="minorEastAsia" w:cstheme="minorEastAsia"/>
          <w:b/>
          <w:color w:val="auto"/>
          <w:kern w:val="2"/>
          <w:sz w:val="30"/>
          <w:szCs w:val="30"/>
          <w:highlight w:val="none"/>
        </w:rPr>
      </w:pPr>
      <w:bookmarkStart w:id="293" w:name="_Toc23227"/>
      <w:bookmarkStart w:id="294" w:name="_Toc10717"/>
      <w:bookmarkStart w:id="295" w:name="_Toc24850"/>
    </w:p>
    <w:p w14:paraId="09215F54">
      <w:pPr>
        <w:pStyle w:val="19"/>
        <w:widowControl w:val="0"/>
        <w:numPr>
          <w:ilvl w:val="0"/>
          <w:numId w:val="0"/>
        </w:numPr>
        <w:spacing w:before="120" w:beforeAutospacing="0" w:after="120" w:afterAutospacing="0" w:line="500" w:lineRule="exact"/>
        <w:ind w:left="420" w:leftChars="0" w:right="29" w:rightChars="14"/>
        <w:jc w:val="center"/>
        <w:outlineLvl w:val="1"/>
        <w:rPr>
          <w:rFonts w:hint="eastAsia"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lang w:val="en-US" w:eastAsia="zh-CN"/>
        </w:rPr>
        <w:t>七、</w:t>
      </w:r>
      <w:r>
        <w:rPr>
          <w:rFonts w:hint="eastAsia" w:asciiTheme="minorEastAsia" w:hAnsiTheme="minorEastAsia" w:eastAsiaTheme="minorEastAsia" w:cstheme="minorEastAsia"/>
          <w:b/>
          <w:color w:val="auto"/>
          <w:kern w:val="2"/>
          <w:sz w:val="30"/>
          <w:szCs w:val="30"/>
          <w:highlight w:val="none"/>
        </w:rPr>
        <w:t>中小企业声明函</w:t>
      </w:r>
      <w:bookmarkEnd w:id="293"/>
      <w:bookmarkEnd w:id="294"/>
      <w:bookmarkEnd w:id="295"/>
    </w:p>
    <w:p w14:paraId="780756AE">
      <w:pPr>
        <w:pStyle w:val="19"/>
        <w:widowControl w:val="0"/>
        <w:numPr>
          <w:ilvl w:val="0"/>
          <w:numId w:val="0"/>
        </w:numPr>
        <w:spacing w:before="120" w:beforeAutospacing="0" w:after="120" w:afterAutospacing="0" w:line="500" w:lineRule="exact"/>
        <w:ind w:left="420" w:leftChars="0" w:right="29" w:rightChars="14"/>
        <w:jc w:val="both"/>
        <w:outlineLvl w:val="1"/>
        <w:rPr>
          <w:rFonts w:hint="eastAsia" w:asciiTheme="minorEastAsia" w:hAnsiTheme="minorEastAsia" w:eastAsiaTheme="minorEastAsia" w:cstheme="minorEastAsia"/>
          <w:b/>
          <w:color w:val="auto"/>
          <w:kern w:val="2"/>
          <w:sz w:val="30"/>
          <w:szCs w:val="30"/>
          <w:highlight w:val="none"/>
        </w:rPr>
      </w:pPr>
    </w:p>
    <w:p w14:paraId="563CD0A7">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06A7F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6E48F4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B9049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10E01FD2">
      <w:pPr>
        <w:spacing w:line="360" w:lineRule="auto"/>
        <w:ind w:firstLine="6240" w:firstLineChars="2600"/>
        <w:rPr>
          <w:rFonts w:ascii="宋体" w:hAnsi="宋体" w:cs="宋体"/>
          <w:color w:val="auto"/>
          <w:sz w:val="24"/>
          <w:highlight w:val="none"/>
        </w:rPr>
      </w:pPr>
    </w:p>
    <w:p w14:paraId="600363A2">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企业名称（电子公章）：</w:t>
      </w:r>
    </w:p>
    <w:p w14:paraId="5A1BED55">
      <w:pPr>
        <w:spacing w:line="360" w:lineRule="auto"/>
        <w:ind w:firstLine="7440" w:firstLineChars="3100"/>
        <w:rPr>
          <w:rFonts w:ascii="宋体" w:hAnsi="宋体" w:cs="宋体"/>
          <w:color w:val="auto"/>
          <w:sz w:val="24"/>
          <w:highlight w:val="none"/>
        </w:rPr>
      </w:pPr>
      <w:r>
        <w:rPr>
          <w:rFonts w:hint="eastAsia" w:ascii="宋体" w:hAnsi="宋体" w:cs="宋体"/>
          <w:color w:val="auto"/>
          <w:sz w:val="24"/>
          <w:highlight w:val="none"/>
        </w:rPr>
        <w:t>日期：</w:t>
      </w:r>
    </w:p>
    <w:p w14:paraId="60A519EC">
      <w:pPr>
        <w:widowControl/>
        <w:spacing w:line="360"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注：</w:t>
      </w:r>
    </w:p>
    <w:p w14:paraId="5F36D82B">
      <w:pPr>
        <w:widowControl/>
        <w:spacing w:line="360"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1.从业人员、营业收入、资产总额填报上一年度数据，无上一年度数据的新成立企业可不填报。</w:t>
      </w:r>
    </w:p>
    <w:p w14:paraId="4708FFCB">
      <w:pPr>
        <w:widowControl/>
        <w:spacing w:line="360"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2.填写前请认真阅读《关于印发中小企业划型标准规定的通知》（工信部联企业[2011]300 号）和《关于 印发＜政府采购促进中小企业发展管理办法＞的通知》(财库﹝2020﹞46号)相关规定。</w:t>
      </w:r>
    </w:p>
    <w:p w14:paraId="6DF9EBAB">
      <w:pPr>
        <w:widowControl/>
        <w:spacing w:line="360"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3.未按上述要求提供、填写的，评审时不予以考虑。</w:t>
      </w:r>
    </w:p>
    <w:p w14:paraId="0E264E0A">
      <w:pPr>
        <w:pStyle w:val="19"/>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bookmarkStart w:id="296" w:name="_Toc11708"/>
      <w:bookmarkStart w:id="297" w:name="_Toc20881"/>
      <w:bookmarkStart w:id="298" w:name="_Toc14292"/>
      <w:bookmarkStart w:id="299" w:name="_Toc30170"/>
      <w:r>
        <w:rPr>
          <w:rFonts w:hint="eastAsia" w:asciiTheme="minorEastAsia" w:hAnsiTheme="minorEastAsia" w:eastAsiaTheme="minorEastAsia" w:cstheme="minorEastAsia"/>
          <w:b/>
          <w:color w:val="auto"/>
          <w:kern w:val="2"/>
          <w:sz w:val="30"/>
          <w:szCs w:val="30"/>
          <w:highlight w:val="none"/>
          <w:lang w:val="en-US" w:eastAsia="zh-CN"/>
        </w:rPr>
        <w:t>八</w:t>
      </w:r>
      <w:r>
        <w:rPr>
          <w:rFonts w:hint="eastAsia" w:asciiTheme="minorEastAsia" w:hAnsiTheme="minorEastAsia" w:eastAsiaTheme="minorEastAsia" w:cstheme="minorEastAsia"/>
          <w:b/>
          <w:color w:val="auto"/>
          <w:kern w:val="2"/>
          <w:sz w:val="30"/>
          <w:szCs w:val="30"/>
          <w:highlight w:val="none"/>
        </w:rPr>
        <w:t>、残疾人福利性单位声明函（如有）</w:t>
      </w:r>
      <w:bookmarkEnd w:id="296"/>
      <w:bookmarkEnd w:id="297"/>
    </w:p>
    <w:p w14:paraId="7D841585">
      <w:pPr>
        <w:spacing w:after="758" w:afterLines="200"/>
        <w:ind w:firstLine="2259" w:firstLineChars="750"/>
        <w:rPr>
          <w:rFonts w:asciiTheme="minorEastAsia" w:hAnsiTheme="minorEastAsia" w:eastAsiaTheme="minorEastAsia" w:cstheme="minorEastAsia"/>
          <w:b/>
          <w:color w:val="auto"/>
          <w:sz w:val="30"/>
          <w:szCs w:val="30"/>
          <w:highlight w:val="none"/>
        </w:rPr>
      </w:pPr>
    </w:p>
    <w:p w14:paraId="6944C106">
      <w:pPr>
        <w:spacing w:after="758" w:afterLines="200"/>
        <w:ind w:firstLine="2259" w:firstLineChars="750"/>
        <w:rPr>
          <w:rFonts w:asciiTheme="minorEastAsia" w:hAnsiTheme="minorEastAsia" w:eastAsiaTheme="minorEastAsia" w:cstheme="minorEastAsia"/>
          <w:b/>
          <w:color w:val="auto"/>
          <w:sz w:val="30"/>
          <w:szCs w:val="30"/>
          <w:highlight w:val="none"/>
        </w:rPr>
      </w:pPr>
    </w:p>
    <w:p w14:paraId="4DFDA715">
      <w:pPr>
        <w:spacing w:after="758" w:afterLines="200"/>
        <w:ind w:firstLine="2259" w:firstLineChars="750"/>
        <w:rPr>
          <w:rFonts w:asciiTheme="minorEastAsia" w:hAnsiTheme="minorEastAsia" w:eastAsiaTheme="minorEastAsia" w:cstheme="minorEastAsia"/>
          <w:b/>
          <w:color w:val="auto"/>
          <w:sz w:val="30"/>
          <w:szCs w:val="30"/>
          <w:highlight w:val="none"/>
        </w:rPr>
      </w:pPr>
    </w:p>
    <w:p w14:paraId="4C22DC40">
      <w:pPr>
        <w:spacing w:after="758" w:afterLines="200"/>
        <w:ind w:firstLine="2259" w:firstLineChars="750"/>
        <w:rPr>
          <w:rFonts w:asciiTheme="minorEastAsia" w:hAnsiTheme="minorEastAsia" w:eastAsiaTheme="minorEastAsia" w:cstheme="minorEastAsia"/>
          <w:b/>
          <w:color w:val="auto"/>
          <w:sz w:val="30"/>
          <w:szCs w:val="30"/>
          <w:highlight w:val="none"/>
        </w:rPr>
      </w:pPr>
    </w:p>
    <w:p w14:paraId="50BD305D">
      <w:pPr>
        <w:spacing w:after="758" w:afterLines="200"/>
        <w:ind w:firstLine="2259" w:firstLineChars="750"/>
        <w:rPr>
          <w:rFonts w:asciiTheme="minorEastAsia" w:hAnsiTheme="minorEastAsia" w:eastAsiaTheme="minorEastAsia" w:cstheme="minorEastAsia"/>
          <w:b/>
          <w:color w:val="auto"/>
          <w:sz w:val="30"/>
          <w:szCs w:val="30"/>
          <w:highlight w:val="none"/>
        </w:rPr>
      </w:pPr>
    </w:p>
    <w:p w14:paraId="3874444C">
      <w:pPr>
        <w:spacing w:after="758" w:afterLines="200"/>
        <w:ind w:firstLine="2259" w:firstLineChars="750"/>
        <w:rPr>
          <w:rFonts w:asciiTheme="minorEastAsia" w:hAnsiTheme="minorEastAsia" w:eastAsiaTheme="minorEastAsia" w:cstheme="minorEastAsia"/>
          <w:b/>
          <w:color w:val="auto"/>
          <w:sz w:val="30"/>
          <w:szCs w:val="30"/>
          <w:highlight w:val="none"/>
        </w:rPr>
      </w:pPr>
    </w:p>
    <w:p w14:paraId="5D875FEC">
      <w:pPr>
        <w:spacing w:after="758" w:afterLines="200"/>
        <w:ind w:firstLine="2259" w:firstLineChars="750"/>
        <w:rPr>
          <w:rFonts w:asciiTheme="minorEastAsia" w:hAnsiTheme="minorEastAsia" w:eastAsiaTheme="minorEastAsia" w:cstheme="minorEastAsia"/>
          <w:b/>
          <w:color w:val="auto"/>
          <w:sz w:val="30"/>
          <w:szCs w:val="30"/>
          <w:highlight w:val="none"/>
        </w:rPr>
      </w:pPr>
    </w:p>
    <w:p w14:paraId="49A85BA3">
      <w:pPr>
        <w:spacing w:after="758" w:afterLines="200"/>
        <w:ind w:firstLine="2259" w:firstLineChars="750"/>
        <w:rPr>
          <w:rFonts w:asciiTheme="minorEastAsia" w:hAnsiTheme="minorEastAsia" w:eastAsiaTheme="minorEastAsia" w:cstheme="minorEastAsia"/>
          <w:b/>
          <w:color w:val="auto"/>
          <w:sz w:val="30"/>
          <w:szCs w:val="30"/>
          <w:highlight w:val="none"/>
        </w:rPr>
      </w:pPr>
    </w:p>
    <w:p w14:paraId="5CC9C03D">
      <w:pPr>
        <w:spacing w:after="758" w:afterLines="200"/>
        <w:ind w:firstLine="2259" w:firstLineChars="750"/>
        <w:rPr>
          <w:rFonts w:asciiTheme="minorEastAsia" w:hAnsiTheme="minorEastAsia" w:eastAsiaTheme="minorEastAsia" w:cstheme="minorEastAsia"/>
          <w:b/>
          <w:color w:val="auto"/>
          <w:sz w:val="30"/>
          <w:szCs w:val="30"/>
          <w:highlight w:val="none"/>
        </w:rPr>
      </w:pPr>
    </w:p>
    <w:bookmarkEnd w:id="292"/>
    <w:bookmarkEnd w:id="298"/>
    <w:bookmarkEnd w:id="299"/>
    <w:p w14:paraId="7D80CD46">
      <w:pPr>
        <w:rPr>
          <w:rFonts w:ascii="Times New Roman" w:hAnsi="Times New Roman" w:eastAsia="仿宋"/>
          <w:color w:val="auto"/>
          <w:sz w:val="32"/>
          <w:szCs w:val="32"/>
          <w:highlight w:val="none"/>
          <w:shd w:val="clear" w:color="FFFFFF" w:fill="D9D9D9"/>
        </w:rPr>
      </w:pPr>
    </w:p>
    <w:p w14:paraId="5B35DC06">
      <w:pPr>
        <w:rPr>
          <w:color w:val="auto"/>
          <w:highlight w:val="none"/>
          <w:shd w:val="clear" w:color="FFFFFF" w:fill="D9D9D9"/>
        </w:rPr>
      </w:pPr>
    </w:p>
    <w:p w14:paraId="2D7B7F61">
      <w:pPr>
        <w:rPr>
          <w:rFonts w:asciiTheme="minorEastAsia" w:hAnsiTheme="minorEastAsia" w:eastAsiaTheme="minorEastAsia" w:cstheme="minorEastAsia"/>
          <w:b/>
          <w:color w:val="auto"/>
          <w:sz w:val="30"/>
          <w:szCs w:val="30"/>
          <w:highlight w:val="none"/>
          <w:shd w:val="clear" w:color="FFFFFF" w:fill="D9D9D9"/>
        </w:rPr>
      </w:pPr>
    </w:p>
    <w:p w14:paraId="6D744620">
      <w:pPr>
        <w:pStyle w:val="19"/>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color w:val="auto"/>
          <w:kern w:val="2"/>
          <w:sz w:val="30"/>
          <w:szCs w:val="30"/>
          <w:highlight w:val="none"/>
        </w:rPr>
      </w:pPr>
      <w:bookmarkStart w:id="300" w:name="_Toc18605"/>
      <w:bookmarkStart w:id="301" w:name="_Toc16608"/>
      <w:r>
        <w:rPr>
          <w:rFonts w:hint="eastAsia" w:asciiTheme="minorEastAsia" w:hAnsiTheme="minorEastAsia" w:eastAsiaTheme="minorEastAsia" w:cstheme="minorEastAsia"/>
          <w:b/>
          <w:color w:val="auto"/>
          <w:kern w:val="2"/>
          <w:sz w:val="30"/>
          <w:szCs w:val="30"/>
          <w:highlight w:val="none"/>
          <w:lang w:val="en-US" w:eastAsia="zh-CN"/>
        </w:rPr>
        <w:t>九</w:t>
      </w:r>
      <w:r>
        <w:rPr>
          <w:rFonts w:hint="eastAsia" w:asciiTheme="minorEastAsia" w:hAnsiTheme="minorEastAsia" w:eastAsiaTheme="minorEastAsia" w:cstheme="minorEastAsia"/>
          <w:b/>
          <w:color w:val="auto"/>
          <w:kern w:val="2"/>
          <w:sz w:val="30"/>
          <w:szCs w:val="30"/>
          <w:highlight w:val="none"/>
        </w:rPr>
        <w:t>、招标文件要求的或供应商认为须提交的其他材料</w:t>
      </w:r>
      <w:bookmarkEnd w:id="300"/>
      <w:bookmarkEnd w:id="301"/>
    </w:p>
    <w:p w14:paraId="022AC124">
      <w:pPr>
        <w:spacing w:line="360" w:lineRule="auto"/>
        <w:rPr>
          <w:rFonts w:asciiTheme="minorEastAsia" w:hAnsiTheme="minorEastAsia" w:eastAsiaTheme="minorEastAsia" w:cstheme="minorEastAsia"/>
          <w:color w:val="auto"/>
          <w:sz w:val="24"/>
          <w:highlight w:val="none"/>
          <w:shd w:val="clear" w:color="FFFFFF" w:fill="D9D9D9"/>
        </w:rPr>
      </w:pPr>
    </w:p>
    <w:p w14:paraId="15D73060">
      <w:pPr>
        <w:spacing w:line="6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招标文件规定的其他资料及供应商认为需要提交的其他材料。</w:t>
      </w:r>
    </w:p>
    <w:p w14:paraId="0E60D360">
      <w:pPr>
        <w:spacing w:line="600" w:lineRule="exact"/>
        <w:ind w:firstLine="600" w:firstLineChars="200"/>
        <w:rPr>
          <w:rFonts w:ascii="仿宋" w:hAnsi="仿宋" w:eastAsia="仿宋" w:cs="仿宋"/>
          <w:color w:val="auto"/>
          <w:sz w:val="30"/>
          <w:szCs w:val="30"/>
          <w:highlight w:val="none"/>
        </w:rPr>
      </w:pPr>
    </w:p>
    <w:p w14:paraId="035E2AA7">
      <w:pPr>
        <w:widowControl/>
        <w:spacing w:line="580" w:lineRule="atLeast"/>
        <w:jc w:val="center"/>
        <w:rPr>
          <w:rFonts w:asciiTheme="minorEastAsia" w:hAnsiTheme="minorEastAsia" w:eastAsiaTheme="minorEastAsia" w:cstheme="minorEastAsia"/>
          <w:b/>
          <w:color w:val="auto"/>
          <w:kern w:val="0"/>
          <w:sz w:val="32"/>
          <w:szCs w:val="32"/>
          <w:highlight w:val="none"/>
        </w:rPr>
      </w:pPr>
    </w:p>
    <w:p w14:paraId="3A478A58">
      <w:pPr>
        <w:pStyle w:val="48"/>
        <w:rPr>
          <w:rFonts w:asciiTheme="minorEastAsia" w:hAnsiTheme="minorEastAsia" w:eastAsiaTheme="minorEastAsia" w:cstheme="minorEastAsia"/>
          <w:b/>
          <w:bCs/>
          <w:color w:val="auto"/>
          <w:kern w:val="0"/>
          <w:sz w:val="32"/>
          <w:szCs w:val="32"/>
          <w:highlight w:val="none"/>
        </w:rPr>
      </w:pPr>
    </w:p>
    <w:p w14:paraId="25A9C26A">
      <w:pPr>
        <w:rPr>
          <w:rFonts w:asciiTheme="minorEastAsia" w:hAnsiTheme="minorEastAsia" w:eastAsiaTheme="minorEastAsia" w:cstheme="minorEastAsia"/>
          <w:b/>
          <w:bCs/>
          <w:color w:val="auto"/>
          <w:kern w:val="0"/>
          <w:sz w:val="32"/>
          <w:szCs w:val="32"/>
          <w:highlight w:val="none"/>
        </w:rPr>
      </w:pPr>
    </w:p>
    <w:p w14:paraId="3D3C2B54">
      <w:pPr>
        <w:pStyle w:val="48"/>
        <w:rPr>
          <w:rFonts w:asciiTheme="minorEastAsia" w:hAnsiTheme="minorEastAsia" w:eastAsiaTheme="minorEastAsia" w:cstheme="minorEastAsia"/>
          <w:b/>
          <w:bCs/>
          <w:color w:val="auto"/>
          <w:kern w:val="0"/>
          <w:sz w:val="32"/>
          <w:szCs w:val="32"/>
          <w:highlight w:val="none"/>
        </w:rPr>
      </w:pPr>
    </w:p>
    <w:p w14:paraId="470394C7">
      <w:pPr>
        <w:rPr>
          <w:rFonts w:asciiTheme="minorEastAsia" w:hAnsiTheme="minorEastAsia" w:eastAsiaTheme="minorEastAsia" w:cstheme="minorEastAsia"/>
          <w:b/>
          <w:bCs/>
          <w:color w:val="auto"/>
          <w:kern w:val="0"/>
          <w:sz w:val="32"/>
          <w:szCs w:val="32"/>
          <w:highlight w:val="none"/>
        </w:rPr>
      </w:pPr>
    </w:p>
    <w:p w14:paraId="552CF8AC">
      <w:pPr>
        <w:pStyle w:val="48"/>
        <w:rPr>
          <w:rFonts w:asciiTheme="minorEastAsia" w:hAnsiTheme="minorEastAsia" w:eastAsiaTheme="minorEastAsia" w:cstheme="minorEastAsia"/>
          <w:b/>
          <w:bCs/>
          <w:color w:val="auto"/>
          <w:kern w:val="0"/>
          <w:sz w:val="32"/>
          <w:szCs w:val="32"/>
          <w:highlight w:val="none"/>
        </w:rPr>
      </w:pPr>
    </w:p>
    <w:p w14:paraId="1410D22A">
      <w:pPr>
        <w:spacing w:line="440" w:lineRule="exact"/>
        <w:jc w:val="center"/>
        <w:rPr>
          <w:rFonts w:ascii="宋体" w:hAnsi="宋体" w:cs="宋体"/>
          <w:b/>
          <w:color w:val="auto"/>
          <w:sz w:val="36"/>
          <w:szCs w:val="36"/>
          <w:highlight w:val="none"/>
        </w:rPr>
      </w:pPr>
    </w:p>
    <w:p w14:paraId="6A32CCC1">
      <w:pPr>
        <w:spacing w:line="440" w:lineRule="exact"/>
        <w:jc w:val="center"/>
        <w:rPr>
          <w:rFonts w:ascii="宋体" w:hAnsi="宋体" w:cs="宋体"/>
          <w:b/>
          <w:color w:val="auto"/>
          <w:sz w:val="36"/>
          <w:szCs w:val="36"/>
          <w:highlight w:val="none"/>
        </w:rPr>
      </w:pPr>
      <w:r>
        <w:rPr>
          <w:rFonts w:ascii="宋体" w:hAnsi="宋体" w:cs="宋体"/>
          <w:color w:val="auto"/>
          <w:kern w:val="0"/>
          <w:sz w:val="24"/>
          <w:highlight w:val="none"/>
        </w:rPr>
        <w:br w:type="page"/>
      </w:r>
    </w:p>
    <w:p w14:paraId="3C45693F">
      <w:pPr>
        <w:spacing w:line="360" w:lineRule="auto"/>
        <w:jc w:val="center"/>
        <w:rPr>
          <w:rFonts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优化和提升政府采购政策</w:t>
      </w:r>
    </w:p>
    <w:p w14:paraId="5D75EEA7">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一、全面取消采购文件费用和投标保证金费用。</w:t>
      </w:r>
    </w:p>
    <w:p w14:paraId="1C87C282">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color w:val="auto"/>
          <w:sz w:val="24"/>
          <w:highlight w:val="none"/>
          <w:u w:val="single"/>
        </w:rPr>
        <w:t>6%</w:t>
      </w:r>
      <w:r>
        <w:rPr>
          <w:rFonts w:hint="eastAsia" w:asciiTheme="minorEastAsia" w:hAnsiTheme="minorEastAsia" w:eastAsiaTheme="minorEastAsia" w:cstheme="minorEastAsia"/>
          <w:color w:val="auto"/>
          <w:sz w:val="24"/>
          <w:highlight w:val="none"/>
        </w:rPr>
        <w:t>，并按约定的时间和条件退还。</w:t>
      </w:r>
    </w:p>
    <w:p w14:paraId="708538D0">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三、评标结果确认时限。自评标（评审）结束后应2个工作日内确定中标供应商，5个工作日内公告结果，同时发送中标通知书。</w:t>
      </w:r>
    </w:p>
    <w:p w14:paraId="1AA0A47A">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四、合同签订时限。自中标通知书发出之日起</w:t>
      </w:r>
      <w:r>
        <w:rPr>
          <w:rFonts w:hint="eastAsia" w:asciiTheme="minorEastAsia" w:hAnsiTheme="minorEastAsia" w:eastAsiaTheme="minorEastAsia" w:cstheme="minorEastAsia"/>
          <w:color w:val="auto"/>
          <w:sz w:val="24"/>
          <w:highlight w:val="none"/>
          <w:u w:val="single"/>
        </w:rPr>
        <w:t>15</w:t>
      </w:r>
      <w:r>
        <w:rPr>
          <w:rFonts w:hint="eastAsia" w:asciiTheme="minorEastAsia" w:hAnsiTheme="minorEastAsia" w:eastAsiaTheme="minorEastAsia" w:cstheme="minorEastAsia"/>
          <w:color w:val="auto"/>
          <w:sz w:val="24"/>
          <w:highlight w:val="none"/>
        </w:rPr>
        <w:t xml:space="preserve">日内，按照采购文件和投标文件确定的事项签订政府采购合同。 </w:t>
      </w:r>
    </w:p>
    <w:p w14:paraId="117EA320">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五、合同公告和备案时限。自合同签订之日起2个工作日内。</w:t>
      </w:r>
    </w:p>
    <w:p w14:paraId="06353977">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六、项目验收。自收到供应商项目验收建议之日起5个工作日内组织验收；验收结束后2个工作日内出具《验收报告》，并在焦作市政府采购网公告验收结果。</w:t>
      </w:r>
    </w:p>
    <w:p w14:paraId="12C807F0">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七、资金支付。按照合同约定的条件及时支付资金，不得因机构变更、人员更替、政策调整等原因拒绝或延迟资金支付。</w:t>
      </w:r>
    </w:p>
    <w:p w14:paraId="78A0BA47">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在政府采购活动中，若发现采购人或采购代理机构未按以上政策执行的，可向监督部门举报反映。</w:t>
      </w:r>
    </w:p>
    <w:p w14:paraId="2FE42466">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监督单位：博爱县财政局政府采购监督管理办公室</w:t>
      </w:r>
    </w:p>
    <w:p w14:paraId="6D874D8B">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监督电话：0391-8683273</w:t>
      </w:r>
    </w:p>
    <w:p w14:paraId="31C43D81">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地址：博爱县发展大道188号机关综合办公楼主楼1213室</w:t>
      </w:r>
    </w:p>
    <w:p w14:paraId="3D3F11D3">
      <w:pPr>
        <w:spacing w:line="440" w:lineRule="exact"/>
        <w:jc w:val="center"/>
        <w:rPr>
          <w:rFonts w:ascii="宋体" w:hAnsi="宋体" w:cs="宋体"/>
          <w:b/>
          <w:color w:val="auto"/>
          <w:sz w:val="36"/>
          <w:szCs w:val="36"/>
          <w:highlight w:val="none"/>
        </w:rPr>
      </w:pPr>
    </w:p>
    <w:p w14:paraId="197A608E">
      <w:pPr>
        <w:spacing w:line="440" w:lineRule="exact"/>
        <w:jc w:val="center"/>
        <w:rPr>
          <w:rFonts w:ascii="宋体" w:hAnsi="宋体" w:cs="宋体"/>
          <w:b/>
          <w:color w:val="auto"/>
          <w:sz w:val="36"/>
          <w:szCs w:val="36"/>
          <w:highlight w:val="none"/>
        </w:rPr>
      </w:pPr>
    </w:p>
    <w:p w14:paraId="3F87DC03">
      <w:pPr>
        <w:rPr>
          <w:rFonts w:ascii="宋体" w:hAnsi="宋体" w:cs="宋体"/>
          <w:color w:val="auto"/>
          <w:sz w:val="36"/>
          <w:szCs w:val="36"/>
          <w:highlight w:val="none"/>
        </w:rPr>
      </w:pPr>
    </w:p>
    <w:p w14:paraId="0C618F33">
      <w:pPr>
        <w:rPr>
          <w:rFonts w:ascii="宋体" w:hAnsi="宋体" w:cs="宋体"/>
          <w:b/>
          <w:color w:val="auto"/>
          <w:sz w:val="36"/>
          <w:szCs w:val="36"/>
          <w:highlight w:val="none"/>
        </w:rPr>
      </w:pPr>
    </w:p>
    <w:p w14:paraId="7FCA429E">
      <w:pPr>
        <w:spacing w:line="440" w:lineRule="exact"/>
        <w:jc w:val="center"/>
        <w:rPr>
          <w:rFonts w:ascii="宋体" w:hAnsi="宋体" w:cs="宋体"/>
          <w:b/>
          <w:color w:val="auto"/>
          <w:sz w:val="36"/>
          <w:szCs w:val="36"/>
          <w:highlight w:val="none"/>
        </w:rPr>
      </w:pPr>
    </w:p>
    <w:p w14:paraId="7D06BEAE">
      <w:pPr>
        <w:pStyle w:val="9"/>
        <w:spacing w:line="480" w:lineRule="exact"/>
        <w:rPr>
          <w:rFonts w:ascii="宋体" w:hAnsi="宋体" w:cs="宋体"/>
          <w:color w:val="auto"/>
          <w:sz w:val="36"/>
          <w:szCs w:val="36"/>
          <w:highlight w:val="none"/>
        </w:rPr>
      </w:pPr>
      <w:bookmarkStart w:id="302" w:name="_Toc7574"/>
      <w:r>
        <w:rPr>
          <w:rFonts w:hint="eastAsia" w:ascii="宋体" w:hAnsi="宋体" w:cs="宋体"/>
          <w:color w:val="auto"/>
          <w:sz w:val="36"/>
          <w:szCs w:val="36"/>
          <w:highlight w:val="none"/>
        </w:rPr>
        <w:t>河南省政府采购合同融资政策告知函</w:t>
      </w:r>
      <w:bookmarkEnd w:id="302"/>
    </w:p>
    <w:p w14:paraId="4C3B5CBA">
      <w:pPr>
        <w:pStyle w:val="9"/>
        <w:spacing w:line="400" w:lineRule="exact"/>
        <w:jc w:val="both"/>
        <w:rPr>
          <w:rFonts w:ascii="宋体" w:hAnsi="宋体" w:cs="宋体"/>
          <w:color w:val="auto"/>
          <w:sz w:val="24"/>
          <w:highlight w:val="none"/>
        </w:rPr>
      </w:pPr>
      <w:bookmarkStart w:id="303" w:name="_Toc4905"/>
      <w:r>
        <w:rPr>
          <w:rFonts w:hint="eastAsia" w:ascii="宋体" w:hAnsi="宋体" w:cs="宋体"/>
          <w:color w:val="auto"/>
          <w:sz w:val="24"/>
          <w:highlight w:val="none"/>
        </w:rPr>
        <w:t>各供应商：</w:t>
      </w:r>
      <w:bookmarkEnd w:id="303"/>
    </w:p>
    <w:p w14:paraId="02780E45">
      <w:pPr>
        <w:pStyle w:val="9"/>
        <w:spacing w:line="400" w:lineRule="exact"/>
        <w:jc w:val="both"/>
        <w:rPr>
          <w:rFonts w:ascii="宋体" w:hAnsi="宋体" w:cs="宋体"/>
          <w:color w:val="auto"/>
          <w:sz w:val="24"/>
          <w:highlight w:val="none"/>
        </w:rPr>
      </w:pPr>
      <w:r>
        <w:rPr>
          <w:rFonts w:hint="eastAsia" w:ascii="宋体" w:hAnsi="宋体" w:cs="宋体"/>
          <w:color w:val="auto"/>
          <w:sz w:val="24"/>
          <w:highlight w:val="none"/>
        </w:rPr>
        <w:t>欢迎贵公司参与河南省政府采购活动！</w:t>
      </w:r>
    </w:p>
    <w:p w14:paraId="6E7F1C4B">
      <w:pPr>
        <w:spacing w:line="400" w:lineRule="exact"/>
        <w:ind w:firstLine="420" w:firstLineChars="175"/>
        <w:rPr>
          <w:rFonts w:ascii="宋体" w:hAnsi="宋体" w:cs="宋体"/>
          <w:bCs/>
          <w:color w:val="auto"/>
          <w:sz w:val="24"/>
          <w:highlight w:val="none"/>
        </w:rPr>
      </w:pPr>
      <w:r>
        <w:rPr>
          <w:rFonts w:hint="eastAsia" w:ascii="宋体" w:hAnsi="宋体" w:cs="宋体"/>
          <w:bCs/>
          <w:color w:val="auto"/>
          <w:sz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010C8E16">
      <w:pPr>
        <w:spacing w:line="400" w:lineRule="exact"/>
        <w:ind w:firstLine="420" w:firstLineChars="175"/>
        <w:rPr>
          <w:rFonts w:ascii="宋体" w:hAnsi="宋体" w:cs="宋体"/>
          <w:bCs/>
          <w:color w:val="auto"/>
          <w:sz w:val="24"/>
          <w:highlight w:val="none"/>
        </w:rPr>
      </w:pPr>
      <w:r>
        <w:rPr>
          <w:rFonts w:hint="eastAsia" w:ascii="宋体" w:hAnsi="宋体" w:cs="宋体"/>
          <w:bCs/>
          <w:color w:val="auto"/>
          <w:sz w:val="24"/>
          <w:highlight w:val="none"/>
        </w:rPr>
        <w:t xml:space="preserve"> 贷款渠道和提供贷款的金融机构，可在河南省政府采购网“河南省政府采购合同融资平台”查询联系。</w:t>
      </w:r>
    </w:p>
    <w:p w14:paraId="71B2E8C2">
      <w:pPr>
        <w:spacing w:line="420" w:lineRule="exact"/>
        <w:ind w:firstLine="2168" w:firstLineChars="675"/>
        <w:outlineLvl w:val="0"/>
        <w:rPr>
          <w:rFonts w:ascii="宋体" w:hAnsi="宋体"/>
          <w:b/>
          <w:color w:val="auto"/>
          <w:sz w:val="32"/>
          <w:szCs w:val="32"/>
          <w:highlight w:val="none"/>
        </w:rPr>
      </w:pPr>
      <w:bookmarkStart w:id="304" w:name="_Toc30161"/>
      <w:r>
        <w:rPr>
          <w:rFonts w:hint="eastAsia" w:ascii="宋体" w:hAnsi="宋体"/>
          <w:b/>
          <w:color w:val="auto"/>
          <w:sz w:val="32"/>
          <w:szCs w:val="32"/>
          <w:highlight w:val="none"/>
        </w:rPr>
        <w:t>焦作市政府采购合同融资合作企业</w:t>
      </w:r>
      <w:bookmarkEnd w:id="304"/>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1280"/>
        <w:gridCol w:w="1933"/>
        <w:gridCol w:w="2689"/>
      </w:tblGrid>
      <w:tr w14:paraId="0F60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96" w:type="dxa"/>
            <w:vAlign w:val="center"/>
          </w:tcPr>
          <w:p w14:paraId="17D29E8A">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280" w:type="dxa"/>
            <w:vAlign w:val="center"/>
          </w:tcPr>
          <w:p w14:paraId="113D11E4">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1933" w:type="dxa"/>
            <w:vAlign w:val="center"/>
          </w:tcPr>
          <w:p w14:paraId="670FB247">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689" w:type="dxa"/>
            <w:vAlign w:val="center"/>
          </w:tcPr>
          <w:p w14:paraId="5197DE3C">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14:paraId="17C5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96" w:type="dxa"/>
            <w:shd w:val="clear" w:color="auto" w:fill="auto"/>
            <w:vAlign w:val="center"/>
          </w:tcPr>
          <w:p w14:paraId="506FFC49">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中国农业银行股份有限公司焦作分行</w:t>
            </w:r>
          </w:p>
        </w:tc>
        <w:tc>
          <w:tcPr>
            <w:tcW w:w="1280" w:type="dxa"/>
            <w:shd w:val="solid" w:color="FFFFFF" w:fill="auto"/>
            <w:vAlign w:val="center"/>
          </w:tcPr>
          <w:p w14:paraId="7CECDFDD">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1933" w:type="dxa"/>
            <w:shd w:val="solid" w:color="FFFFFF" w:fill="auto"/>
            <w:vAlign w:val="center"/>
          </w:tcPr>
          <w:p w14:paraId="6ABA0860">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689" w:type="dxa"/>
            <w:shd w:val="solid" w:color="FFFFFF" w:fill="auto"/>
            <w:vAlign w:val="center"/>
          </w:tcPr>
          <w:p w14:paraId="3C947166">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14:paraId="4BC1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14:paraId="2D0FCD73">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280" w:type="dxa"/>
            <w:shd w:val="solid" w:color="FFFFFF" w:fill="auto"/>
            <w:vAlign w:val="center"/>
          </w:tcPr>
          <w:p w14:paraId="76BA8D56">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1933" w:type="dxa"/>
            <w:shd w:val="solid" w:color="FFFFFF" w:fill="auto"/>
            <w:vAlign w:val="center"/>
          </w:tcPr>
          <w:p w14:paraId="682823C4">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689" w:type="dxa"/>
            <w:shd w:val="solid" w:color="FFFFFF" w:fill="auto"/>
            <w:vAlign w:val="center"/>
          </w:tcPr>
          <w:p w14:paraId="5AFBC418">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14:paraId="19B9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6" w:type="dxa"/>
            <w:shd w:val="clear" w:color="auto" w:fill="auto"/>
            <w:vAlign w:val="center"/>
          </w:tcPr>
          <w:p w14:paraId="2DF6A008">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280" w:type="dxa"/>
            <w:shd w:val="clear" w:color="auto" w:fill="auto"/>
            <w:vAlign w:val="center"/>
          </w:tcPr>
          <w:p w14:paraId="78AD45FA">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1933" w:type="dxa"/>
            <w:shd w:val="clear" w:color="auto" w:fill="auto"/>
            <w:vAlign w:val="center"/>
          </w:tcPr>
          <w:p w14:paraId="1F73FA96">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689" w:type="dxa"/>
            <w:shd w:val="solid" w:color="FFFFFF" w:fill="auto"/>
            <w:vAlign w:val="center"/>
          </w:tcPr>
          <w:p w14:paraId="3A0FF826">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焦作市建设东路152号</w:t>
            </w:r>
          </w:p>
        </w:tc>
      </w:tr>
      <w:tr w14:paraId="71C1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14:paraId="70E287D8">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中国邮政储蓄银行股份有限公司焦作市分行</w:t>
            </w:r>
          </w:p>
        </w:tc>
        <w:tc>
          <w:tcPr>
            <w:tcW w:w="1280" w:type="dxa"/>
            <w:shd w:val="solid" w:color="FFFFFF" w:fill="auto"/>
            <w:vAlign w:val="center"/>
          </w:tcPr>
          <w:p w14:paraId="6AFC999C">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1933" w:type="dxa"/>
            <w:shd w:val="solid" w:color="FFFFFF" w:fill="auto"/>
            <w:vAlign w:val="center"/>
          </w:tcPr>
          <w:p w14:paraId="7BC53080">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689" w:type="dxa"/>
            <w:shd w:val="solid" w:color="FFFFFF" w:fill="auto"/>
            <w:vAlign w:val="center"/>
          </w:tcPr>
          <w:p w14:paraId="7C14DB06">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14:paraId="7D15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96" w:type="dxa"/>
            <w:shd w:val="clear" w:color="auto" w:fill="auto"/>
            <w:vAlign w:val="center"/>
          </w:tcPr>
          <w:p w14:paraId="62841968">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280" w:type="dxa"/>
            <w:shd w:val="solid" w:color="FFFFFF" w:fill="auto"/>
            <w:vAlign w:val="center"/>
          </w:tcPr>
          <w:p w14:paraId="20632C9D">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1933" w:type="dxa"/>
            <w:shd w:val="solid" w:color="FFFFFF" w:fill="auto"/>
            <w:vAlign w:val="center"/>
          </w:tcPr>
          <w:p w14:paraId="5DA427D7">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689" w:type="dxa"/>
            <w:shd w:val="solid" w:color="FFFFFF" w:fill="auto"/>
            <w:vAlign w:val="center"/>
          </w:tcPr>
          <w:p w14:paraId="3D102A5F">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焦作市山阳区迎宾路1号</w:t>
            </w:r>
          </w:p>
        </w:tc>
      </w:tr>
      <w:tr w14:paraId="0E28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96" w:type="dxa"/>
            <w:shd w:val="clear" w:color="auto" w:fill="auto"/>
            <w:vAlign w:val="center"/>
          </w:tcPr>
          <w:p w14:paraId="66435042">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280" w:type="dxa"/>
            <w:shd w:val="clear" w:color="auto" w:fill="auto"/>
            <w:vAlign w:val="center"/>
          </w:tcPr>
          <w:p w14:paraId="7CDD31D8">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1933" w:type="dxa"/>
            <w:shd w:val="clear" w:color="auto" w:fill="auto"/>
            <w:vAlign w:val="center"/>
          </w:tcPr>
          <w:p w14:paraId="094055F8">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689" w:type="dxa"/>
            <w:shd w:val="solid" w:color="FFFFFF" w:fill="auto"/>
            <w:vAlign w:val="center"/>
          </w:tcPr>
          <w:p w14:paraId="60A5A02C">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14:paraId="621D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96" w:type="dxa"/>
            <w:shd w:val="clear" w:color="auto" w:fill="auto"/>
            <w:vAlign w:val="center"/>
          </w:tcPr>
          <w:p w14:paraId="6D59E754">
            <w:pPr>
              <w:widowControl/>
              <w:tabs>
                <w:tab w:val="left" w:pos="0"/>
              </w:tabs>
              <w:spacing w:line="360" w:lineRule="exact"/>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280" w:type="dxa"/>
            <w:shd w:val="solid" w:color="FFFFFF" w:fill="auto"/>
            <w:vAlign w:val="center"/>
          </w:tcPr>
          <w:p w14:paraId="5A4F12A5">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1933" w:type="dxa"/>
            <w:shd w:val="solid" w:color="FFFFFF" w:fill="auto"/>
            <w:vAlign w:val="center"/>
          </w:tcPr>
          <w:p w14:paraId="3B392E25">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689" w:type="dxa"/>
            <w:shd w:val="solid" w:color="FFFFFF" w:fill="auto"/>
            <w:vAlign w:val="center"/>
          </w:tcPr>
          <w:p w14:paraId="6EEFA5EE">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14:paraId="2A25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96" w:type="dxa"/>
            <w:shd w:val="clear" w:color="auto" w:fill="auto"/>
            <w:vAlign w:val="center"/>
          </w:tcPr>
          <w:p w14:paraId="75BC8E6A">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280" w:type="dxa"/>
            <w:shd w:val="solid" w:color="FFFFFF" w:fill="auto"/>
            <w:vAlign w:val="center"/>
          </w:tcPr>
          <w:p w14:paraId="7BD2EBCD">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1933" w:type="dxa"/>
            <w:shd w:val="solid" w:color="FFFFFF" w:fill="auto"/>
            <w:vAlign w:val="center"/>
          </w:tcPr>
          <w:p w14:paraId="239C50C9">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689" w:type="dxa"/>
            <w:shd w:val="solid" w:color="FFFFFF" w:fill="auto"/>
            <w:vAlign w:val="center"/>
          </w:tcPr>
          <w:p w14:paraId="5DFA6D6A">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14:paraId="4BCC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96" w:type="dxa"/>
            <w:shd w:val="clear" w:color="auto" w:fill="auto"/>
            <w:vAlign w:val="center"/>
          </w:tcPr>
          <w:p w14:paraId="25D01059">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280" w:type="dxa"/>
            <w:shd w:val="solid" w:color="FFFFFF" w:fill="auto"/>
            <w:vAlign w:val="center"/>
          </w:tcPr>
          <w:p w14:paraId="544F8809">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1933" w:type="dxa"/>
            <w:shd w:val="solid" w:color="FFFFFF" w:fill="auto"/>
            <w:vAlign w:val="center"/>
          </w:tcPr>
          <w:p w14:paraId="2BB1A274">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689" w:type="dxa"/>
            <w:shd w:val="solid" w:color="FFFFFF" w:fill="auto"/>
            <w:vAlign w:val="center"/>
          </w:tcPr>
          <w:p w14:paraId="305C4825">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14:paraId="32B6B810">
      <w:pPr>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sectPr>
      <w:headerReference r:id="rId5" w:type="default"/>
      <w:footerReference r:id="rId6" w:type="default"/>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B57FD">
    <w:pPr>
      <w:pStyle w:val="17"/>
      <w:pBdr>
        <w:bottom w:val="thinThickMediumGap" w:color="auto" w:sz="18" w:space="1"/>
      </w:pBdr>
    </w:pPr>
  </w:p>
  <w:p w14:paraId="541A6A70">
    <w:pPr>
      <w:pStyle w:val="16"/>
      <w:wordWrap w:val="0"/>
      <w:jc w:val="right"/>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5AC1">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55BEB0">
                          <w:pPr>
                            <w:pStyle w:val="16"/>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14:paraId="0E55BEB0">
                    <w:pPr>
                      <w:pStyle w:val="16"/>
                    </w:pPr>
                    <w:r>
                      <w:fldChar w:fldCharType="begin"/>
                    </w:r>
                    <w:r>
                      <w:instrText xml:space="preserve"> PAGE  \* MERGEFORMAT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0652FF">
                          <w:pPr>
                            <w:pStyle w:val="16"/>
                          </w:pPr>
                        </w:p>
                        <w:p w14:paraId="0E1B8ACF">
                          <w:pPr>
                            <w:pStyle w:val="1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14:paraId="6B0652FF">
                    <w:pPr>
                      <w:pStyle w:val="16"/>
                    </w:pPr>
                  </w:p>
                  <w:p w14:paraId="0E1B8ACF">
                    <w:pPr>
                      <w:pStyle w:val="1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0BF6">
    <w:pPr>
      <w:pStyle w:val="16"/>
      <w:rPr>
        <w:sz w:val="16"/>
        <w:szCs w:val="22"/>
      </w:rPr>
    </w:pPr>
    <w:r>
      <w:rPr>
        <w:sz w:val="20"/>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214AC354">
                          <w:pPr>
                            <w:pStyle w:val="16"/>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14:paraId="214AC354">
                    <w:pPr>
                      <w:pStyle w:val="16"/>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1F0D3">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039FA"/>
    <w:multiLevelType w:val="singleLevel"/>
    <w:tmpl w:val="9FB039FA"/>
    <w:lvl w:ilvl="0" w:tentative="0">
      <w:start w:val="2"/>
      <w:numFmt w:val="chineseCounting"/>
      <w:suff w:val="nothing"/>
      <w:lvlText w:val="%1、"/>
      <w:lvlJc w:val="left"/>
      <w:rPr>
        <w:rFonts w:hint="eastAsia"/>
      </w:rPr>
    </w:lvl>
  </w:abstractNum>
  <w:abstractNum w:abstractNumId="1">
    <w:nsid w:val="A2C6ACF8"/>
    <w:multiLevelType w:val="singleLevel"/>
    <w:tmpl w:val="A2C6ACF8"/>
    <w:lvl w:ilvl="0" w:tentative="0">
      <w:start w:val="1"/>
      <w:numFmt w:val="decimal"/>
      <w:suff w:val="nothing"/>
      <w:lvlText w:val="（%1）"/>
      <w:lvlJc w:val="left"/>
      <w:pPr>
        <w:ind w:left="420" w:firstLine="0"/>
      </w:pPr>
      <w:rPr>
        <w:rFonts w:hint="default"/>
        <w:b w:val="0"/>
        <w:bCs w:val="0"/>
      </w:rPr>
    </w:lvl>
  </w:abstractNum>
  <w:abstractNum w:abstractNumId="2">
    <w:nsid w:val="A58974FB"/>
    <w:multiLevelType w:val="singleLevel"/>
    <w:tmpl w:val="A58974FB"/>
    <w:lvl w:ilvl="0" w:tentative="0">
      <w:start w:val="1"/>
      <w:numFmt w:val="decimal"/>
      <w:suff w:val="space"/>
      <w:lvlText w:val="%1."/>
      <w:lvlJc w:val="left"/>
    </w:lvl>
  </w:abstractNum>
  <w:abstractNum w:abstractNumId="3">
    <w:nsid w:val="B940B7CB"/>
    <w:multiLevelType w:val="singleLevel"/>
    <w:tmpl w:val="B940B7CB"/>
    <w:lvl w:ilvl="0" w:tentative="0">
      <w:start w:val="3"/>
      <w:numFmt w:val="decimal"/>
      <w:suff w:val="nothing"/>
      <w:lvlText w:val="%1、"/>
      <w:lvlJc w:val="left"/>
    </w:lvl>
  </w:abstractNum>
  <w:abstractNum w:abstractNumId="4">
    <w:nsid w:val="C8A1EB61"/>
    <w:multiLevelType w:val="singleLevel"/>
    <w:tmpl w:val="C8A1EB61"/>
    <w:lvl w:ilvl="0" w:tentative="0">
      <w:start w:val="8"/>
      <w:numFmt w:val="chineseCounting"/>
      <w:suff w:val="space"/>
      <w:lvlText w:val="第%1章"/>
      <w:lvlJc w:val="left"/>
      <w:rPr>
        <w:rFonts w:hint="eastAsia"/>
      </w:rPr>
    </w:lvl>
  </w:abstractNum>
  <w:abstractNum w:abstractNumId="5">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2E675402"/>
    <w:multiLevelType w:val="singleLevel"/>
    <w:tmpl w:val="2E675402"/>
    <w:lvl w:ilvl="0" w:tentative="0">
      <w:start w:val="1"/>
      <w:numFmt w:val="chineseCounting"/>
      <w:suff w:val="nothing"/>
      <w:lvlText w:val="（%1）"/>
      <w:lvlJc w:val="left"/>
      <w:rPr>
        <w:rFonts w:hint="eastAsia"/>
      </w:rPr>
    </w:lvl>
  </w:abstractNum>
  <w:abstractNum w:abstractNumId="8">
    <w:nsid w:val="5A693C2F"/>
    <w:multiLevelType w:val="singleLevel"/>
    <w:tmpl w:val="5A693C2F"/>
    <w:lvl w:ilvl="0" w:tentative="0">
      <w:start w:val="3"/>
      <w:numFmt w:val="chineseCounting"/>
      <w:suff w:val="space"/>
      <w:lvlText w:val="第%1章"/>
      <w:lvlJc w:val="left"/>
    </w:lvl>
  </w:abstractNum>
  <w:abstractNum w:abstractNumId="9">
    <w:nsid w:val="5CB206B3"/>
    <w:multiLevelType w:val="singleLevel"/>
    <w:tmpl w:val="5CB206B3"/>
    <w:lvl w:ilvl="0" w:tentative="0">
      <w:start w:val="1"/>
      <w:numFmt w:val="chineseCounting"/>
      <w:suff w:val="nothing"/>
      <w:lvlText w:val="%1、"/>
      <w:lvlJc w:val="left"/>
      <w:rPr>
        <w:rFonts w:hint="eastAsia"/>
      </w:rPr>
    </w:lvl>
  </w:abstractNum>
  <w:abstractNum w:abstractNumId="10">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3"/>
  </w:num>
  <w:num w:numId="2">
    <w:abstractNumId w:val="1"/>
  </w:num>
  <w:num w:numId="3">
    <w:abstractNumId w:val="10"/>
  </w:num>
  <w:num w:numId="4">
    <w:abstractNumId w:val="5"/>
  </w:num>
  <w:num w:numId="5">
    <w:abstractNumId w:val="8"/>
  </w:num>
  <w:num w:numId="6">
    <w:abstractNumId w:val="9"/>
  </w:num>
  <w:num w:numId="7">
    <w:abstractNumId w:val="6"/>
  </w:num>
  <w:num w:numId="8">
    <w:abstractNumId w:val="2"/>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ODVkY2RjMDJiNzUxMDk0Mjc4OWNmYTM3M2YxNjYifQ=="/>
  </w:docVars>
  <w:rsids>
    <w:rsidRoot w:val="00172A27"/>
    <w:rsid w:val="024A2965"/>
    <w:rsid w:val="028805FA"/>
    <w:rsid w:val="03391DE6"/>
    <w:rsid w:val="09C3197A"/>
    <w:rsid w:val="0C9618D0"/>
    <w:rsid w:val="0D721327"/>
    <w:rsid w:val="0F863F6D"/>
    <w:rsid w:val="119F3FE1"/>
    <w:rsid w:val="13561AB1"/>
    <w:rsid w:val="13A6092C"/>
    <w:rsid w:val="14231504"/>
    <w:rsid w:val="142D626A"/>
    <w:rsid w:val="144E7211"/>
    <w:rsid w:val="176218E0"/>
    <w:rsid w:val="18DF56DA"/>
    <w:rsid w:val="1ACC0872"/>
    <w:rsid w:val="1BB408B8"/>
    <w:rsid w:val="1BD1595D"/>
    <w:rsid w:val="1CDA29FC"/>
    <w:rsid w:val="1CFC6270"/>
    <w:rsid w:val="1ED61CF8"/>
    <w:rsid w:val="1FB47ADF"/>
    <w:rsid w:val="21706A8F"/>
    <w:rsid w:val="22F16130"/>
    <w:rsid w:val="24AF32D8"/>
    <w:rsid w:val="253D3FDE"/>
    <w:rsid w:val="2775047E"/>
    <w:rsid w:val="2B5855D3"/>
    <w:rsid w:val="2EA07151"/>
    <w:rsid w:val="2EE45D6B"/>
    <w:rsid w:val="2F7F228C"/>
    <w:rsid w:val="35514DA1"/>
    <w:rsid w:val="362E5B82"/>
    <w:rsid w:val="366B1F53"/>
    <w:rsid w:val="36F54FB9"/>
    <w:rsid w:val="3761452B"/>
    <w:rsid w:val="381201FC"/>
    <w:rsid w:val="395E7E1B"/>
    <w:rsid w:val="3C2C658A"/>
    <w:rsid w:val="3D31661F"/>
    <w:rsid w:val="3D4C1F98"/>
    <w:rsid w:val="3DEB4A20"/>
    <w:rsid w:val="3EE5281F"/>
    <w:rsid w:val="3F2200C0"/>
    <w:rsid w:val="42481662"/>
    <w:rsid w:val="42AF237E"/>
    <w:rsid w:val="44CD7FE3"/>
    <w:rsid w:val="460E12D8"/>
    <w:rsid w:val="46424FFC"/>
    <w:rsid w:val="47A52FAD"/>
    <w:rsid w:val="47B42327"/>
    <w:rsid w:val="48EA1738"/>
    <w:rsid w:val="4A3C7485"/>
    <w:rsid w:val="4ABD4294"/>
    <w:rsid w:val="4AE75F58"/>
    <w:rsid w:val="4B625507"/>
    <w:rsid w:val="4C307E0C"/>
    <w:rsid w:val="4EF35385"/>
    <w:rsid w:val="4F1E077C"/>
    <w:rsid w:val="511D1DC6"/>
    <w:rsid w:val="51595693"/>
    <w:rsid w:val="54614D80"/>
    <w:rsid w:val="5723113A"/>
    <w:rsid w:val="581A403B"/>
    <w:rsid w:val="58264386"/>
    <w:rsid w:val="5D9F1086"/>
    <w:rsid w:val="60591866"/>
    <w:rsid w:val="6125059E"/>
    <w:rsid w:val="613D1934"/>
    <w:rsid w:val="61EC34DC"/>
    <w:rsid w:val="62465E1A"/>
    <w:rsid w:val="662B505C"/>
    <w:rsid w:val="66552B74"/>
    <w:rsid w:val="66CB2EAD"/>
    <w:rsid w:val="672E2855"/>
    <w:rsid w:val="6786255A"/>
    <w:rsid w:val="68433C41"/>
    <w:rsid w:val="6889615F"/>
    <w:rsid w:val="68EE6B92"/>
    <w:rsid w:val="6AEE05C5"/>
    <w:rsid w:val="6C7D18BB"/>
    <w:rsid w:val="6D016008"/>
    <w:rsid w:val="6DED6C2E"/>
    <w:rsid w:val="6E9076D3"/>
    <w:rsid w:val="6ECB25EF"/>
    <w:rsid w:val="6EDF562C"/>
    <w:rsid w:val="6FE138F6"/>
    <w:rsid w:val="73043CB8"/>
    <w:rsid w:val="735006EC"/>
    <w:rsid w:val="73780705"/>
    <w:rsid w:val="754B3A1B"/>
    <w:rsid w:val="76277FB3"/>
    <w:rsid w:val="76F7382C"/>
    <w:rsid w:val="78411E95"/>
    <w:rsid w:val="79B666EB"/>
    <w:rsid w:val="79E63D12"/>
    <w:rsid w:val="7D1108AB"/>
    <w:rsid w:val="7D400026"/>
    <w:rsid w:val="7D966F44"/>
    <w:rsid w:val="7E033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9">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10">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paragraph" w:styleId="11">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unhideWhenUsed/>
    <w:qFormat/>
    <w:uiPriority w:val="0"/>
    <w:pPr>
      <w:ind w:firstLine="420" w:firstLineChars="100"/>
    </w:pPr>
    <w:rPr>
      <w:rFonts w:hint="eastAsia" w:ascii="楷体_GB2312" w:eastAsia="楷体_GB2312"/>
      <w:sz w:val="32"/>
    </w:rPr>
  </w:style>
  <w:style w:type="paragraph" w:styleId="3">
    <w:name w:val="Body Text"/>
    <w:basedOn w:val="1"/>
    <w:next w:val="4"/>
    <w:autoRedefine/>
    <w:qFormat/>
    <w:uiPriority w:val="0"/>
    <w:rPr>
      <w:rFonts w:ascii="Times New Roman" w:hAnsi="Times New Roman"/>
    </w:rPr>
  </w:style>
  <w:style w:type="paragraph" w:styleId="4">
    <w:name w:val="toc 6"/>
    <w:basedOn w:val="1"/>
    <w:next w:val="1"/>
    <w:qFormat/>
    <w:uiPriority w:val="0"/>
    <w:pPr>
      <w:wordWrap w:val="0"/>
      <w:spacing w:before="0" w:line="240" w:lineRule="auto"/>
      <w:ind w:left="1700"/>
      <w:jc w:val="both"/>
    </w:pPr>
    <w:rPr>
      <w:rFonts w:ascii="Times New Roman" w:hAnsi="Times New Roman" w:eastAsia="宋体" w:cs="Times New Roman"/>
      <w:sz w:val="21"/>
    </w:rPr>
  </w:style>
  <w:style w:type="paragraph" w:styleId="5">
    <w:name w:val="Body Text First Indent 2"/>
    <w:basedOn w:val="6"/>
    <w:next w:val="8"/>
    <w:autoRedefine/>
    <w:qFormat/>
    <w:uiPriority w:val="0"/>
    <w:pPr>
      <w:ind w:firstLine="420"/>
    </w:pPr>
  </w:style>
  <w:style w:type="paragraph" w:styleId="6">
    <w:name w:val="Body Text Indent"/>
    <w:basedOn w:val="1"/>
    <w:next w:val="7"/>
    <w:autoRedefine/>
    <w:qFormat/>
    <w:uiPriority w:val="0"/>
    <w:pPr>
      <w:ind w:firstLine="560" w:firstLineChars="200"/>
    </w:pPr>
    <w:rPr>
      <w:rFonts w:ascii="Times New Roman" w:hAnsi="Times New Roman"/>
    </w:rPr>
  </w:style>
  <w:style w:type="paragraph" w:styleId="7">
    <w:name w:val="envelope return"/>
    <w:basedOn w:val="1"/>
    <w:autoRedefine/>
    <w:qFormat/>
    <w:uiPriority w:val="99"/>
    <w:pPr>
      <w:snapToGrid w:val="0"/>
    </w:pPr>
    <w:rPr>
      <w:rFonts w:ascii="Arial" w:hAnsi="Arial" w:cs="Arial"/>
    </w:rPr>
  </w:style>
  <w:style w:type="paragraph" w:styleId="8">
    <w:name w:val="Normal Indent"/>
    <w:basedOn w:val="1"/>
    <w:autoRedefine/>
    <w:unhideWhenUsed/>
    <w:qFormat/>
    <w:uiPriority w:val="99"/>
    <w:pPr>
      <w:ind w:firstLine="420"/>
    </w:pPr>
    <w:rPr>
      <w:rFonts w:ascii="Calibri" w:hAnsi="Calibri"/>
      <w:szCs w:val="20"/>
    </w:rPr>
  </w:style>
  <w:style w:type="paragraph" w:styleId="12">
    <w:name w:val="toa heading"/>
    <w:basedOn w:val="1"/>
    <w:next w:val="1"/>
    <w:autoRedefine/>
    <w:unhideWhenUsed/>
    <w:qFormat/>
    <w:uiPriority w:val="99"/>
    <w:pPr>
      <w:spacing w:before="120"/>
    </w:pPr>
    <w:rPr>
      <w:rFonts w:ascii="Arial" w:hAnsi="Arial" w:cs="Arial"/>
      <w:sz w:val="24"/>
    </w:rPr>
  </w:style>
  <w:style w:type="paragraph" w:styleId="13">
    <w:name w:val="annotation text"/>
    <w:basedOn w:val="1"/>
    <w:autoRedefine/>
    <w:qFormat/>
    <w:uiPriority w:val="0"/>
    <w:pPr>
      <w:jc w:val="left"/>
    </w:pPr>
  </w:style>
  <w:style w:type="paragraph" w:styleId="14">
    <w:name w:val="Body Text 3"/>
    <w:basedOn w:val="1"/>
    <w:autoRedefine/>
    <w:unhideWhenUsed/>
    <w:qFormat/>
    <w:uiPriority w:val="0"/>
    <w:pPr>
      <w:spacing w:after="120"/>
    </w:pPr>
    <w:rPr>
      <w:rFonts w:ascii="Times New Roman" w:hAnsi="Times New Roman"/>
      <w:sz w:val="16"/>
      <w:szCs w:val="16"/>
    </w:rPr>
  </w:style>
  <w:style w:type="paragraph" w:styleId="15">
    <w:name w:val="Plain Text"/>
    <w:basedOn w:val="1"/>
    <w:next w:val="3"/>
    <w:autoRedefine/>
    <w:qFormat/>
    <w:uiPriority w:val="0"/>
    <w:rPr>
      <w:rFonts w:hint="eastAsia" w:ascii="宋体" w:hAnsi="Courier New"/>
      <w:szCs w:val="21"/>
    </w:rPr>
  </w:style>
  <w:style w:type="paragraph" w:styleId="16">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8">
    <w:name w:val="Body Text 2"/>
    <w:basedOn w:val="1"/>
    <w:next w:val="3"/>
    <w:autoRedefine/>
    <w:unhideWhenUsed/>
    <w:qFormat/>
    <w:uiPriority w:val="0"/>
    <w:pPr>
      <w:spacing w:after="120" w:line="480" w:lineRule="auto"/>
    </w:pPr>
    <w:rPr>
      <w:rFonts w:ascii="Times New Roman" w:hAnsi="Times New Roman"/>
    </w:r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autoRedefine/>
    <w:qFormat/>
    <w:uiPriority w:val="0"/>
    <w:pPr>
      <w:spacing w:before="240" w:after="60"/>
      <w:jc w:val="center"/>
      <w:outlineLvl w:val="0"/>
    </w:pPr>
    <w:rPr>
      <w:rFonts w:ascii="Calibri Light" w:hAnsi="Calibri Light" w:eastAsia="Calibri Light"/>
      <w:b/>
      <w:sz w:val="32"/>
      <w:szCs w:val="32"/>
    </w:r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FollowedHyperlink"/>
    <w:basedOn w:val="23"/>
    <w:qFormat/>
    <w:uiPriority w:val="0"/>
    <w:rPr>
      <w:color w:val="800080"/>
      <w:u w:val="none"/>
    </w:rPr>
  </w:style>
  <w:style w:type="character" w:styleId="26">
    <w:name w:val="HTML Definition"/>
    <w:basedOn w:val="23"/>
    <w:qFormat/>
    <w:uiPriority w:val="0"/>
  </w:style>
  <w:style w:type="character" w:styleId="27">
    <w:name w:val="HTML Typewriter"/>
    <w:basedOn w:val="23"/>
    <w:qFormat/>
    <w:uiPriority w:val="0"/>
    <w:rPr>
      <w:rFonts w:ascii="monospace" w:hAnsi="monospace" w:eastAsia="monospace" w:cs="monospace"/>
      <w:sz w:val="20"/>
    </w:rPr>
  </w:style>
  <w:style w:type="character" w:styleId="28">
    <w:name w:val="HTML Acronym"/>
    <w:basedOn w:val="23"/>
    <w:qFormat/>
    <w:uiPriority w:val="0"/>
  </w:style>
  <w:style w:type="character" w:styleId="29">
    <w:name w:val="HTML Variable"/>
    <w:basedOn w:val="23"/>
    <w:qFormat/>
    <w:uiPriority w:val="0"/>
  </w:style>
  <w:style w:type="character" w:styleId="30">
    <w:name w:val="Hyperlink"/>
    <w:autoRedefine/>
    <w:qFormat/>
    <w:uiPriority w:val="99"/>
    <w:rPr>
      <w:rFonts w:cs="Times New Roman"/>
      <w:color w:val="0000FF"/>
      <w:u w:val="single"/>
    </w:rPr>
  </w:style>
  <w:style w:type="character" w:styleId="31">
    <w:name w:val="HTML Code"/>
    <w:basedOn w:val="23"/>
    <w:qFormat/>
    <w:uiPriority w:val="0"/>
    <w:rPr>
      <w:rFonts w:hint="default" w:ascii="monospace" w:hAnsi="monospace" w:eastAsia="monospace" w:cs="monospace"/>
      <w:sz w:val="20"/>
    </w:rPr>
  </w:style>
  <w:style w:type="character" w:styleId="32">
    <w:name w:val="HTML Cite"/>
    <w:basedOn w:val="23"/>
    <w:qFormat/>
    <w:uiPriority w:val="0"/>
  </w:style>
  <w:style w:type="character" w:styleId="33">
    <w:name w:val="HTML Keyboard"/>
    <w:basedOn w:val="23"/>
    <w:qFormat/>
    <w:uiPriority w:val="0"/>
    <w:rPr>
      <w:rFonts w:hint="default" w:ascii="monospace" w:hAnsi="monospace" w:eastAsia="monospace" w:cs="monospace"/>
      <w:sz w:val="20"/>
    </w:rPr>
  </w:style>
  <w:style w:type="character" w:styleId="34">
    <w:name w:val="HTML Sample"/>
    <w:basedOn w:val="23"/>
    <w:qFormat/>
    <w:uiPriority w:val="0"/>
    <w:rPr>
      <w:rFonts w:hint="default" w:ascii="monospace" w:hAnsi="monospace" w:eastAsia="monospace" w:cs="monospace"/>
    </w:rPr>
  </w:style>
  <w:style w:type="paragraph" w:customStyle="1" w:styleId="35">
    <w:name w:val="Default"/>
    <w:basedOn w:val="15"/>
    <w:next w:val="1"/>
    <w:autoRedefine/>
    <w:qFormat/>
    <w:uiPriority w:val="0"/>
    <w:pPr>
      <w:autoSpaceDE w:val="0"/>
      <w:autoSpaceDN w:val="0"/>
      <w:adjustRightInd w:val="0"/>
      <w:jc w:val="left"/>
    </w:pPr>
    <w:rPr>
      <w:rFonts w:hint="eastAsia" w:ascii="宋体" w:hAnsi="Calibri"/>
      <w:color w:val="000000"/>
      <w:kern w:val="0"/>
      <w:sz w:val="24"/>
    </w:rPr>
  </w:style>
  <w:style w:type="paragraph" w:customStyle="1" w:styleId="36">
    <w:name w:val="正文 A"/>
    <w:next w:val="35"/>
    <w:autoRedefine/>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37">
    <w:name w:val="WPSOffice手动目录 1"/>
    <w:autoRedefine/>
    <w:qFormat/>
    <w:uiPriority w:val="0"/>
    <w:rPr>
      <w:rFonts w:ascii="Times New Roman" w:hAnsi="Times New Roman" w:eastAsia="宋体" w:cs="Times New Roman"/>
      <w:lang w:val="en-US" w:eastAsia="zh-CN" w:bidi="ar-SA"/>
    </w:rPr>
  </w:style>
  <w:style w:type="paragraph" w:customStyle="1" w:styleId="38">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39">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格文字"/>
    <w:basedOn w:val="1"/>
    <w:next w:val="1"/>
    <w:autoRedefine/>
    <w:qFormat/>
    <w:uiPriority w:val="0"/>
    <w:pPr>
      <w:adjustRightInd w:val="0"/>
      <w:spacing w:line="420" w:lineRule="atLeast"/>
      <w:jc w:val="left"/>
      <w:textAlignment w:val="baseline"/>
    </w:pPr>
    <w:rPr>
      <w:kern w:val="0"/>
    </w:rPr>
  </w:style>
  <w:style w:type="paragraph" w:customStyle="1" w:styleId="41">
    <w:name w:val="p0"/>
    <w:basedOn w:val="42"/>
    <w:autoRedefine/>
    <w:qFormat/>
    <w:uiPriority w:val="0"/>
    <w:pPr>
      <w:widowControl/>
    </w:pPr>
    <w:rPr>
      <w:kern w:val="0"/>
      <w:szCs w:val="21"/>
    </w:rPr>
  </w:style>
  <w:style w:type="paragraph" w:customStyle="1" w:styleId="42">
    <w:name w:val="正文1"/>
    <w:next w:val="4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文本1"/>
    <w:basedOn w:val="42"/>
    <w:autoRedefine/>
    <w:qFormat/>
    <w:uiPriority w:val="99"/>
    <w:rPr>
      <w:rFonts w:eastAsia="楷体_GB2312"/>
      <w:sz w:val="28"/>
    </w:rPr>
  </w:style>
  <w:style w:type="paragraph" w:customStyle="1" w:styleId="44">
    <w:name w:val="Table Paragraph"/>
    <w:basedOn w:val="42"/>
    <w:autoRedefine/>
    <w:qFormat/>
    <w:uiPriority w:val="1"/>
    <w:rPr>
      <w:rFonts w:ascii="宋体" w:hAnsi="宋体" w:cs="宋体"/>
      <w:lang w:val="zh-CN" w:bidi="zh-CN"/>
    </w:rPr>
  </w:style>
  <w:style w:type="paragraph" w:customStyle="1" w:styleId="45">
    <w:name w:val="无间隔1"/>
    <w:basedOn w:val="1"/>
    <w:next w:val="46"/>
    <w:autoRedefine/>
    <w:qFormat/>
    <w:uiPriority w:val="0"/>
    <w:pPr>
      <w:spacing w:line="400" w:lineRule="exact"/>
    </w:pPr>
    <w:rPr>
      <w:sz w:val="24"/>
    </w:rPr>
  </w:style>
  <w:style w:type="paragraph" w:customStyle="1" w:styleId="46">
    <w:name w:val="正文（首行缩进） Char"/>
    <w:basedOn w:val="1"/>
    <w:next w:val="47"/>
    <w:autoRedefine/>
    <w:qFormat/>
    <w:uiPriority w:val="0"/>
    <w:pPr>
      <w:spacing w:line="360" w:lineRule="auto"/>
      <w:ind w:firstLine="480"/>
    </w:pPr>
    <w:rPr>
      <w:rFonts w:ascii="Arial"/>
      <w:color w:val="000000"/>
      <w:sz w:val="24"/>
    </w:rPr>
  </w:style>
  <w:style w:type="paragraph" w:customStyle="1" w:styleId="47">
    <w:name w:val="2号黑体加粗"/>
    <w:basedOn w:val="1"/>
    <w:next w:val="40"/>
    <w:autoRedefine/>
    <w:qFormat/>
    <w:uiPriority w:val="0"/>
    <w:pPr>
      <w:jc w:val="center"/>
    </w:pPr>
    <w:rPr>
      <w:rFonts w:ascii="Calibri" w:eastAsia="黑体"/>
      <w:b/>
      <w:sz w:val="44"/>
    </w:rPr>
  </w:style>
  <w:style w:type="paragraph" w:customStyle="1" w:styleId="48">
    <w:name w:val="TOAHeading"/>
    <w:basedOn w:val="1"/>
    <w:next w:val="1"/>
    <w:autoRedefine/>
    <w:qFormat/>
    <w:uiPriority w:val="0"/>
    <w:pPr>
      <w:spacing w:before="120"/>
      <w:textAlignment w:val="baseline"/>
    </w:pPr>
    <w:rPr>
      <w:rFonts w:ascii="Arial" w:hAnsi="Arial"/>
      <w:sz w:val="24"/>
      <w:szCs w:val="22"/>
    </w:rPr>
  </w:style>
  <w:style w:type="paragraph" w:customStyle="1" w:styleId="49">
    <w:name w:val="Table Text"/>
    <w:basedOn w:val="1"/>
    <w:autoRedefine/>
    <w:semiHidden/>
    <w:qFormat/>
    <w:uiPriority w:val="0"/>
    <w:rPr>
      <w:rFonts w:ascii="宋体" w:hAnsi="宋体" w:eastAsia="宋体" w:cs="宋体"/>
      <w:sz w:val="24"/>
      <w:szCs w:val="24"/>
      <w:lang w:val="en-US" w:eastAsia="en-US" w:bidi="ar-SA"/>
    </w:rPr>
  </w:style>
  <w:style w:type="table" w:customStyle="1" w:styleId="5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20560</Words>
  <Characters>22460</Characters>
  <Lines>0</Lines>
  <Paragraphs>0</Paragraphs>
  <TotalTime>3</TotalTime>
  <ScaleCrop>false</ScaleCrop>
  <LinksUpToDate>false</LinksUpToDate>
  <CharactersWithSpaces>24191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2024-02-05T12:31:00Z</dcterms:created>
  <dc:creator>张琰</dc:creator>
  <cp:lastModifiedBy>Administrator</cp:lastModifiedBy>
  <dcterms:modified xsi:type="dcterms:W3CDTF">2024-07-04T08:41:16Z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E5FC4567BDCA4EF0998B2C3AFA0008A6_11</vt:lpwstr>
  </property>
</Properties>
</file>