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0"/>
        <w:rPr>
          <w:rFonts w:ascii="宋体" w:hAnsi="宋体" w:cs="宋体"/>
          <w:sz w:val="24"/>
          <w:highlight w:val="none"/>
        </w:rPr>
      </w:pPr>
      <w:bookmarkStart w:id="0" w:name="_Toc281574833"/>
    </w:p>
    <w:p>
      <w:pPr>
        <w:snapToGrid w:val="0"/>
        <w:spacing w:line="360" w:lineRule="auto"/>
        <w:jc w:val="center"/>
        <w:rPr>
          <w:rFonts w:hint="eastAsia" w:ascii="宋体" w:hAnsi="宋体" w:eastAsia="宋体" w:cs="宋体"/>
          <w:b/>
          <w:kern w:val="0"/>
          <w:sz w:val="48"/>
          <w:szCs w:val="48"/>
          <w:highlight w:val="none"/>
          <w:lang w:eastAsia="zh-CN"/>
        </w:rPr>
      </w:pPr>
      <w:r>
        <w:rPr>
          <w:rFonts w:hint="eastAsia" w:ascii="宋体" w:hAnsi="宋体" w:cs="宋体"/>
          <w:b/>
          <w:kern w:val="0"/>
          <w:sz w:val="48"/>
          <w:szCs w:val="48"/>
          <w:highlight w:val="none"/>
          <w:lang w:eastAsia="zh-CN"/>
        </w:rPr>
        <w:t>博爱县妇幼保健院信息化改造采购项目</w:t>
      </w:r>
    </w:p>
    <w:p>
      <w:pPr>
        <w:spacing w:line="360" w:lineRule="auto"/>
        <w:jc w:val="center"/>
        <w:rPr>
          <w:rFonts w:ascii="宋体" w:hAnsi="宋体" w:cs="宋体"/>
          <w:b/>
          <w:bCs/>
          <w:sz w:val="48"/>
          <w:szCs w:val="48"/>
          <w:highlight w:val="none"/>
        </w:rPr>
      </w:pPr>
    </w:p>
    <w:p>
      <w:pPr>
        <w:pStyle w:val="26"/>
        <w:ind w:left="0" w:leftChars="0" w:firstLine="0" w:firstLineChars="0"/>
        <w:rPr>
          <w:rFonts w:hint="eastAsia"/>
          <w:highlight w:val="none"/>
        </w:rPr>
      </w:pPr>
    </w:p>
    <w:p>
      <w:pPr>
        <w:spacing w:line="360" w:lineRule="auto"/>
        <w:jc w:val="center"/>
        <w:rPr>
          <w:rFonts w:ascii="宋体" w:hAnsi="宋体" w:cs="宋体"/>
          <w:sz w:val="22"/>
          <w:szCs w:val="28"/>
          <w:highlight w:val="none"/>
        </w:rPr>
      </w:pPr>
      <w:r>
        <w:rPr>
          <w:rFonts w:hint="eastAsia" w:ascii="宋体" w:hAnsi="宋体" w:cs="宋体"/>
          <w:b/>
          <w:bCs/>
          <w:sz w:val="48"/>
          <w:szCs w:val="48"/>
          <w:highlight w:val="none"/>
        </w:rPr>
        <w:t xml:space="preserve"> </w:t>
      </w:r>
    </w:p>
    <w:p>
      <w:pPr>
        <w:snapToGrid w:val="0"/>
        <w:spacing w:line="360" w:lineRule="auto"/>
        <w:jc w:val="center"/>
        <w:rPr>
          <w:rFonts w:hint="eastAsia" w:ascii="宋体" w:hAnsi="宋体" w:cs="宋体"/>
          <w:b/>
          <w:kern w:val="0"/>
          <w:sz w:val="72"/>
          <w:szCs w:val="72"/>
          <w:highlight w:val="none"/>
        </w:rPr>
      </w:pPr>
      <w:r>
        <w:rPr>
          <w:rFonts w:hint="eastAsia" w:ascii="宋体" w:hAnsi="宋体" w:cs="宋体"/>
          <w:b/>
          <w:kern w:val="0"/>
          <w:sz w:val="72"/>
          <w:szCs w:val="72"/>
          <w:highlight w:val="none"/>
        </w:rPr>
        <w:t>招 标 文 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color w:val="auto"/>
          <w:spacing w:val="-6"/>
          <w:sz w:val="30"/>
          <w:szCs w:val="30"/>
          <w:highlight w:val="none"/>
          <w:lang w:val="en-US"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w:t>
      </w:r>
      <w:r>
        <w:rPr>
          <w:rFonts w:hint="eastAsia" w:ascii="宋体" w:hAnsi="宋体" w:cs="宋体"/>
          <w:b/>
          <w:bCs w:val="0"/>
          <w:color w:val="auto"/>
          <w:spacing w:val="-6"/>
          <w:sz w:val="30"/>
          <w:szCs w:val="30"/>
          <w:highlight w:val="none"/>
          <w:lang w:val="en-US" w:eastAsia="zh-CN"/>
        </w:rPr>
        <w:t>2024）34号</w:t>
      </w:r>
    </w:p>
    <w:p>
      <w:pPr>
        <w:spacing w:line="360" w:lineRule="auto"/>
        <w:jc w:val="center"/>
        <w:rPr>
          <w:rFonts w:ascii="宋体" w:hAnsi="宋体" w:cs="宋体"/>
          <w:b/>
          <w:bCs/>
          <w:sz w:val="32"/>
          <w:szCs w:val="32"/>
          <w:highlight w:val="none"/>
          <w:u w:val="single"/>
        </w:rPr>
      </w:pPr>
    </w:p>
    <w:p>
      <w:pPr>
        <w:pStyle w:val="36"/>
        <w:rPr>
          <w:rFonts w:ascii="宋体" w:hAnsi="宋体" w:cs="宋体"/>
          <w:highlight w:val="none"/>
        </w:rPr>
      </w:pPr>
    </w:p>
    <w:p>
      <w:pPr>
        <w:pStyle w:val="6"/>
        <w:rPr>
          <w:rFonts w:ascii="宋体" w:hAnsi="宋体" w:eastAsia="宋体" w:cs="宋体"/>
          <w:highlight w:val="none"/>
        </w:rPr>
      </w:pPr>
    </w:p>
    <w:p>
      <w:pPr>
        <w:rPr>
          <w:rFonts w:ascii="宋体" w:hAnsi="宋体" w:eastAsia="宋体" w:cs="宋体"/>
          <w:highlight w:val="none"/>
        </w:rPr>
      </w:pPr>
    </w:p>
    <w:p>
      <w:pPr>
        <w:pStyle w:val="25"/>
        <w:rPr>
          <w:highlight w:val="none"/>
        </w:rPr>
      </w:pPr>
    </w:p>
    <w:p>
      <w:pPr>
        <w:rPr>
          <w:rFonts w:ascii="宋体" w:hAnsi="宋体" w:cs="宋体"/>
          <w:sz w:val="30"/>
          <w:highlight w:val="none"/>
        </w:rPr>
      </w:pPr>
    </w:p>
    <w:p>
      <w:pPr>
        <w:ind w:firstLine="1928" w:firstLineChars="600"/>
        <w:rPr>
          <w:rFonts w:ascii="宋体" w:hAnsi="宋体" w:cs="宋体"/>
          <w:b/>
          <w:bCs/>
          <w:sz w:val="32"/>
          <w:szCs w:val="32"/>
          <w:highlight w:val="none"/>
        </w:rPr>
      </w:pPr>
    </w:p>
    <w:p>
      <w:pPr>
        <w:spacing w:line="360" w:lineRule="auto"/>
        <w:jc w:val="center"/>
        <w:rPr>
          <w:rFonts w:hint="eastAsia" w:ascii="宋体" w:hAnsi="宋体" w:cs="宋体"/>
          <w:b/>
          <w:spacing w:val="-6"/>
          <w:sz w:val="36"/>
          <w:szCs w:val="36"/>
          <w:highlight w:val="none"/>
          <w:lang w:eastAsia="zh-CN"/>
        </w:rPr>
      </w:pPr>
      <w:r>
        <w:rPr>
          <w:rFonts w:hint="eastAsia" w:ascii="宋体" w:hAnsi="宋体" w:cs="宋体"/>
          <w:b/>
          <w:bCs/>
          <w:sz w:val="36"/>
          <w:szCs w:val="36"/>
          <w:highlight w:val="none"/>
        </w:rPr>
        <w:t xml:space="preserve"> </w:t>
      </w:r>
      <w:r>
        <w:rPr>
          <w:rFonts w:ascii="宋体" w:hAnsi="宋体" w:cs="宋体"/>
          <w:b/>
          <w:bCs/>
          <w:sz w:val="36"/>
          <w:szCs w:val="36"/>
          <w:highlight w:val="none"/>
        </w:rPr>
        <w:t xml:space="preserve">    </w:t>
      </w:r>
      <w:r>
        <w:rPr>
          <w:rFonts w:hint="eastAsia" w:ascii="宋体" w:hAnsi="宋体" w:cs="宋体"/>
          <w:b/>
          <w:bCs/>
          <w:sz w:val="36"/>
          <w:szCs w:val="36"/>
          <w:highlight w:val="none"/>
        </w:rPr>
        <w:t>采 购 人：</w:t>
      </w:r>
      <w:r>
        <w:rPr>
          <w:rFonts w:hint="eastAsia" w:ascii="宋体" w:hAnsi="宋体" w:cs="宋体"/>
          <w:b/>
          <w:spacing w:val="-6"/>
          <w:sz w:val="36"/>
          <w:szCs w:val="36"/>
          <w:highlight w:val="none"/>
          <w:lang w:eastAsia="zh-CN"/>
        </w:rPr>
        <w:t>博爱县妇幼保健院</w:t>
      </w:r>
    </w:p>
    <w:p>
      <w:pPr>
        <w:spacing w:line="360" w:lineRule="auto"/>
        <w:jc w:val="center"/>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采购</w:t>
      </w:r>
      <w:r>
        <w:rPr>
          <w:rFonts w:hint="eastAsia" w:ascii="宋体" w:hAnsi="宋体" w:cs="宋体"/>
          <w:b/>
          <w:bCs/>
          <w:sz w:val="36"/>
          <w:szCs w:val="36"/>
          <w:highlight w:val="none"/>
        </w:rPr>
        <w:t>代理机构：</w:t>
      </w:r>
      <w:r>
        <w:rPr>
          <w:rFonts w:hint="eastAsia" w:ascii="宋体" w:hAnsi="宋体" w:cs="宋体"/>
          <w:b/>
          <w:bCs/>
          <w:sz w:val="36"/>
          <w:szCs w:val="36"/>
          <w:highlight w:val="none"/>
          <w:lang w:eastAsia="zh-CN"/>
        </w:rPr>
        <w:t>河南正坤建设工程咨询有限公司</w:t>
      </w:r>
    </w:p>
    <w:p>
      <w:pPr>
        <w:spacing w:line="36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日    期：二零二</w:t>
      </w:r>
      <w:r>
        <w:rPr>
          <w:rFonts w:hint="eastAsia" w:ascii="宋体" w:hAnsi="宋体" w:cs="宋体"/>
          <w:b/>
          <w:bCs/>
          <w:sz w:val="36"/>
          <w:szCs w:val="36"/>
          <w:highlight w:val="none"/>
          <w:lang w:val="en-US" w:eastAsia="zh-CN"/>
        </w:rPr>
        <w:t>四</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四</w:t>
      </w:r>
      <w:r>
        <w:rPr>
          <w:rFonts w:hint="eastAsia" w:ascii="宋体" w:hAnsi="宋体" w:cs="宋体"/>
          <w:b/>
          <w:bCs/>
          <w:sz w:val="36"/>
          <w:szCs w:val="36"/>
          <w:highlight w:val="none"/>
        </w:rPr>
        <w:t>月</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cs="宋体"/>
          <w:highlight w:val="none"/>
        </w:rPr>
      </w:pPr>
      <w:r>
        <w:rPr>
          <w:rFonts w:hint="eastAsia" w:ascii="宋体" w:hAnsi="宋体" w:cs="宋体"/>
          <w:b/>
          <w:bCs/>
          <w:sz w:val="44"/>
          <w:szCs w:val="44"/>
          <w:highlight w:val="none"/>
        </w:rPr>
        <w:t>目  录</w:t>
      </w:r>
    </w:p>
    <w:p>
      <w:pPr>
        <w:pStyle w:val="18"/>
        <w:tabs>
          <w:tab w:val="right" w:leader="dot" w:pos="8634"/>
        </w:tabs>
        <w:rPr>
          <w:highlight w:val="none"/>
        </w:rPr>
      </w:pPr>
      <w:bookmarkStart w:id="1" w:name="_Toc7036"/>
      <w:bookmarkStart w:id="2" w:name="_Toc10790"/>
      <w:bookmarkStart w:id="3" w:name="_Toc2516"/>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_Toc5 </w:instrText>
      </w:r>
      <w:r>
        <w:rPr>
          <w:highlight w:val="none"/>
        </w:rPr>
        <w:fldChar w:fldCharType="separate"/>
      </w:r>
      <w:r>
        <w:rPr>
          <w:rFonts w:hint="eastAsia" w:ascii="宋体" w:hAnsi="宋体" w:eastAsia="宋体" w:cs="宋体"/>
          <w:highlight w:val="none"/>
        </w:rPr>
        <w:t>第一章</w:t>
      </w:r>
      <w:r>
        <w:rPr>
          <w:rFonts w:hint="eastAsia" w:ascii="宋体" w:hAnsi="宋体" w:eastAsia="宋体" w:cs="宋体"/>
          <w:bCs/>
          <w:highlight w:val="none"/>
        </w:rPr>
        <w:t xml:space="preserve"> 招标公告</w:t>
      </w:r>
      <w:r>
        <w:rPr>
          <w:highlight w:val="none"/>
        </w:rPr>
        <w:tab/>
      </w:r>
      <w:r>
        <w:rPr>
          <w:highlight w:val="none"/>
        </w:rPr>
        <w:fldChar w:fldCharType="begin"/>
      </w:r>
      <w:r>
        <w:rPr>
          <w:highlight w:val="none"/>
        </w:rPr>
        <w:instrText xml:space="preserve"> PAGEREF _Toc5 \h </w:instrText>
      </w:r>
      <w:r>
        <w:rPr>
          <w:highlight w:val="none"/>
        </w:rPr>
        <w:fldChar w:fldCharType="separate"/>
      </w:r>
      <w:r>
        <w:rPr>
          <w:highlight w:val="none"/>
        </w:rPr>
        <w:t>5</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_Toc3189 </w:instrText>
      </w:r>
      <w:r>
        <w:rPr>
          <w:highlight w:val="none"/>
        </w:rPr>
        <w:fldChar w:fldCharType="separate"/>
      </w:r>
      <w:r>
        <w:rPr>
          <w:rFonts w:hint="eastAsia" w:ascii="宋体" w:hAnsi="宋体" w:cs="宋体"/>
          <w:szCs w:val="28"/>
          <w:highlight w:val="none"/>
        </w:rPr>
        <w:t>第二章 供应商须知</w:t>
      </w:r>
      <w:r>
        <w:rPr>
          <w:highlight w:val="none"/>
        </w:rPr>
        <w:tab/>
      </w:r>
      <w:r>
        <w:rPr>
          <w:highlight w:val="none"/>
        </w:rPr>
        <w:fldChar w:fldCharType="begin"/>
      </w:r>
      <w:r>
        <w:rPr>
          <w:highlight w:val="none"/>
        </w:rPr>
        <w:instrText xml:space="preserve"> PAGEREF _Toc3189 \h </w:instrText>
      </w:r>
      <w:r>
        <w:rPr>
          <w:highlight w:val="none"/>
        </w:rPr>
        <w:fldChar w:fldCharType="separate"/>
      </w:r>
      <w:r>
        <w:rPr>
          <w:highlight w:val="none"/>
        </w:rPr>
        <w:t>8</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_Toc20887 </w:instrText>
      </w:r>
      <w:r>
        <w:rPr>
          <w:highlight w:val="none"/>
        </w:rPr>
        <w:fldChar w:fldCharType="separate"/>
      </w:r>
      <w:r>
        <w:rPr>
          <w:rFonts w:hint="eastAsia" w:ascii="宋体" w:hAnsi="宋体" w:eastAsia="宋体" w:cs="宋体"/>
          <w:szCs w:val="28"/>
          <w:highlight w:val="none"/>
          <w:lang w:eastAsia="zh-CN"/>
        </w:rPr>
        <w:t>第三章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评标办法（综合评分法）</w:t>
      </w:r>
      <w:r>
        <w:rPr>
          <w:highlight w:val="none"/>
        </w:rPr>
        <w:tab/>
      </w:r>
      <w:r>
        <w:rPr>
          <w:highlight w:val="none"/>
        </w:rPr>
        <w:fldChar w:fldCharType="begin"/>
      </w:r>
      <w:r>
        <w:rPr>
          <w:highlight w:val="none"/>
        </w:rPr>
        <w:instrText xml:space="preserve"> PAGEREF _Toc20887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_Toc27781 </w:instrText>
      </w:r>
      <w:r>
        <w:rPr>
          <w:highlight w:val="none"/>
        </w:rPr>
        <w:fldChar w:fldCharType="separate"/>
      </w:r>
      <w:r>
        <w:rPr>
          <w:rFonts w:hint="eastAsia" w:ascii="宋体" w:hAnsi="宋体" w:eastAsia="宋体" w:cs="宋体"/>
          <w:szCs w:val="28"/>
          <w:highlight w:val="none"/>
        </w:rPr>
        <w:t>第四章 合同条款及格式</w:t>
      </w:r>
      <w:r>
        <w:rPr>
          <w:highlight w:val="none"/>
        </w:rPr>
        <w:tab/>
      </w:r>
      <w:r>
        <w:rPr>
          <w:highlight w:val="none"/>
        </w:rPr>
        <w:fldChar w:fldCharType="begin"/>
      </w:r>
      <w:r>
        <w:rPr>
          <w:highlight w:val="none"/>
        </w:rPr>
        <w:instrText xml:space="preserve"> PAGEREF _Toc27781 \h </w:instrText>
      </w:r>
      <w:r>
        <w:rPr>
          <w:highlight w:val="none"/>
        </w:rPr>
        <w:fldChar w:fldCharType="separate"/>
      </w:r>
      <w:r>
        <w:rPr>
          <w:highlight w:val="none"/>
        </w:rPr>
        <w:t>26</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_Toc22550 </w:instrText>
      </w:r>
      <w:r>
        <w:rPr>
          <w:highlight w:val="none"/>
        </w:rPr>
        <w:fldChar w:fldCharType="separate"/>
      </w:r>
      <w:r>
        <w:rPr>
          <w:rFonts w:hint="eastAsia" w:ascii="宋体" w:hAnsi="宋体" w:cs="宋体"/>
          <w:bCs/>
          <w:szCs w:val="32"/>
          <w:highlight w:val="none"/>
        </w:rPr>
        <w:t>第五章 采购内容及要求</w:t>
      </w:r>
      <w:r>
        <w:rPr>
          <w:highlight w:val="none"/>
        </w:rPr>
        <w:tab/>
      </w:r>
      <w:r>
        <w:rPr>
          <w:highlight w:val="none"/>
        </w:rPr>
        <w:fldChar w:fldCharType="begin"/>
      </w:r>
      <w:r>
        <w:rPr>
          <w:highlight w:val="none"/>
        </w:rPr>
        <w:instrText xml:space="preserve"> PAGEREF _Toc22550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_Toc16517 </w:instrText>
      </w:r>
      <w:r>
        <w:rPr>
          <w:highlight w:val="none"/>
        </w:rPr>
        <w:fldChar w:fldCharType="separate"/>
      </w:r>
      <w:r>
        <w:rPr>
          <w:rFonts w:hint="eastAsia" w:ascii="宋体" w:hAnsi="宋体" w:cs="宋体"/>
          <w:szCs w:val="32"/>
          <w:highlight w:val="none"/>
        </w:rPr>
        <w:t>第六章 质疑与投诉</w:t>
      </w:r>
      <w:r>
        <w:rPr>
          <w:highlight w:val="none"/>
        </w:rPr>
        <w:tab/>
      </w:r>
      <w:r>
        <w:rPr>
          <w:highlight w:val="none"/>
        </w:rPr>
        <w:fldChar w:fldCharType="begin"/>
      </w:r>
      <w:r>
        <w:rPr>
          <w:highlight w:val="none"/>
        </w:rPr>
        <w:instrText xml:space="preserve"> PAGEREF _Toc16517 \h </w:instrText>
      </w:r>
      <w:r>
        <w:rPr>
          <w:highlight w:val="none"/>
        </w:rPr>
        <w:fldChar w:fldCharType="separate"/>
      </w:r>
      <w:r>
        <w:rPr>
          <w:highlight w:val="none"/>
        </w:rPr>
        <w:t>53</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_Toc9541 </w:instrText>
      </w:r>
      <w:r>
        <w:rPr>
          <w:highlight w:val="none"/>
        </w:rPr>
        <w:fldChar w:fldCharType="separate"/>
      </w:r>
      <w:r>
        <w:rPr>
          <w:rFonts w:hint="eastAsia" w:ascii="宋体" w:hAnsi="宋体" w:cs="宋体"/>
          <w:szCs w:val="32"/>
          <w:highlight w:val="none"/>
        </w:rPr>
        <w:t>第七章 履约验收</w:t>
      </w:r>
      <w:r>
        <w:rPr>
          <w:highlight w:val="none"/>
        </w:rPr>
        <w:tab/>
      </w:r>
      <w:r>
        <w:rPr>
          <w:highlight w:val="none"/>
        </w:rPr>
        <w:fldChar w:fldCharType="begin"/>
      </w:r>
      <w:r>
        <w:rPr>
          <w:highlight w:val="none"/>
        </w:rPr>
        <w:instrText xml:space="preserve"> PAGEREF _Toc9541 \h </w:instrText>
      </w:r>
      <w:r>
        <w:rPr>
          <w:highlight w:val="none"/>
        </w:rPr>
        <w:fldChar w:fldCharType="separate"/>
      </w:r>
      <w:r>
        <w:rPr>
          <w:highlight w:val="none"/>
        </w:rPr>
        <w:t>54</w:t>
      </w:r>
      <w:r>
        <w:rPr>
          <w:highlight w:val="none"/>
        </w:rPr>
        <w:fldChar w:fldCharType="end"/>
      </w:r>
      <w:r>
        <w:rPr>
          <w:highlight w:val="none"/>
        </w:rPr>
        <w:fldChar w:fldCharType="end"/>
      </w:r>
    </w:p>
    <w:p>
      <w:pPr>
        <w:pStyle w:val="18"/>
        <w:tabs>
          <w:tab w:val="right" w:leader="dot" w:pos="8634"/>
        </w:tabs>
        <w:rPr>
          <w:highlight w:val="none"/>
        </w:rPr>
      </w:pPr>
      <w:r>
        <w:rPr>
          <w:highlight w:val="none"/>
        </w:rPr>
        <w:fldChar w:fldCharType="begin"/>
      </w:r>
      <w:r>
        <w:rPr>
          <w:highlight w:val="none"/>
        </w:rPr>
        <w:instrText xml:space="preserve"> HYPERLINK \l _Toc32399 </w:instrText>
      </w:r>
      <w:r>
        <w:rPr>
          <w:highlight w:val="none"/>
        </w:rPr>
        <w:fldChar w:fldCharType="separate"/>
      </w:r>
      <w:r>
        <w:rPr>
          <w:rFonts w:hint="eastAsia" w:ascii="宋体" w:hAnsi="宋体" w:cs="宋体"/>
          <w:szCs w:val="32"/>
          <w:highlight w:val="none"/>
        </w:rPr>
        <w:t>第八章 投标文件格式</w:t>
      </w:r>
      <w:r>
        <w:rPr>
          <w:highlight w:val="none"/>
        </w:rPr>
        <w:tab/>
      </w:r>
      <w:r>
        <w:rPr>
          <w:highlight w:val="none"/>
        </w:rPr>
        <w:fldChar w:fldCharType="begin"/>
      </w:r>
      <w:r>
        <w:rPr>
          <w:highlight w:val="none"/>
        </w:rPr>
        <w:instrText xml:space="preserve"> PAGEREF _Toc32399 \h </w:instrText>
      </w:r>
      <w:r>
        <w:rPr>
          <w:highlight w:val="none"/>
        </w:rPr>
        <w:fldChar w:fldCharType="separate"/>
      </w:r>
      <w:r>
        <w:rPr>
          <w:highlight w:val="none"/>
        </w:rPr>
        <w:t>55</w:t>
      </w:r>
      <w:r>
        <w:rPr>
          <w:highlight w:val="none"/>
        </w:rPr>
        <w:fldChar w:fldCharType="end"/>
      </w:r>
      <w:r>
        <w:rPr>
          <w:highlight w:val="none"/>
        </w:rPr>
        <w:fldChar w:fldCharType="end"/>
      </w:r>
    </w:p>
    <w:p>
      <w:pPr>
        <w:pStyle w:val="18"/>
        <w:tabs>
          <w:tab w:val="right" w:leader="dot" w:pos="8634"/>
        </w:tabs>
        <w:rPr>
          <w:highlight w:val="none"/>
        </w:rPr>
      </w:pPr>
    </w:p>
    <w:p>
      <w:pPr>
        <w:outlineLvl w:val="0"/>
        <w:rPr>
          <w:highlight w:val="none"/>
        </w:rPr>
      </w:pPr>
      <w:r>
        <w:rPr>
          <w:highlight w:val="none"/>
        </w:rPr>
        <w:fldChar w:fldCharType="end"/>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cs="宋体"/>
          <w:b/>
          <w:bCs/>
          <w:sz w:val="40"/>
          <w:szCs w:val="40"/>
          <w:highlight w:val="none"/>
        </w:rPr>
      </w:pPr>
      <w:r>
        <w:rPr>
          <w:rFonts w:hint="eastAsia" w:ascii="宋体" w:hAnsi="宋体" w:cs="宋体"/>
          <w:b/>
          <w:bCs/>
          <w:sz w:val="32"/>
          <w:szCs w:val="40"/>
          <w:highlight w:val="none"/>
        </w:rPr>
        <w:t>重要事项提示</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sz w:val="28"/>
          <w:szCs w:val="28"/>
          <w:highlight w:val="none"/>
        </w:rPr>
      </w:pPr>
      <w:r>
        <w:rPr>
          <w:rFonts w:hint="eastAsia" w:ascii="宋体" w:hAnsi="宋体" w:cs="宋体"/>
          <w:sz w:val="28"/>
          <w:szCs w:val="28"/>
          <w:highlight w:val="none"/>
        </w:rPr>
        <w:t>各潜在投标人：</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以下环节是此采购文件中需要重点关注的环节，对以下内容的忽视，可能是影响贵公司中标的重要因素。请在编制相应文件参与政府采购时高度重视。</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1、采购文件应通过焦作市公共资源交易中心网站会员系统进行网上下载；未使用</w:t>
      </w:r>
      <w:r>
        <w:rPr>
          <w:rFonts w:hint="eastAsia" w:ascii="宋体" w:hAnsi="宋体" w:cs="宋体"/>
          <w:bCs/>
          <w:kern w:val="0"/>
          <w:sz w:val="28"/>
          <w:szCs w:val="28"/>
          <w:highlight w:val="none"/>
        </w:rPr>
        <w:t>企业 CA 密匙</w:t>
      </w:r>
      <w:r>
        <w:rPr>
          <w:rFonts w:hint="eastAsia" w:ascii="宋体" w:hAnsi="宋体" w:cs="宋体"/>
          <w:sz w:val="28"/>
          <w:szCs w:val="28"/>
          <w:highlight w:val="none"/>
        </w:rPr>
        <w:t>登录焦作市公共资源交易中心网站会员系统进行网上下载文件的，投标视为无效；</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2"/>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有下列情形之一的，将作为自动放弃、无效投标或废标处理：</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eastAsia"/>
          <w:sz w:val="28"/>
          <w:szCs w:val="28"/>
          <w:highlight w:val="none"/>
        </w:rPr>
      </w:pPr>
      <w:r>
        <w:rPr>
          <w:rFonts w:hint="eastAsia"/>
          <w:sz w:val="28"/>
          <w:szCs w:val="28"/>
          <w:highlight w:val="none"/>
        </w:rPr>
        <w:t>（1）未按招标文件明示的规定签字盖章的；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lang w:eastAsia="zh-CN"/>
        </w:rPr>
        <w:t>（</w:t>
      </w:r>
      <w:r>
        <w:rPr>
          <w:rFonts w:hint="eastAsia"/>
          <w:sz w:val="28"/>
          <w:szCs w:val="28"/>
          <w:highlight w:val="none"/>
          <w:lang w:val="en-US" w:eastAsia="zh-CN"/>
        </w:rPr>
        <w:t>2）</w:t>
      </w:r>
      <w:r>
        <w:rPr>
          <w:rFonts w:hint="eastAsia"/>
          <w:sz w:val="28"/>
          <w:szCs w:val="28"/>
          <w:highlight w:val="none"/>
        </w:rPr>
        <w:t>在投标文件中对同一采购项目有两个或多个报价，且未声明哪一个有效的；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3</w:t>
      </w:r>
      <w:r>
        <w:rPr>
          <w:rFonts w:hint="eastAsia"/>
          <w:sz w:val="28"/>
          <w:szCs w:val="28"/>
          <w:highlight w:val="none"/>
        </w:rPr>
        <w:t>）响应文件的关键内容（投标报价、</w:t>
      </w:r>
      <w:r>
        <w:rPr>
          <w:rFonts w:hint="eastAsia"/>
          <w:sz w:val="28"/>
          <w:szCs w:val="28"/>
          <w:highlight w:val="none"/>
          <w:lang w:val="en-US" w:eastAsia="zh-CN"/>
        </w:rPr>
        <w:t>合同履行期限</w:t>
      </w:r>
      <w:r>
        <w:rPr>
          <w:rFonts w:hint="eastAsia"/>
          <w:sz w:val="28"/>
          <w:szCs w:val="28"/>
          <w:highlight w:val="none"/>
        </w:rPr>
        <w:t>、质量</w:t>
      </w:r>
      <w:r>
        <w:rPr>
          <w:rFonts w:hint="eastAsia"/>
          <w:sz w:val="28"/>
          <w:szCs w:val="28"/>
          <w:highlight w:val="none"/>
          <w:lang w:val="en-US" w:eastAsia="zh-CN"/>
        </w:rPr>
        <w:t>要求</w:t>
      </w:r>
      <w:r>
        <w:rPr>
          <w:rFonts w:hint="eastAsia"/>
          <w:sz w:val="28"/>
          <w:szCs w:val="28"/>
          <w:highlight w:val="none"/>
        </w:rPr>
        <w:t>等）未填写或填写字迹模糊无法辨认的；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4</w:t>
      </w:r>
      <w:r>
        <w:rPr>
          <w:rFonts w:hint="eastAsia"/>
          <w:sz w:val="28"/>
          <w:szCs w:val="28"/>
          <w:highlight w:val="none"/>
        </w:rPr>
        <w:t>）相关资格证明文件不合格的；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5</w:t>
      </w:r>
      <w:r>
        <w:rPr>
          <w:rFonts w:hint="eastAsia"/>
          <w:sz w:val="28"/>
          <w:szCs w:val="28"/>
          <w:highlight w:val="none"/>
        </w:rPr>
        <w:t>）投标报价超出控制价的；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6</w:t>
      </w:r>
      <w:r>
        <w:rPr>
          <w:rFonts w:hint="eastAsia"/>
          <w:sz w:val="28"/>
          <w:szCs w:val="28"/>
          <w:highlight w:val="none"/>
        </w:rPr>
        <w:t>）投标文件中附有采购人不能接受的条件的；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7</w:t>
      </w:r>
      <w:r>
        <w:rPr>
          <w:rFonts w:hint="eastAsia"/>
          <w:sz w:val="28"/>
          <w:szCs w:val="28"/>
          <w:highlight w:val="none"/>
        </w:rPr>
        <w:t>）投标文件有明显不符合采购文件其它要求和有关法律法规的；</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8</w:t>
      </w:r>
      <w:r>
        <w:rPr>
          <w:rFonts w:hint="eastAsia"/>
          <w:sz w:val="28"/>
          <w:szCs w:val="28"/>
          <w:highlight w:val="none"/>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sz w:val="28"/>
          <w:szCs w:val="28"/>
          <w:highlight w:val="none"/>
        </w:rPr>
      </w:pPr>
      <w:r>
        <w:rPr>
          <w:rFonts w:hint="eastAsia"/>
          <w:sz w:val="28"/>
          <w:szCs w:val="28"/>
          <w:highlight w:val="none"/>
        </w:rPr>
        <w:t>（</w:t>
      </w:r>
      <w:r>
        <w:rPr>
          <w:rFonts w:hint="eastAsia"/>
          <w:sz w:val="28"/>
          <w:szCs w:val="28"/>
          <w:highlight w:val="none"/>
          <w:lang w:val="en-US" w:eastAsia="zh-CN"/>
        </w:rPr>
        <w:t>9</w:t>
      </w:r>
      <w:r>
        <w:rPr>
          <w:rFonts w:hint="eastAsia"/>
          <w:sz w:val="28"/>
          <w:szCs w:val="28"/>
          <w:highlight w:val="none"/>
        </w:rPr>
        <w:t>）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pPr>
        <w:spacing w:line="360" w:lineRule="auto"/>
        <w:rPr>
          <w:rFonts w:ascii="宋体" w:hAnsi="宋体" w:cs="宋体"/>
          <w:highlight w:val="none"/>
        </w:rPr>
      </w:pPr>
    </w:p>
    <w:p>
      <w:pPr>
        <w:pStyle w:val="23"/>
        <w:spacing w:before="0" w:after="0" w:line="360" w:lineRule="auto"/>
        <w:rPr>
          <w:rFonts w:hint="eastAsia" w:ascii="宋体" w:hAnsi="宋体" w:eastAsia="宋体" w:cs="宋体"/>
          <w:highlight w:val="none"/>
        </w:rPr>
        <w:sectPr>
          <w:pgSz w:w="12240" w:h="15840"/>
          <w:pgMar w:top="1440" w:right="1803" w:bottom="1440" w:left="1803" w:header="0" w:footer="853" w:gutter="0"/>
          <w:cols w:space="720" w:num="1"/>
        </w:sectPr>
      </w:pPr>
    </w:p>
    <w:p>
      <w:pPr>
        <w:pStyle w:val="23"/>
        <w:spacing w:before="0" w:after="0" w:line="360" w:lineRule="auto"/>
        <w:rPr>
          <w:rFonts w:ascii="宋体" w:hAnsi="宋体" w:eastAsia="宋体" w:cs="宋体"/>
          <w:bCs/>
          <w:highlight w:val="none"/>
        </w:rPr>
      </w:pPr>
      <w:bookmarkStart w:id="4" w:name="_Toc5"/>
      <w:r>
        <w:rPr>
          <w:rFonts w:hint="eastAsia" w:ascii="宋体" w:hAnsi="宋体" w:eastAsia="宋体" w:cs="宋体"/>
          <w:highlight w:val="none"/>
        </w:rPr>
        <w:t>第一章</w:t>
      </w:r>
      <w:r>
        <w:rPr>
          <w:rFonts w:hint="eastAsia" w:ascii="宋体" w:hAnsi="宋体" w:eastAsia="宋体" w:cs="宋体"/>
          <w:bCs/>
          <w:highlight w:val="none"/>
        </w:rPr>
        <w:t xml:space="preserve"> 招标公告</w:t>
      </w:r>
      <w:bookmarkEnd w:id="1"/>
      <w:bookmarkEnd w:id="2"/>
      <w:bookmarkEnd w:id="3"/>
      <w:bookmarkEnd w:id="4"/>
    </w:p>
    <w:p>
      <w:pPr>
        <w:pStyle w:val="23"/>
        <w:keepNext w:val="0"/>
        <w:keepLines w:val="0"/>
        <w:pageBreakBefore w:val="0"/>
        <w:widowControl w:val="0"/>
        <w:kinsoku/>
        <w:wordWrap/>
        <w:overflowPunct/>
        <w:topLinePunct w:val="0"/>
        <w:autoSpaceDE/>
        <w:autoSpaceDN/>
        <w:bidi w:val="0"/>
        <w:adjustRightInd/>
        <w:snapToGrid/>
        <w:spacing w:before="0" w:after="0" w:line="440" w:lineRule="exact"/>
        <w:textAlignment w:val="auto"/>
        <w:outlineLvl w:val="9"/>
        <w:rPr>
          <w:rFonts w:ascii="宋体" w:hAnsi="宋体" w:eastAsia="宋体" w:cs="宋体"/>
          <w:color w:val="000000"/>
          <w:sz w:val="24"/>
          <w:szCs w:val="24"/>
          <w:highlight w:val="none"/>
        </w:rPr>
      </w:pPr>
      <w:bookmarkStart w:id="5" w:name="_Toc24222"/>
      <w:bookmarkStart w:id="6" w:name="_Toc8927"/>
      <w:bookmarkStart w:id="7" w:name="_Toc3889"/>
      <w:r>
        <w:rPr>
          <w:rFonts w:hint="eastAsia" w:ascii="宋体" w:hAnsi="宋体" w:eastAsia="宋体" w:cs="宋体"/>
          <w:bCs/>
          <w:sz w:val="24"/>
          <w:szCs w:val="24"/>
          <w:highlight w:val="none"/>
          <w:lang w:eastAsia="zh-CN"/>
        </w:rPr>
        <w:t>博爱县妇幼保健院信息化改造采购项目</w:t>
      </w:r>
      <w:r>
        <w:rPr>
          <w:rFonts w:hint="eastAsia" w:ascii="宋体" w:hAnsi="宋体" w:eastAsia="宋体" w:cs="宋体"/>
          <w:bCs/>
          <w:sz w:val="24"/>
          <w:szCs w:val="24"/>
          <w:highlight w:val="none"/>
        </w:rPr>
        <w:t>招标公告（不见面开标）</w:t>
      </w:r>
      <w:bookmarkEnd w:id="5"/>
      <w:bookmarkEnd w:id="6"/>
      <w:bookmarkEnd w:id="7"/>
    </w:p>
    <w:tbl>
      <w:tblPr>
        <w:tblStyle w:val="27"/>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2" w:type="dxa"/>
          </w:tcPr>
          <w:p>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color w:val="000000"/>
                <w:highlight w:val="none"/>
              </w:rPr>
            </w:pPr>
            <w:r>
              <w:rPr>
                <w:rFonts w:hint="eastAsia"/>
                <w:color w:val="000000"/>
                <w:highlight w:val="none"/>
              </w:rPr>
              <w:t>项目概况：</w:t>
            </w:r>
            <w:r>
              <w:rPr>
                <w:rFonts w:hint="eastAsia"/>
                <w:color w:val="000000"/>
                <w:highlight w:val="none"/>
                <w:lang w:eastAsia="zh-CN"/>
              </w:rPr>
              <w:t>博爱县妇幼保健院信息化改造采购项目</w:t>
            </w:r>
            <w:r>
              <w:rPr>
                <w:rFonts w:hint="eastAsia"/>
                <w:color w:val="000000"/>
                <w:highlight w:val="none"/>
              </w:rPr>
              <w:t>的潜在供应商应在焦作市公共资源交易中心网站获取采购文件，并</w:t>
            </w:r>
            <w:r>
              <w:rPr>
                <w:rFonts w:hint="eastAsia"/>
                <w:color w:val="000000"/>
                <w:highlight w:val="none"/>
              </w:rPr>
              <w:t>于2024年</w:t>
            </w:r>
            <w:r>
              <w:rPr>
                <w:rFonts w:hint="eastAsia"/>
                <w:color w:val="000000"/>
                <w:highlight w:val="none"/>
                <w:lang w:val="en-US" w:eastAsia="zh-CN"/>
              </w:rPr>
              <w:t xml:space="preserve"> 5 </w:t>
            </w:r>
            <w:r>
              <w:rPr>
                <w:rFonts w:hint="eastAsia"/>
                <w:color w:val="000000"/>
                <w:highlight w:val="none"/>
              </w:rPr>
              <w:t>月</w:t>
            </w:r>
            <w:r>
              <w:rPr>
                <w:rFonts w:hint="eastAsia"/>
                <w:color w:val="000000"/>
                <w:highlight w:val="none"/>
                <w:lang w:val="en-US" w:eastAsia="zh-CN"/>
              </w:rPr>
              <w:t xml:space="preserve"> 10 </w:t>
            </w:r>
            <w:r>
              <w:rPr>
                <w:rFonts w:hint="eastAsia"/>
                <w:color w:val="000000"/>
                <w:highlight w:val="none"/>
              </w:rPr>
              <w:t>日上午9点00分（</w:t>
            </w:r>
            <w:r>
              <w:rPr>
                <w:rFonts w:hint="eastAsia"/>
                <w:color w:val="000000"/>
                <w:highlight w:val="none"/>
              </w:rPr>
              <w:t>北京时间）前提交响应文件。</w:t>
            </w:r>
          </w:p>
        </w:tc>
      </w:tr>
    </w:tbl>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color w:val="000000"/>
          <w:highlight w:val="none"/>
        </w:rPr>
      </w:pP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一、项目基本情况</w:t>
      </w: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eastAsia="宋体"/>
          <w:color w:val="000000"/>
          <w:highlight w:val="none"/>
          <w:lang w:val="en-US" w:eastAsia="zh-CN"/>
        </w:rPr>
      </w:pPr>
      <w:r>
        <w:rPr>
          <w:rFonts w:hint="eastAsia"/>
          <w:color w:val="000000"/>
          <w:highlight w:val="none"/>
          <w:lang w:val="en-US" w:eastAsia="zh-CN"/>
        </w:rPr>
        <w:t>1</w:t>
      </w:r>
      <w:r>
        <w:rPr>
          <w:rFonts w:hint="eastAsia"/>
          <w:color w:val="000000"/>
          <w:highlight w:val="none"/>
        </w:rPr>
        <w:t>.</w:t>
      </w:r>
      <w:r>
        <w:rPr>
          <w:rFonts w:hint="eastAsia"/>
          <w:color w:val="000000"/>
          <w:highlight w:val="none"/>
          <w:lang w:val="en-US" w:eastAsia="zh-CN"/>
        </w:rPr>
        <w:t>采购编号：博政采购（2024）34号</w:t>
      </w: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olor w:val="000000"/>
          <w:highlight w:val="none"/>
          <w:lang w:eastAsia="zh-CN"/>
        </w:rPr>
      </w:pPr>
      <w:r>
        <w:rPr>
          <w:rFonts w:hint="eastAsia"/>
          <w:color w:val="000000"/>
          <w:highlight w:val="none"/>
          <w:lang w:val="en-US" w:eastAsia="zh-CN"/>
        </w:rPr>
        <w:t>2.</w:t>
      </w:r>
      <w:r>
        <w:rPr>
          <w:rFonts w:hint="eastAsia"/>
          <w:color w:val="000000"/>
          <w:highlight w:val="none"/>
        </w:rPr>
        <w:t>项目名称：</w:t>
      </w:r>
      <w:r>
        <w:rPr>
          <w:rFonts w:hint="eastAsia"/>
          <w:color w:val="000000"/>
          <w:highlight w:val="none"/>
          <w:lang w:eastAsia="zh-CN"/>
        </w:rPr>
        <w:t>博爱县妇幼保健院信息化改造采购项目</w:t>
      </w: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color w:val="000000"/>
          <w:highlight w:val="none"/>
        </w:rPr>
      </w:pPr>
      <w:r>
        <w:rPr>
          <w:rFonts w:hint="eastAsia"/>
          <w:color w:val="000000"/>
          <w:highlight w:val="none"/>
          <w:lang w:val="en-US" w:eastAsia="zh-CN"/>
        </w:rPr>
        <w:t>3</w:t>
      </w:r>
      <w:r>
        <w:rPr>
          <w:rFonts w:hint="eastAsia"/>
          <w:color w:val="000000"/>
          <w:highlight w:val="none"/>
        </w:rPr>
        <w:t>.采购方式：公开招标</w:t>
      </w: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highlight w:val="none"/>
        </w:rPr>
      </w:pPr>
      <w:r>
        <w:rPr>
          <w:rFonts w:hint="eastAsia"/>
          <w:highlight w:val="none"/>
          <w:lang w:val="en-US" w:eastAsia="zh-CN"/>
        </w:rPr>
        <w:t>4</w:t>
      </w:r>
      <w:r>
        <w:rPr>
          <w:rFonts w:hint="eastAsia"/>
          <w:highlight w:val="none"/>
        </w:rPr>
        <w:t>.预算金额：</w:t>
      </w:r>
      <w:r>
        <w:rPr>
          <w:rFonts w:hint="eastAsia"/>
          <w:highlight w:val="none"/>
          <w:lang w:val="en-US" w:eastAsia="zh-CN"/>
        </w:rPr>
        <w:t>22000</w:t>
      </w:r>
      <w:r>
        <w:rPr>
          <w:rFonts w:hint="eastAsia"/>
          <w:highlight w:val="none"/>
          <w:lang w:eastAsia="zh-CN"/>
        </w:rPr>
        <w:t>00.00</w:t>
      </w:r>
      <w:r>
        <w:rPr>
          <w:rFonts w:hint="eastAsia"/>
          <w:highlight w:val="none"/>
        </w:rPr>
        <w:t>元</w:t>
      </w:r>
    </w:p>
    <w:p>
      <w:pPr>
        <w:pStyle w:val="2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720" w:firstLineChars="300"/>
        <w:textAlignment w:val="auto"/>
        <w:rPr>
          <w:highlight w:val="none"/>
        </w:rPr>
      </w:pPr>
      <w:r>
        <w:rPr>
          <w:rFonts w:hint="eastAsia"/>
          <w:highlight w:val="none"/>
        </w:rPr>
        <w:t>最高限价：</w:t>
      </w:r>
      <w:r>
        <w:rPr>
          <w:rFonts w:hint="eastAsia"/>
          <w:highlight w:val="none"/>
          <w:lang w:val="en-US" w:eastAsia="zh-CN"/>
        </w:rPr>
        <w:t>22000</w:t>
      </w:r>
      <w:r>
        <w:rPr>
          <w:rFonts w:hint="eastAsia"/>
          <w:highlight w:val="none"/>
          <w:lang w:eastAsia="zh-CN"/>
        </w:rPr>
        <w:t>00.00</w:t>
      </w:r>
      <w:r>
        <w:rPr>
          <w:rFonts w:hint="eastAsia"/>
          <w:highlight w:val="none"/>
        </w:rPr>
        <w:t>元</w:t>
      </w:r>
    </w:p>
    <w:tbl>
      <w:tblPr>
        <w:tblStyle w:val="27"/>
        <w:tblW w:w="9138" w:type="dxa"/>
        <w:tblInd w:w="0" w:type="dxa"/>
        <w:tblLayout w:type="fixed"/>
        <w:tblCellMar>
          <w:top w:w="15" w:type="dxa"/>
          <w:left w:w="15" w:type="dxa"/>
          <w:bottom w:w="15" w:type="dxa"/>
          <w:right w:w="15" w:type="dxa"/>
        </w:tblCellMar>
      </w:tblPr>
      <w:tblGrid>
        <w:gridCol w:w="801"/>
        <w:gridCol w:w="1681"/>
        <w:gridCol w:w="3125"/>
        <w:gridCol w:w="1792"/>
        <w:gridCol w:w="1739"/>
      </w:tblGrid>
      <w:tr>
        <w:tblPrEx>
          <w:tblCellMar>
            <w:top w:w="15" w:type="dxa"/>
            <w:left w:w="15" w:type="dxa"/>
            <w:bottom w:w="15" w:type="dxa"/>
            <w:right w:w="15" w:type="dxa"/>
          </w:tblCellMar>
        </w:tblPrEx>
        <w:trPr>
          <w:trHeight w:val="547" w:hRule="atLeast"/>
        </w:trPr>
        <w:tc>
          <w:tcPr>
            <w:tcW w:w="80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序号</w:t>
            </w:r>
          </w:p>
        </w:tc>
        <w:tc>
          <w:tcPr>
            <w:tcW w:w="168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包号</w:t>
            </w:r>
          </w:p>
        </w:tc>
        <w:tc>
          <w:tcPr>
            <w:tcW w:w="312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包名称</w:t>
            </w:r>
          </w:p>
        </w:tc>
        <w:tc>
          <w:tcPr>
            <w:tcW w:w="1792"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包预算</w:t>
            </w:r>
          </w:p>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（元）</w:t>
            </w:r>
          </w:p>
        </w:tc>
        <w:tc>
          <w:tcPr>
            <w:tcW w:w="173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包最高限价</w:t>
            </w:r>
          </w:p>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（元）</w:t>
            </w:r>
          </w:p>
        </w:tc>
      </w:tr>
      <w:tr>
        <w:tblPrEx>
          <w:tblCellMar>
            <w:top w:w="15" w:type="dxa"/>
            <w:left w:w="15" w:type="dxa"/>
            <w:bottom w:w="15" w:type="dxa"/>
            <w:right w:w="15" w:type="dxa"/>
          </w:tblCellMar>
        </w:tblPrEx>
        <w:trPr>
          <w:trHeight w:val="857" w:hRule="atLeast"/>
        </w:trPr>
        <w:tc>
          <w:tcPr>
            <w:tcW w:w="80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color w:val="000000"/>
                <w:sz w:val="24"/>
                <w:szCs w:val="24"/>
                <w:highlight w:val="none"/>
              </w:rPr>
              <w:t>1</w:t>
            </w:r>
          </w:p>
        </w:tc>
        <w:tc>
          <w:tcPr>
            <w:tcW w:w="168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4"/>
                <w:szCs w:val="24"/>
                <w:highlight w:val="none"/>
              </w:rPr>
            </w:pPr>
            <w:r>
              <w:rPr>
                <w:rFonts w:hint="eastAsia"/>
                <w:sz w:val="24"/>
                <w:szCs w:val="24"/>
                <w:highlight w:val="none"/>
                <w:lang w:val="en-US" w:eastAsia="zh-CN"/>
              </w:rPr>
              <w:t>博政采购（2024）34号</w:t>
            </w:r>
          </w:p>
        </w:tc>
        <w:tc>
          <w:tcPr>
            <w:tcW w:w="3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160" w:right="0"/>
              <w:jc w:val="center"/>
              <w:textAlignment w:val="auto"/>
              <w:rPr>
                <w:rFonts w:hint="eastAsia" w:eastAsia="宋体"/>
                <w:sz w:val="24"/>
                <w:szCs w:val="24"/>
                <w:highlight w:val="none"/>
                <w:lang w:eastAsia="zh-CN"/>
              </w:rPr>
            </w:pPr>
            <w:r>
              <w:rPr>
                <w:rFonts w:hint="eastAsia"/>
                <w:color w:val="000000"/>
                <w:highlight w:val="none"/>
                <w:lang w:eastAsia="zh-CN"/>
              </w:rPr>
              <w:t>博爱县妇幼保健院信息化改造采购项目</w:t>
            </w:r>
          </w:p>
        </w:tc>
        <w:tc>
          <w:tcPr>
            <w:tcW w:w="1792"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160" w:right="0"/>
              <w:jc w:val="center"/>
              <w:textAlignment w:val="auto"/>
              <w:rPr>
                <w:rFonts w:ascii="宋体" w:hAnsi="宋体" w:cs="宋体"/>
                <w:sz w:val="24"/>
                <w:szCs w:val="24"/>
                <w:highlight w:val="none"/>
              </w:rPr>
            </w:pPr>
            <w:r>
              <w:rPr>
                <w:rFonts w:hint="eastAsia" w:ascii="宋体" w:hAnsi="宋体" w:cs="宋体"/>
                <w:sz w:val="24"/>
                <w:szCs w:val="24"/>
                <w:highlight w:val="none"/>
              </w:rPr>
              <w:t>2200000.00</w:t>
            </w:r>
          </w:p>
        </w:tc>
        <w:tc>
          <w:tcPr>
            <w:tcW w:w="1739"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160" w:right="0"/>
              <w:jc w:val="center"/>
              <w:textAlignment w:val="auto"/>
              <w:rPr>
                <w:rFonts w:ascii="宋体" w:hAnsi="宋体" w:cs="宋体"/>
                <w:sz w:val="24"/>
                <w:szCs w:val="24"/>
                <w:highlight w:val="none"/>
              </w:rPr>
            </w:pPr>
            <w:r>
              <w:rPr>
                <w:rFonts w:hint="eastAsia" w:ascii="宋体" w:hAnsi="宋体" w:cs="宋体"/>
                <w:sz w:val="24"/>
                <w:szCs w:val="24"/>
                <w:highlight w:val="none"/>
              </w:rPr>
              <w:t>2200000.00</w:t>
            </w:r>
          </w:p>
        </w:tc>
      </w:tr>
    </w:tbl>
    <w:p>
      <w:pPr>
        <w:pStyle w:val="22"/>
        <w:spacing w:before="0" w:beforeAutospacing="0" w:after="0" w:afterAutospacing="0" w:line="440" w:lineRule="exact"/>
        <w:ind w:firstLine="480" w:firstLineChars="200"/>
        <w:rPr>
          <w:color w:val="auto"/>
          <w:highlight w:val="none"/>
        </w:rPr>
      </w:pPr>
      <w:r>
        <w:rPr>
          <w:rFonts w:hint="eastAsia"/>
          <w:color w:val="000000"/>
          <w:highlight w:val="none"/>
          <w:lang w:val="en-US" w:eastAsia="zh-CN"/>
        </w:rPr>
        <w:t>5</w:t>
      </w:r>
      <w:r>
        <w:rPr>
          <w:rFonts w:hint="eastAsia"/>
          <w:color w:val="000000"/>
          <w:highlight w:val="none"/>
        </w:rPr>
        <w:t>.采购需求：</w:t>
      </w:r>
      <w:r>
        <w:rPr>
          <w:rFonts w:hint="eastAsia"/>
          <w:color w:val="auto"/>
          <w:highlight w:val="none"/>
          <w:lang w:eastAsia="zh-CN"/>
        </w:rPr>
        <w:t>对现有信息化系统进行升级改造，主要内容包括检验结果互认</w:t>
      </w:r>
      <w:r>
        <w:rPr>
          <w:rFonts w:hint="eastAsia"/>
          <w:color w:val="auto"/>
          <w:highlight w:val="none"/>
          <w:lang w:eastAsia="zh-CN"/>
        </w:rPr>
        <w:t>系统、抗菌药物管理系统、危急值管理系统、电子处方流转改造、公立医院绩效考核上报系统、超融合服务器、交换机、超融合软件、备用一体机、读卡器、PDA</w:t>
      </w:r>
      <w:r>
        <w:rPr>
          <w:rFonts w:hint="eastAsia"/>
          <w:color w:val="auto"/>
          <w:highlight w:val="none"/>
          <w:lang w:eastAsia="zh-CN"/>
        </w:rPr>
        <w:t>移动设备</w:t>
      </w:r>
      <w:r>
        <w:rPr>
          <w:rFonts w:hint="eastAsia"/>
          <w:color w:val="auto"/>
          <w:highlight w:val="none"/>
          <w:lang w:eastAsia="zh-CN"/>
        </w:rPr>
        <w:t>等进行升级改造</w:t>
      </w:r>
      <w:r>
        <w:rPr>
          <w:rFonts w:hint="eastAsia"/>
          <w:color w:val="auto"/>
          <w:highlight w:val="none"/>
        </w:rPr>
        <w:t>。</w:t>
      </w:r>
    </w:p>
    <w:p>
      <w:pPr>
        <w:pStyle w:val="22"/>
        <w:spacing w:before="0" w:beforeAutospacing="0" w:after="0" w:afterAutospacing="0" w:line="440" w:lineRule="exact"/>
        <w:ind w:firstLine="480" w:firstLineChars="200"/>
        <w:rPr>
          <w:rFonts w:hint="eastAsia" w:eastAsia="宋体"/>
          <w:b w:val="0"/>
          <w:bCs w:val="0"/>
          <w:color w:val="auto"/>
          <w:highlight w:val="none"/>
          <w:lang w:eastAsia="zh-CN"/>
        </w:rPr>
      </w:pPr>
      <w:r>
        <w:rPr>
          <w:rFonts w:hint="eastAsia"/>
          <w:b w:val="0"/>
          <w:bCs w:val="0"/>
          <w:color w:val="auto"/>
          <w:highlight w:val="none"/>
          <w:lang w:val="en-US" w:eastAsia="zh-CN"/>
        </w:rPr>
        <w:t>6</w:t>
      </w:r>
      <w:r>
        <w:rPr>
          <w:rFonts w:hint="eastAsia"/>
          <w:b w:val="0"/>
          <w:bCs w:val="0"/>
          <w:color w:val="auto"/>
          <w:highlight w:val="none"/>
        </w:rPr>
        <w:t>.合同履行期限（</w:t>
      </w:r>
      <w:r>
        <w:rPr>
          <w:rFonts w:hint="eastAsia"/>
          <w:b w:val="0"/>
          <w:bCs w:val="0"/>
          <w:color w:val="auto"/>
          <w:highlight w:val="none"/>
          <w:lang w:val="en-US" w:eastAsia="zh-CN"/>
        </w:rPr>
        <w:t>供货安装期</w:t>
      </w:r>
      <w:r>
        <w:rPr>
          <w:rFonts w:hint="eastAsia"/>
          <w:b w:val="0"/>
          <w:bCs w:val="0"/>
          <w:color w:val="auto"/>
          <w:highlight w:val="none"/>
        </w:rPr>
        <w:t>）：合同签订后60日历天内</w:t>
      </w:r>
      <w:r>
        <w:rPr>
          <w:rFonts w:hint="eastAsia"/>
          <w:b w:val="0"/>
          <w:bCs w:val="0"/>
          <w:color w:val="auto"/>
          <w:highlight w:val="none"/>
          <w:lang w:eastAsia="zh-CN"/>
        </w:rPr>
        <w:t>。</w:t>
      </w:r>
    </w:p>
    <w:p>
      <w:pPr>
        <w:pStyle w:val="22"/>
        <w:spacing w:before="0" w:beforeAutospacing="0" w:after="0" w:afterAutospacing="0" w:line="440" w:lineRule="exact"/>
        <w:ind w:firstLine="480" w:firstLineChars="200"/>
        <w:rPr>
          <w:rFonts w:hint="eastAsia" w:eastAsia="宋体"/>
          <w:color w:val="auto"/>
          <w:highlight w:val="none"/>
          <w:lang w:val="en-US" w:eastAsia="zh-CN"/>
        </w:rPr>
      </w:pPr>
      <w:r>
        <w:rPr>
          <w:rFonts w:hint="eastAsia"/>
          <w:color w:val="auto"/>
          <w:highlight w:val="none"/>
          <w:lang w:val="en-US" w:eastAsia="zh-CN"/>
        </w:rPr>
        <w:t>7</w:t>
      </w:r>
      <w:r>
        <w:rPr>
          <w:rFonts w:hint="eastAsia"/>
          <w:color w:val="auto"/>
          <w:highlight w:val="none"/>
        </w:rPr>
        <w:t>.质量要求：达到现行国家、行业及地方相应规范、标准要求。</w:t>
      </w:r>
    </w:p>
    <w:p>
      <w:pPr>
        <w:pStyle w:val="22"/>
        <w:spacing w:before="0" w:beforeAutospacing="0" w:after="0" w:afterAutospacing="0" w:line="440" w:lineRule="exact"/>
        <w:ind w:firstLine="480" w:firstLineChars="200"/>
        <w:rPr>
          <w:rFonts w:hint="eastAsia" w:eastAsia="宋体"/>
          <w:color w:val="000000"/>
          <w:highlight w:val="none"/>
          <w:lang w:eastAsia="zh-CN"/>
        </w:rPr>
      </w:pPr>
      <w:r>
        <w:rPr>
          <w:rFonts w:hint="eastAsia"/>
          <w:color w:val="000000"/>
          <w:highlight w:val="none"/>
          <w:lang w:val="en-US" w:eastAsia="zh-CN"/>
        </w:rPr>
        <w:t>8.</w:t>
      </w:r>
      <w:r>
        <w:rPr>
          <w:rFonts w:hint="eastAsia"/>
          <w:color w:val="000000"/>
          <w:highlight w:val="none"/>
        </w:rPr>
        <w:t>本项目是否接受联合体参与</w:t>
      </w:r>
      <w:r>
        <w:rPr>
          <w:color w:val="000000"/>
          <w:highlight w:val="none"/>
        </w:rPr>
        <w:t>:</w:t>
      </w:r>
      <w:r>
        <w:rPr>
          <w:rFonts w:hint="eastAsia"/>
          <w:color w:val="000000"/>
          <w:highlight w:val="none"/>
          <w:lang w:val="en-US" w:eastAsia="zh-CN"/>
        </w:rPr>
        <w:t>否</w:t>
      </w:r>
    </w:p>
    <w:p>
      <w:pPr>
        <w:pStyle w:val="22"/>
        <w:spacing w:before="0" w:beforeAutospacing="0" w:after="0" w:afterAutospacing="0" w:line="440" w:lineRule="exact"/>
        <w:ind w:firstLine="480" w:firstLineChars="200"/>
        <w:rPr>
          <w:rFonts w:hint="eastAsia" w:eastAsia="宋体"/>
          <w:color w:val="000000"/>
          <w:highlight w:val="none"/>
          <w:lang w:val="en-US" w:eastAsia="zh-CN"/>
        </w:rPr>
      </w:pPr>
      <w:r>
        <w:rPr>
          <w:rFonts w:hint="eastAsia"/>
          <w:color w:val="000000"/>
          <w:highlight w:val="none"/>
          <w:lang w:val="en-US" w:eastAsia="zh-CN"/>
        </w:rPr>
        <w:t>9</w:t>
      </w:r>
      <w:r>
        <w:rPr>
          <w:rFonts w:hint="eastAsia"/>
          <w:color w:val="000000"/>
          <w:highlight w:val="none"/>
        </w:rPr>
        <w:t>.是否接受进口产品：否</w:t>
      </w:r>
    </w:p>
    <w:p>
      <w:pPr>
        <w:pStyle w:val="22"/>
        <w:spacing w:before="0" w:beforeAutospacing="0" w:after="0" w:afterAutospacing="0" w:line="440" w:lineRule="exact"/>
        <w:ind w:firstLine="480" w:firstLineChars="200"/>
        <w:rPr>
          <w:rFonts w:hint="eastAsia" w:eastAsia="宋体"/>
          <w:color w:val="000000"/>
          <w:highlight w:val="none"/>
          <w:lang w:val="en-US" w:eastAsia="zh-CN"/>
        </w:rPr>
      </w:pPr>
      <w:r>
        <w:rPr>
          <w:rFonts w:hint="eastAsia"/>
          <w:color w:val="000000"/>
          <w:highlight w:val="none"/>
          <w:lang w:val="en-US" w:eastAsia="zh-CN"/>
        </w:rPr>
        <w:t>10</w:t>
      </w:r>
      <w:bookmarkStart w:id="431" w:name="_GoBack"/>
      <w:bookmarkEnd w:id="431"/>
      <w:r>
        <w:rPr>
          <w:rFonts w:hint="eastAsia"/>
          <w:color w:val="000000"/>
          <w:highlight w:val="none"/>
        </w:rPr>
        <w:t>.是否专门面向中小企业：</w:t>
      </w:r>
      <w:r>
        <w:rPr>
          <w:rFonts w:hint="eastAsia"/>
          <w:color w:val="000000"/>
          <w:highlight w:val="none"/>
          <w:lang w:val="en-US" w:eastAsia="zh-CN"/>
        </w:rPr>
        <w:t>否</w:t>
      </w:r>
    </w:p>
    <w:p>
      <w:pPr>
        <w:pStyle w:val="22"/>
        <w:spacing w:before="0" w:beforeAutospacing="0" w:after="0" w:afterAutospacing="0" w:line="440" w:lineRule="exac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二、申请人资格要求</w:t>
      </w:r>
    </w:p>
    <w:p>
      <w:pPr>
        <w:pStyle w:val="22"/>
        <w:spacing w:before="0" w:beforeAutospacing="0" w:after="0" w:afterAutospacing="0" w:line="440" w:lineRule="exact"/>
        <w:ind w:firstLine="480" w:firstLineChars="200"/>
        <w:rPr>
          <w:rFonts w:hint="eastAsia"/>
          <w:color w:val="000000"/>
          <w:highlight w:val="none"/>
        </w:rPr>
      </w:pPr>
      <w:r>
        <w:rPr>
          <w:rFonts w:hint="eastAsia"/>
          <w:color w:val="000000"/>
          <w:highlight w:val="none"/>
        </w:rPr>
        <w:t>1.满足《中华人民共和国政府采购法》第二十二条规定；</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eastAsia="宋体"/>
          <w:color w:val="000000"/>
          <w:highlight w:val="none"/>
          <w:lang w:eastAsia="zh-CN"/>
        </w:rPr>
      </w:pPr>
      <w:r>
        <w:rPr>
          <w:rFonts w:hint="eastAsia"/>
          <w:color w:val="000000"/>
          <w:highlight w:val="none"/>
          <w:lang w:val="en-US" w:eastAsia="zh-CN"/>
        </w:rPr>
        <w:t>2.落实政府采购政策需满足的资格要求：促进中小企业和监狱企业发展扶持政策、政府强制采购节能产品强制采购、节能产品及环境标志产品优先采购、促进残疾人就业政府采购政策</w:t>
      </w:r>
      <w:r>
        <w:rPr>
          <w:rFonts w:hint="eastAsia"/>
          <w:color w:val="000000"/>
          <w:highlight w:val="none"/>
          <w:lang w:eastAsia="zh-CN"/>
        </w:rPr>
        <w:t>。</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000000"/>
          <w:highlight w:val="none"/>
        </w:rPr>
      </w:pPr>
      <w:r>
        <w:rPr>
          <w:rFonts w:hint="eastAsia"/>
          <w:color w:val="000000"/>
          <w:highlight w:val="none"/>
        </w:rPr>
        <w:t>3.本项目的特定资格要求：</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000000"/>
          <w:highlight w:val="none"/>
          <w:lang w:val="en-US" w:eastAsia="zh-CN"/>
        </w:rPr>
      </w:pPr>
      <w:r>
        <w:rPr>
          <w:rFonts w:hint="eastAsia" w:ascii="宋体" w:hAnsi="宋体" w:eastAsia="宋体" w:cs="宋体"/>
          <w:b w:val="0"/>
          <w:bCs w:val="0"/>
          <w:color w:val="000000"/>
          <w:kern w:val="0"/>
          <w:sz w:val="24"/>
          <w:szCs w:val="24"/>
          <w:highlight w:val="none"/>
          <w:lang w:val="en-US" w:eastAsia="zh-CN" w:bidi="ar-SA"/>
        </w:rPr>
        <w:t>3.1供应商须具有有效的营业执照，并具有实施完成本项目的经营实力和完善的售后服务体系</w:t>
      </w:r>
      <w:r>
        <w:rPr>
          <w:rFonts w:hint="eastAsia"/>
          <w:color w:val="000000"/>
          <w:highlight w:val="none"/>
          <w:lang w:val="en-US" w:eastAsia="zh-CN"/>
        </w:rPr>
        <w:t>；</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000000"/>
          <w:highlight w:val="none"/>
        </w:rPr>
      </w:pPr>
      <w:r>
        <w:rPr>
          <w:rFonts w:hint="eastAsia"/>
          <w:color w:val="000000"/>
          <w:highlight w:val="none"/>
        </w:rPr>
        <w:t>3.</w:t>
      </w:r>
      <w:r>
        <w:rPr>
          <w:rFonts w:hint="eastAsia"/>
          <w:color w:val="000000"/>
          <w:highlight w:val="none"/>
          <w:lang w:val="en-US" w:eastAsia="zh-CN"/>
        </w:rPr>
        <w:t>2</w:t>
      </w:r>
      <w:r>
        <w:rPr>
          <w:rFonts w:hint="eastAsia"/>
          <w:color w:val="000000"/>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eastAsia="宋体"/>
          <w:color w:val="000000"/>
          <w:highlight w:val="none"/>
          <w:lang w:eastAsia="zh-CN"/>
        </w:rPr>
      </w:pPr>
      <w:r>
        <w:rPr>
          <w:rFonts w:hint="eastAsia"/>
          <w:color w:val="000000"/>
          <w:highlight w:val="none"/>
        </w:rPr>
        <w:t>3.</w:t>
      </w:r>
      <w:r>
        <w:rPr>
          <w:rFonts w:hint="eastAsia"/>
          <w:color w:val="000000"/>
          <w:highlight w:val="none"/>
          <w:lang w:val="en-US" w:eastAsia="zh-CN"/>
        </w:rPr>
        <w:t>3</w:t>
      </w:r>
      <w:r>
        <w:rPr>
          <w:rFonts w:hint="eastAsia"/>
          <w:color w:val="000000"/>
          <w:highlight w:val="none"/>
        </w:rPr>
        <w:t>本项目</w:t>
      </w:r>
      <w:r>
        <w:rPr>
          <w:rFonts w:hint="eastAsia"/>
          <w:color w:val="000000"/>
          <w:highlight w:val="none"/>
          <w:lang w:val="en-US" w:eastAsia="zh-CN"/>
        </w:rPr>
        <w:t>不</w:t>
      </w:r>
      <w:r>
        <w:rPr>
          <w:rFonts w:hint="eastAsia"/>
          <w:color w:val="000000"/>
          <w:highlight w:val="none"/>
        </w:rPr>
        <w:t>接受联合体投标</w:t>
      </w:r>
      <w:r>
        <w:rPr>
          <w:rFonts w:hint="eastAsia"/>
          <w:color w:val="000000"/>
          <w:highlight w:val="none"/>
          <w:lang w:eastAsia="zh-CN"/>
        </w:rPr>
        <w:t>；</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000000"/>
          <w:highlight w:val="none"/>
        </w:rPr>
      </w:pPr>
      <w:r>
        <w:rPr>
          <w:rFonts w:hint="eastAsia"/>
          <w:color w:val="000000"/>
          <w:highlight w:val="none"/>
        </w:rPr>
        <w:t>3.</w:t>
      </w:r>
      <w:r>
        <w:rPr>
          <w:rFonts w:hint="eastAsia"/>
          <w:color w:val="000000"/>
          <w:highlight w:val="none"/>
          <w:lang w:val="en-US" w:eastAsia="zh-CN"/>
        </w:rPr>
        <w:t>4</w:t>
      </w:r>
      <w:r>
        <w:rPr>
          <w:rFonts w:hint="eastAsia"/>
          <w:color w:val="000000"/>
          <w:highlight w:val="none"/>
        </w:rPr>
        <w:t>资格审查方式：资格后审。</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三、获取采购文件</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000000"/>
          <w:highlight w:val="none"/>
        </w:rPr>
      </w:pPr>
      <w:r>
        <w:rPr>
          <w:rFonts w:hint="eastAsia"/>
          <w:color w:val="000000"/>
          <w:highlight w:val="none"/>
        </w:rPr>
        <w:t>1.时间：202</w:t>
      </w:r>
      <w:r>
        <w:rPr>
          <w:rFonts w:hint="eastAsia"/>
          <w:color w:val="000000"/>
          <w:highlight w:val="none"/>
          <w:lang w:val="en-US" w:eastAsia="zh-CN"/>
        </w:rPr>
        <w:t>4</w:t>
      </w:r>
      <w:r>
        <w:rPr>
          <w:rFonts w:hint="eastAsia"/>
          <w:color w:val="000000"/>
          <w:highlight w:val="none"/>
        </w:rPr>
        <w:t>年</w:t>
      </w:r>
      <w:r>
        <w:rPr>
          <w:rFonts w:hint="eastAsia"/>
          <w:color w:val="000000"/>
          <w:highlight w:val="none"/>
          <w:lang w:val="en-US" w:eastAsia="zh-CN"/>
        </w:rPr>
        <w:t xml:space="preserve"> 4 </w:t>
      </w:r>
      <w:r>
        <w:rPr>
          <w:rFonts w:hint="eastAsia"/>
          <w:color w:val="000000"/>
          <w:highlight w:val="none"/>
        </w:rPr>
        <w:t>月</w:t>
      </w:r>
      <w:r>
        <w:rPr>
          <w:rFonts w:hint="eastAsia"/>
          <w:color w:val="000000"/>
          <w:highlight w:val="none"/>
          <w:lang w:val="en-US" w:eastAsia="zh-CN"/>
        </w:rPr>
        <w:t xml:space="preserve"> 19 </w:t>
      </w:r>
      <w:r>
        <w:rPr>
          <w:rFonts w:hint="eastAsia"/>
          <w:color w:val="000000"/>
          <w:highlight w:val="none"/>
        </w:rPr>
        <w:t>日至202</w:t>
      </w:r>
      <w:r>
        <w:rPr>
          <w:rFonts w:hint="eastAsia"/>
          <w:color w:val="000000"/>
          <w:highlight w:val="none"/>
          <w:lang w:val="en-US" w:eastAsia="zh-CN"/>
        </w:rPr>
        <w:t>4</w:t>
      </w:r>
      <w:r>
        <w:rPr>
          <w:rFonts w:hint="eastAsia"/>
          <w:color w:val="000000"/>
          <w:highlight w:val="none"/>
        </w:rPr>
        <w:t>年</w:t>
      </w:r>
      <w:r>
        <w:rPr>
          <w:rFonts w:hint="eastAsia"/>
          <w:color w:val="000000"/>
          <w:highlight w:val="none"/>
          <w:lang w:val="en-US" w:eastAsia="zh-CN"/>
        </w:rPr>
        <w:t xml:space="preserve"> 4 </w:t>
      </w:r>
      <w:r>
        <w:rPr>
          <w:rFonts w:hint="eastAsia"/>
          <w:color w:val="000000"/>
          <w:highlight w:val="none"/>
        </w:rPr>
        <w:t>月</w:t>
      </w:r>
      <w:r>
        <w:rPr>
          <w:rFonts w:hint="eastAsia"/>
          <w:color w:val="000000"/>
          <w:highlight w:val="none"/>
          <w:lang w:val="en-US" w:eastAsia="zh-CN"/>
        </w:rPr>
        <w:t xml:space="preserve"> 25 </w:t>
      </w:r>
      <w:r>
        <w:rPr>
          <w:rFonts w:hint="eastAsia"/>
          <w:color w:val="000000"/>
          <w:highlight w:val="none"/>
        </w:rPr>
        <w:t>日每天上午08:00至1</w:t>
      </w:r>
      <w:r>
        <w:rPr>
          <w:rFonts w:hint="eastAsia"/>
          <w:color w:val="000000"/>
          <w:highlight w:val="none"/>
          <w:lang w:val="en-US" w:eastAsia="zh-CN"/>
        </w:rPr>
        <w:t>2</w:t>
      </w:r>
      <w:r>
        <w:rPr>
          <w:rFonts w:hint="eastAsia"/>
          <w:color w:val="000000"/>
          <w:highlight w:val="none"/>
        </w:rPr>
        <w:t>:</w:t>
      </w:r>
      <w:r>
        <w:rPr>
          <w:rFonts w:hint="eastAsia"/>
          <w:color w:val="000000"/>
          <w:highlight w:val="none"/>
          <w:lang w:val="en-US" w:eastAsia="zh-CN"/>
        </w:rPr>
        <w:t>00</w:t>
      </w:r>
      <w:r>
        <w:rPr>
          <w:rFonts w:hint="eastAsia"/>
          <w:color w:val="000000"/>
          <w:highlight w:val="none"/>
        </w:rPr>
        <w:t>，下午12:00至23:59（北京时间，法定节假日除外）；</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2.地点：焦作市公共资源交易中心网站；</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3.方式：本项目采用电子开评标（不见面开标），凡有意参加投标者，请登陆焦作市公共资源交易中心网站交易平台“交易主体登录”栏目下载采购文件。</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4.售价：0元</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四、投标截止时间及地点</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auto"/>
          <w:highlight w:val="none"/>
          <w:u w:val="single"/>
        </w:rPr>
      </w:pPr>
      <w:r>
        <w:rPr>
          <w:rFonts w:hint="eastAsia"/>
          <w:color w:val="000000"/>
          <w:highlight w:val="none"/>
        </w:rPr>
        <w:t>1.截止时间：</w:t>
      </w:r>
      <w:r>
        <w:rPr>
          <w:rFonts w:hint="eastAsia"/>
          <w:color w:val="auto"/>
          <w:highlight w:val="none"/>
          <w:u w:val="single"/>
        </w:rPr>
        <w:t>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 xml:space="preserve"> 5 </w:t>
      </w:r>
      <w:r>
        <w:rPr>
          <w:rFonts w:hint="eastAsia"/>
          <w:color w:val="auto"/>
          <w:highlight w:val="none"/>
          <w:u w:val="single"/>
        </w:rPr>
        <w:t>月</w:t>
      </w:r>
      <w:r>
        <w:rPr>
          <w:rFonts w:hint="eastAsia"/>
          <w:color w:val="auto"/>
          <w:highlight w:val="none"/>
          <w:u w:val="single"/>
          <w:lang w:val="en-US" w:eastAsia="zh-CN"/>
        </w:rPr>
        <w:t xml:space="preserve"> 10 </w:t>
      </w:r>
      <w:r>
        <w:rPr>
          <w:rFonts w:hint="eastAsia"/>
          <w:color w:val="auto"/>
          <w:highlight w:val="none"/>
          <w:u w:val="single"/>
        </w:rPr>
        <w:t>日</w:t>
      </w:r>
      <w:r>
        <w:rPr>
          <w:rFonts w:hint="eastAsia"/>
          <w:color w:val="auto"/>
          <w:highlight w:val="none"/>
          <w:u w:val="single"/>
          <w:lang w:val="en-US" w:eastAsia="zh-CN"/>
        </w:rPr>
        <w:t xml:space="preserve"> 09</w:t>
      </w:r>
      <w:r>
        <w:rPr>
          <w:rFonts w:hint="eastAsia"/>
          <w:color w:val="auto"/>
          <w:highlight w:val="none"/>
          <w:u w:val="single"/>
        </w:rPr>
        <w:t>时</w:t>
      </w:r>
      <w:r>
        <w:rPr>
          <w:rFonts w:hint="eastAsia"/>
          <w:color w:val="auto"/>
          <w:highlight w:val="none"/>
          <w:u w:val="single"/>
          <w:lang w:val="en-US" w:eastAsia="zh-CN"/>
        </w:rPr>
        <w:t xml:space="preserve">00 </w:t>
      </w:r>
      <w:r>
        <w:rPr>
          <w:rFonts w:hint="eastAsia"/>
          <w:color w:val="auto"/>
          <w:highlight w:val="none"/>
          <w:u w:val="single"/>
        </w:rPr>
        <w:t>分（北京时间）；</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auto"/>
          <w:highlight w:val="none"/>
        </w:rPr>
      </w:pPr>
      <w:r>
        <w:rPr>
          <w:rFonts w:hint="eastAsia"/>
          <w:color w:val="000000"/>
          <w:highlight w:val="none"/>
        </w:rPr>
        <w:t>2.</w:t>
      </w:r>
      <w:r>
        <w:rPr>
          <w:rFonts w:hint="eastAsia"/>
          <w:color w:val="auto"/>
          <w:highlight w:val="none"/>
        </w:rPr>
        <w:t>地点</w:t>
      </w:r>
      <w:r>
        <w:rPr>
          <w:rFonts w:hint="eastAsia"/>
          <w:color w:val="auto"/>
          <w:highlight w:val="none"/>
          <w:u w:val="single"/>
        </w:rPr>
        <w:t>：博爱县公共资源交易中心二楼不见面开标</w:t>
      </w:r>
      <w:r>
        <w:rPr>
          <w:rFonts w:hint="eastAsia"/>
          <w:color w:val="auto"/>
          <w:highlight w:val="none"/>
          <w:u w:val="single"/>
          <w:lang w:eastAsia="zh-CN"/>
        </w:rPr>
        <w:t>一</w:t>
      </w:r>
      <w:r>
        <w:rPr>
          <w:rFonts w:hint="eastAsia"/>
          <w:color w:val="auto"/>
          <w:highlight w:val="none"/>
          <w:u w:val="single"/>
        </w:rPr>
        <w:t>室。</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b/>
          <w:bCs/>
          <w:color w:val="auto"/>
          <w:highlight w:val="none"/>
        </w:rPr>
      </w:pPr>
      <w:r>
        <w:rPr>
          <w:rFonts w:hint="eastAsia"/>
          <w:b/>
          <w:bCs/>
          <w:color w:val="auto"/>
          <w:highlight w:val="none"/>
        </w:rPr>
        <w:t>五、开标时间及地点</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1.时间：</w:t>
      </w:r>
      <w:r>
        <w:rPr>
          <w:rFonts w:hint="eastAsia"/>
          <w:color w:val="auto"/>
          <w:highlight w:val="none"/>
          <w:u w:val="single"/>
        </w:rPr>
        <w:t>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 xml:space="preserve"> 5 </w:t>
      </w:r>
      <w:r>
        <w:rPr>
          <w:rFonts w:hint="eastAsia"/>
          <w:color w:val="auto"/>
          <w:highlight w:val="none"/>
          <w:u w:val="single"/>
        </w:rPr>
        <w:t>月</w:t>
      </w:r>
      <w:r>
        <w:rPr>
          <w:rFonts w:hint="eastAsia"/>
          <w:color w:val="auto"/>
          <w:highlight w:val="none"/>
          <w:u w:val="single"/>
          <w:lang w:val="en-US" w:eastAsia="zh-CN"/>
        </w:rPr>
        <w:t xml:space="preserve"> 10 </w:t>
      </w:r>
      <w:r>
        <w:rPr>
          <w:rFonts w:hint="eastAsia"/>
          <w:color w:val="auto"/>
          <w:highlight w:val="none"/>
          <w:u w:val="single"/>
        </w:rPr>
        <w:t>日</w:t>
      </w:r>
      <w:r>
        <w:rPr>
          <w:rFonts w:hint="eastAsia"/>
          <w:color w:val="auto"/>
          <w:highlight w:val="none"/>
          <w:u w:val="single"/>
          <w:lang w:val="en-US" w:eastAsia="zh-CN"/>
        </w:rPr>
        <w:t xml:space="preserve"> 09</w:t>
      </w:r>
      <w:r>
        <w:rPr>
          <w:rFonts w:hint="eastAsia"/>
          <w:color w:val="auto"/>
          <w:highlight w:val="none"/>
          <w:u w:val="single"/>
        </w:rPr>
        <w:t>时</w:t>
      </w:r>
      <w:r>
        <w:rPr>
          <w:rFonts w:hint="eastAsia"/>
          <w:color w:val="auto"/>
          <w:highlight w:val="none"/>
          <w:u w:val="single"/>
          <w:lang w:val="en-US" w:eastAsia="zh-CN"/>
        </w:rPr>
        <w:t xml:space="preserve">00 </w:t>
      </w:r>
      <w:r>
        <w:rPr>
          <w:rFonts w:hint="eastAsia"/>
          <w:color w:val="auto"/>
          <w:highlight w:val="none"/>
          <w:u w:val="single"/>
        </w:rPr>
        <w:t>分</w:t>
      </w:r>
      <w:r>
        <w:rPr>
          <w:rFonts w:hint="eastAsia"/>
          <w:color w:val="000000"/>
          <w:highlight w:val="none"/>
          <w:u w:val="single"/>
        </w:rPr>
        <w:t>（北京时间）；</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2.地点：</w:t>
      </w:r>
      <w:r>
        <w:rPr>
          <w:rFonts w:hint="eastAsia"/>
          <w:color w:val="auto"/>
          <w:highlight w:val="none"/>
          <w:shd w:val="clear" w:color="auto" w:fill="auto"/>
        </w:rPr>
        <w:t>博爱县公共资源交易中心二楼不见面开标</w:t>
      </w:r>
      <w:r>
        <w:rPr>
          <w:rFonts w:hint="eastAsia"/>
          <w:color w:val="auto"/>
          <w:highlight w:val="none"/>
          <w:shd w:val="clear" w:color="auto" w:fill="auto"/>
          <w:lang w:eastAsia="zh-CN"/>
        </w:rPr>
        <w:t>一</w:t>
      </w:r>
      <w:r>
        <w:rPr>
          <w:rFonts w:hint="eastAsia"/>
          <w:color w:val="auto"/>
          <w:highlight w:val="none"/>
          <w:shd w:val="clear" w:color="auto" w:fill="auto"/>
        </w:rPr>
        <w:t>室。</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六、发布公告的媒介及公告期限</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本次公</w:t>
      </w:r>
      <w:r>
        <w:rPr>
          <w:rFonts w:hint="eastAsia"/>
          <w:color w:val="000000"/>
          <w:highlight w:val="none"/>
        </w:rPr>
        <w:t>告在</w:t>
      </w:r>
      <w:r>
        <w:rPr>
          <w:rFonts w:hint="eastAsia" w:ascii="宋体" w:hAnsi="宋体" w:eastAsia="宋体" w:cs="宋体"/>
          <w:color w:val="auto"/>
          <w:sz w:val="24"/>
          <w:szCs w:val="24"/>
          <w:highlight w:val="none"/>
        </w:rPr>
        <w:t>中国招标投标公共服务平台</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焦作市政府采购网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焦作市公共资源交易中心网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博爱县人民政府网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博爱县公共资源交易中心网http://www.baxggzyjyzx.cn/上发布。公告期限为五个工作日。</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七、其他补充事宜</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1.本项目采用“远程不见面”的开标方式，潜在投标人可提前在焦作市交易中心官网首页---下</w:t>
      </w:r>
      <w:r>
        <w:rPr>
          <w:rFonts w:hint="eastAsia"/>
          <w:color w:val="000000"/>
          <w:highlight w:val="none"/>
        </w:rPr>
        <w:t>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八、凡对本次采购提出询问，请按以下方式联系</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1.采购人信息</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名 称：</w:t>
      </w:r>
      <w:r>
        <w:rPr>
          <w:rFonts w:hint="eastAsia"/>
          <w:color w:val="000000"/>
          <w:highlight w:val="none"/>
          <w:lang w:eastAsia="zh-CN"/>
        </w:rPr>
        <w:t>博爱县妇幼保健院</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eastAsia="宋体"/>
          <w:color w:val="auto"/>
          <w:highlight w:val="none"/>
          <w:lang w:eastAsia="zh-CN"/>
        </w:rPr>
      </w:pPr>
      <w:r>
        <w:rPr>
          <w:rFonts w:hint="eastAsia"/>
          <w:color w:val="auto"/>
          <w:highlight w:val="none"/>
        </w:rPr>
        <w:t>地 址：博爱县中光路南段</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color w:val="auto"/>
          <w:kern w:val="0"/>
          <w:sz w:val="24"/>
          <w:szCs w:val="24"/>
          <w:highlight w:val="none"/>
          <w:lang w:val="en-US" w:eastAsia="zh-CN" w:bidi="ar-SA"/>
        </w:rPr>
        <w:t>毕先生</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default"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电话：</w:t>
      </w:r>
      <w:r>
        <w:rPr>
          <w:rFonts w:hint="eastAsia" w:cs="宋体"/>
          <w:color w:val="auto"/>
          <w:kern w:val="0"/>
          <w:sz w:val="24"/>
          <w:szCs w:val="24"/>
          <w:highlight w:val="none"/>
          <w:lang w:val="en-US" w:eastAsia="zh-CN" w:bidi="ar-SA"/>
        </w:rPr>
        <w:t>18239198832</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auto"/>
          <w:highlight w:val="none"/>
          <w:lang w:eastAsia="zh-CN"/>
        </w:rPr>
      </w:pPr>
      <w:r>
        <w:rPr>
          <w:rFonts w:hint="eastAsia"/>
          <w:color w:val="000000"/>
          <w:highlight w:val="none"/>
        </w:rPr>
        <w:t>2.</w:t>
      </w:r>
      <w:r>
        <w:rPr>
          <w:rFonts w:hint="eastAsia"/>
          <w:color w:val="auto"/>
          <w:highlight w:val="none"/>
          <w:lang w:eastAsia="zh-CN"/>
        </w:rPr>
        <w:t>采购代理机构信息</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auto"/>
          <w:highlight w:val="none"/>
          <w:lang w:eastAsia="zh-CN"/>
        </w:rPr>
      </w:pPr>
      <w:r>
        <w:rPr>
          <w:rFonts w:hint="eastAsia"/>
          <w:color w:val="auto"/>
          <w:highlight w:val="none"/>
          <w:lang w:eastAsia="zh-CN"/>
        </w:rPr>
        <w:t>名 称：河南正坤建设工程咨询有限公司</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auto"/>
          <w:highlight w:val="none"/>
          <w:lang w:eastAsia="zh-CN"/>
        </w:rPr>
      </w:pPr>
      <w:r>
        <w:rPr>
          <w:rFonts w:hint="eastAsia"/>
          <w:color w:val="auto"/>
          <w:highlight w:val="none"/>
          <w:lang w:eastAsia="zh-CN"/>
        </w:rPr>
        <w:t>地 址：</w:t>
      </w:r>
      <w:r>
        <w:rPr>
          <w:rFonts w:hint="eastAsia"/>
          <w:color w:val="auto"/>
          <w:highlight w:val="none"/>
          <w:lang w:val="en-US" w:eastAsia="zh-CN"/>
        </w:rPr>
        <w:t>焦作市解放区塔南路569号-4付03号</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color w:val="auto"/>
          <w:highlight w:val="none"/>
          <w:lang w:eastAsia="zh-CN"/>
        </w:rPr>
      </w:pPr>
      <w:r>
        <w:rPr>
          <w:rFonts w:hint="eastAsia"/>
          <w:color w:val="auto"/>
          <w:highlight w:val="none"/>
          <w:lang w:eastAsia="zh-CN"/>
        </w:rPr>
        <w:t>联系人：罗女士</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default" w:eastAsia="宋体"/>
          <w:color w:val="000000"/>
          <w:highlight w:val="none"/>
          <w:lang w:val="en-US" w:eastAsia="zh-CN"/>
        </w:rPr>
      </w:pPr>
      <w:r>
        <w:rPr>
          <w:rFonts w:hint="eastAsia"/>
          <w:color w:val="000000"/>
          <w:highlight w:val="none"/>
        </w:rPr>
        <w:t>联系方式：</w:t>
      </w:r>
      <w:r>
        <w:rPr>
          <w:rFonts w:hint="eastAsia"/>
          <w:color w:val="000000"/>
          <w:highlight w:val="none"/>
          <w:lang w:val="en-US" w:eastAsia="zh-CN"/>
        </w:rPr>
        <w:t>1</w:t>
      </w:r>
      <w:r>
        <w:rPr>
          <w:rFonts w:hint="eastAsia"/>
          <w:color w:val="000000"/>
          <w:highlight w:val="none"/>
          <w:shd w:val="clear" w:color="auto" w:fill="FFFFFF"/>
          <w:lang w:val="en-US" w:eastAsia="zh-CN"/>
        </w:rPr>
        <w:t>8339847535</w:t>
      </w:r>
      <w:r>
        <w:rPr>
          <w:rFonts w:hint="eastAsia"/>
          <w:color w:val="000000"/>
          <w:highlight w:val="none"/>
          <w:shd w:val="clear" w:color="auto" w:fill="FFFFFF"/>
          <w:lang w:eastAsia="zh-CN"/>
        </w:rPr>
        <w:t xml:space="preserve">     0391-</w:t>
      </w:r>
      <w:r>
        <w:rPr>
          <w:rFonts w:hint="eastAsia"/>
          <w:color w:val="000000"/>
          <w:highlight w:val="none"/>
          <w:shd w:val="clear" w:color="auto" w:fill="FFFFFF"/>
          <w:lang w:val="en-US" w:eastAsia="zh-CN"/>
        </w:rPr>
        <w:t>2619918</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3.项目联系方式</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项目联系人：</w:t>
      </w:r>
      <w:r>
        <w:rPr>
          <w:rFonts w:hint="eastAsia"/>
          <w:color w:val="auto"/>
          <w:highlight w:val="none"/>
          <w:lang w:eastAsia="zh-CN"/>
        </w:rPr>
        <w:t>罗女士</w:t>
      </w:r>
      <w:r>
        <w:rPr>
          <w:rFonts w:hint="eastAsia"/>
          <w:color w:val="000000"/>
          <w:highlight w:val="none"/>
        </w:rPr>
        <w:t xml:space="preserve"> </w:t>
      </w:r>
    </w:p>
    <w:p>
      <w:pPr>
        <w:pStyle w:val="22"/>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color w:val="000000"/>
          <w:highlight w:val="none"/>
        </w:rPr>
      </w:pPr>
      <w:r>
        <w:rPr>
          <w:rFonts w:hint="eastAsia"/>
          <w:color w:val="000000"/>
          <w:highlight w:val="none"/>
        </w:rPr>
        <w:t>联系方式：</w:t>
      </w:r>
      <w:r>
        <w:rPr>
          <w:rFonts w:hint="eastAsia"/>
          <w:color w:val="000000"/>
          <w:highlight w:val="none"/>
          <w:shd w:val="clear" w:color="auto" w:fill="FFFFFF"/>
          <w:lang w:eastAsia="zh-CN"/>
        </w:rPr>
        <w:t>1</w:t>
      </w:r>
      <w:r>
        <w:rPr>
          <w:rFonts w:hint="eastAsia"/>
          <w:color w:val="000000"/>
          <w:highlight w:val="none"/>
          <w:shd w:val="clear" w:color="auto" w:fill="FFFFFF"/>
          <w:lang w:val="en-US" w:eastAsia="zh-CN"/>
        </w:rPr>
        <w:t>8339847535</w:t>
      </w:r>
      <w:r>
        <w:rPr>
          <w:rFonts w:hint="eastAsia"/>
          <w:color w:val="000000"/>
          <w:highlight w:val="none"/>
          <w:shd w:val="clear" w:color="auto" w:fill="FFFFFF"/>
          <w:lang w:eastAsia="zh-CN"/>
        </w:rPr>
        <w:t xml:space="preserve">     0391-</w:t>
      </w:r>
      <w:r>
        <w:rPr>
          <w:rFonts w:hint="eastAsia"/>
          <w:color w:val="000000"/>
          <w:highlight w:val="none"/>
          <w:shd w:val="clear" w:color="auto" w:fill="FFFFFF"/>
          <w:lang w:val="en-US" w:eastAsia="zh-CN"/>
        </w:rPr>
        <w:t>2619918</w:t>
      </w:r>
    </w:p>
    <w:p>
      <w:pPr>
        <w:pStyle w:val="22"/>
        <w:keepNext w:val="0"/>
        <w:keepLines w:val="0"/>
        <w:pageBreakBefore w:val="0"/>
        <w:kinsoku/>
        <w:wordWrap/>
        <w:overflowPunct/>
        <w:topLinePunct w:val="0"/>
        <w:autoSpaceDE/>
        <w:autoSpaceDN/>
        <w:bidi w:val="0"/>
        <w:spacing w:before="0" w:beforeAutospacing="0" w:after="0" w:afterAutospacing="0" w:line="440" w:lineRule="exact"/>
        <w:textAlignment w:val="auto"/>
        <w:rPr>
          <w:highlight w:val="none"/>
        </w:rPr>
      </w:pPr>
      <w:r>
        <w:rPr>
          <w:rFonts w:hint="eastAsia"/>
          <w:color w:val="000000"/>
          <w:highlight w:val="none"/>
        </w:rPr>
        <w:t xml:space="preserve"> </w:t>
      </w:r>
    </w:p>
    <w:p>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cs="宋体"/>
          <w:kern w:val="0"/>
          <w:sz w:val="24"/>
          <w:highlight w:val="none"/>
          <w:lang w:eastAsia="zh-CN"/>
        </w:rPr>
      </w:pPr>
      <w:r>
        <w:rPr>
          <w:rFonts w:hint="eastAsia" w:ascii="宋体" w:hAnsi="宋体" w:cs="宋体"/>
          <w:sz w:val="24"/>
          <w:highlight w:val="none"/>
        </w:rPr>
        <w:t>采购人：博爱县妇幼保健院</w:t>
      </w:r>
    </w:p>
    <w:p>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rPr>
        <w:t>采购代理机构：</w:t>
      </w:r>
      <w:r>
        <w:rPr>
          <w:rFonts w:hint="eastAsia" w:ascii="宋体" w:hAnsi="宋体" w:cs="宋体"/>
          <w:sz w:val="24"/>
          <w:highlight w:val="none"/>
          <w:shd w:val="clear" w:color="auto" w:fill="FFFFFF"/>
          <w:lang w:eastAsia="zh-CN"/>
        </w:rPr>
        <w:t>河南正坤建设工程咨询有限公司</w:t>
      </w:r>
    </w:p>
    <w:p>
      <w:pPr>
        <w:keepNext w:val="0"/>
        <w:keepLines w:val="0"/>
        <w:pageBreakBefore w:val="0"/>
        <w:widowControl/>
        <w:kinsoku/>
        <w:wordWrap/>
        <w:overflowPunct/>
        <w:topLinePunct w:val="0"/>
        <w:autoSpaceDE/>
        <w:autoSpaceDN/>
        <w:bidi w:val="0"/>
        <w:spacing w:line="440" w:lineRule="exact"/>
        <w:ind w:firstLine="420"/>
        <w:jc w:val="right"/>
        <w:textAlignment w:val="auto"/>
        <w:rPr>
          <w:rFonts w:ascii="宋体" w:hAnsi="宋体" w:cs="宋体"/>
          <w:color w:val="000000"/>
          <w:sz w:val="24"/>
          <w:highlight w:val="none"/>
        </w:rPr>
      </w:pPr>
      <w:r>
        <w:rPr>
          <w:rFonts w:hint="eastAsia" w:ascii="宋体" w:hAnsi="宋体" w:cs="宋体"/>
          <w:sz w:val="24"/>
          <w:highlight w:val="none"/>
        </w:rPr>
        <w:t>发布时间</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 xml:space="preserve"> 4 </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 xml:space="preserve"> 18 </w:t>
      </w:r>
      <w:r>
        <w:rPr>
          <w:rFonts w:hint="eastAsia" w:ascii="宋体" w:hAnsi="宋体" w:cs="宋体"/>
          <w:color w:val="000000"/>
          <w:sz w:val="24"/>
          <w:highlight w:val="none"/>
        </w:rPr>
        <w:t>日</w:t>
      </w:r>
    </w:p>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outlineLvl w:val="0"/>
        <w:rPr>
          <w:rFonts w:ascii="宋体" w:hAnsi="宋体" w:cs="宋体"/>
          <w:b/>
          <w:sz w:val="28"/>
          <w:szCs w:val="28"/>
          <w:highlight w:val="none"/>
        </w:rPr>
      </w:pPr>
      <w:bookmarkStart w:id="8" w:name="_Toc3189"/>
      <w:bookmarkStart w:id="9" w:name="_Toc15352"/>
      <w:bookmarkStart w:id="10" w:name="_Toc14932"/>
      <w:bookmarkStart w:id="11" w:name="_Toc17008"/>
      <w:r>
        <w:rPr>
          <w:rFonts w:hint="eastAsia" w:ascii="宋体" w:hAnsi="宋体" w:cs="宋体"/>
          <w:b/>
          <w:sz w:val="28"/>
          <w:szCs w:val="28"/>
          <w:highlight w:val="none"/>
        </w:rPr>
        <w:t>第二章 供应商须知</w:t>
      </w:r>
      <w:bookmarkEnd w:id="8"/>
      <w:bookmarkEnd w:id="9"/>
      <w:bookmarkEnd w:id="10"/>
      <w:bookmarkEnd w:id="11"/>
    </w:p>
    <w:bookmarkEnd w:id="0"/>
    <w:p>
      <w:pPr>
        <w:pStyle w:val="23"/>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ascii="宋体" w:hAnsi="宋体" w:eastAsia="宋体" w:cs="宋体"/>
          <w:sz w:val="28"/>
          <w:szCs w:val="28"/>
          <w:highlight w:val="none"/>
        </w:rPr>
      </w:pPr>
      <w:bookmarkStart w:id="12" w:name="_Toc6426"/>
      <w:bookmarkStart w:id="13" w:name="_Toc15103"/>
      <w:bookmarkStart w:id="14" w:name="_Toc32497"/>
      <w:bookmarkStart w:id="15" w:name="_Toc11025"/>
      <w:bookmarkStart w:id="16" w:name="_Toc14655"/>
      <w:bookmarkStart w:id="17" w:name="_Toc7779"/>
      <w:bookmarkStart w:id="18" w:name="_Toc426369478"/>
      <w:bookmarkStart w:id="19" w:name="_Toc403122490"/>
      <w:bookmarkStart w:id="20" w:name="_Toc9161"/>
      <w:bookmarkStart w:id="21" w:name="_Toc19003"/>
      <w:r>
        <w:rPr>
          <w:rFonts w:hint="eastAsia" w:ascii="宋体" w:hAnsi="宋体" w:eastAsia="宋体" w:cs="宋体"/>
          <w:sz w:val="28"/>
          <w:szCs w:val="28"/>
          <w:highlight w:val="none"/>
        </w:rPr>
        <w:t>供应商须知前附表</w:t>
      </w:r>
      <w:bookmarkEnd w:id="12"/>
      <w:bookmarkEnd w:id="13"/>
      <w:bookmarkEnd w:id="14"/>
      <w:bookmarkEnd w:id="15"/>
      <w:bookmarkEnd w:id="16"/>
      <w:bookmarkEnd w:id="17"/>
      <w:bookmarkEnd w:id="18"/>
      <w:bookmarkEnd w:id="19"/>
      <w:bookmarkEnd w:id="20"/>
      <w:bookmarkEnd w:id="21"/>
    </w:p>
    <w:tbl>
      <w:tblPr>
        <w:tblStyle w:val="2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639"/>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44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lang w:val="en-US" w:eastAsia="zh-CN"/>
              </w:rPr>
              <w:t>博爱县妇幼保健院</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址：博爱县中光路南段</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联系人：毕先生</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r>
              <w:rPr>
                <w:rFonts w:hint="eastAsia" w:ascii="宋体" w:hAnsi="宋体" w:eastAsia="宋体" w:cs="宋体"/>
                <w:color w:val="000000"/>
                <w:kern w:val="2"/>
                <w:sz w:val="21"/>
                <w:szCs w:val="21"/>
                <w:highlight w:val="none"/>
                <w:shd w:val="clear" w:color="auto" w:fill="FFFFFF"/>
                <w:lang w:val="en-US" w:eastAsia="zh-CN" w:bidi="ar-SA"/>
              </w:rPr>
              <w:t>18239198832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采购代理机构：</w:t>
            </w:r>
            <w:r>
              <w:rPr>
                <w:rFonts w:hint="eastAsia" w:ascii="宋体" w:hAnsi="宋体" w:eastAsia="宋体" w:cs="宋体"/>
                <w:sz w:val="21"/>
                <w:szCs w:val="21"/>
                <w:highlight w:val="none"/>
                <w:lang w:eastAsia="zh-CN"/>
              </w:rPr>
              <w:t>河南正坤建设工程咨询有限公司</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焦作市解放区塔南路569号-4付03号</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罗女士</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联系方式：</w:t>
            </w:r>
            <w:r>
              <w:rPr>
                <w:rFonts w:hint="eastAsia" w:ascii="宋体" w:hAnsi="宋体" w:eastAsia="宋体" w:cs="宋体"/>
                <w:color w:val="000000"/>
                <w:sz w:val="21"/>
                <w:szCs w:val="21"/>
                <w:highlight w:val="none"/>
                <w:shd w:val="clear" w:color="auto" w:fill="FFFFFF"/>
                <w:lang w:eastAsia="zh-CN"/>
              </w:rPr>
              <w:t>1</w:t>
            </w:r>
            <w:r>
              <w:rPr>
                <w:rFonts w:hint="eastAsia" w:ascii="宋体" w:hAnsi="宋体" w:eastAsia="宋体" w:cs="宋体"/>
                <w:color w:val="000000"/>
                <w:sz w:val="21"/>
                <w:szCs w:val="21"/>
                <w:highlight w:val="none"/>
                <w:shd w:val="clear" w:color="auto" w:fill="FFFFFF"/>
                <w:lang w:val="en-US" w:eastAsia="zh-CN"/>
              </w:rPr>
              <w:t>8339847535</w:t>
            </w:r>
            <w:r>
              <w:rPr>
                <w:rFonts w:hint="eastAsia" w:ascii="宋体" w:hAnsi="宋体" w:eastAsia="宋体" w:cs="宋体"/>
                <w:color w:val="000000"/>
                <w:sz w:val="21"/>
                <w:szCs w:val="21"/>
                <w:highlight w:val="none"/>
                <w:shd w:val="clear" w:color="auto" w:fill="FFFFFF"/>
                <w:lang w:eastAsia="zh-CN"/>
              </w:rPr>
              <w:t xml:space="preserve">     0391-</w:t>
            </w:r>
            <w:r>
              <w:rPr>
                <w:rFonts w:hint="eastAsia" w:ascii="宋体" w:hAnsi="宋体" w:eastAsia="宋体" w:cs="宋体"/>
                <w:color w:val="000000"/>
                <w:sz w:val="21"/>
                <w:szCs w:val="21"/>
                <w:highlight w:val="none"/>
                <w:shd w:val="clear" w:color="auto" w:fill="FFFFFF"/>
                <w:lang w:val="en-US" w:eastAsia="zh-CN"/>
              </w:rPr>
              <w:t>2619918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44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博爱县妇幼保健院信息化改造采购项目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p>
        </w:tc>
        <w:tc>
          <w:tcPr>
            <w:tcW w:w="6445" w:type="dxa"/>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eastAsia="zh-CN"/>
              </w:rPr>
              <w:t>对现有信息化系统进行升级改造，主要内容包括检验结果互认系统、抗菌药物管理系统、危急值管理系统、电子处方流转改造、公立医院绩效考核上报系统、超融合服务器、交换机、超融合软件、备用一体机、读卡器、PDA移动设备等进行升级改造。（</w:t>
            </w:r>
            <w:r>
              <w:rPr>
                <w:rFonts w:hint="eastAsia" w:ascii="宋体" w:hAnsi="宋体" w:eastAsia="宋体" w:cs="宋体"/>
                <w:color w:val="auto"/>
                <w:sz w:val="21"/>
                <w:szCs w:val="21"/>
                <w:highlight w:val="none"/>
                <w:lang w:val="en-US" w:eastAsia="zh-CN"/>
              </w:rPr>
              <w:t>详见“第五章 采购内容及要求”）</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供货安装期</w:t>
            </w:r>
            <w:r>
              <w:rPr>
                <w:rFonts w:hint="eastAsia" w:ascii="宋体" w:hAnsi="宋体" w:eastAsia="宋体" w:cs="宋体"/>
                <w:color w:val="auto"/>
                <w:sz w:val="21"/>
                <w:szCs w:val="21"/>
                <w:highlight w:val="none"/>
              </w:rPr>
              <w:t xml:space="preserve">） </w:t>
            </w:r>
          </w:p>
        </w:tc>
        <w:tc>
          <w:tcPr>
            <w:tcW w:w="644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合同签订后60日历天内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质量要求</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达到现行国家、行业及地方相应规范、标准要求。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质保期</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软件系统一年、硬件设备原厂三年质保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1.4.1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供应商资质条件</w:t>
            </w:r>
          </w:p>
        </w:tc>
        <w:tc>
          <w:tcPr>
            <w:tcW w:w="6445" w:type="dxa"/>
            <w:vAlign w:val="center"/>
          </w:tcPr>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2.落实政府采购政策需满足的资格要求：促进中小企业和监狱企业发展扶持政策、政府强制采购节能产品强制采购、节能产品及环境标志产品优先采购、促进残疾人就业政府采购政策。</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3.1供应商须具有有效的营业执照，并具有实施完成本项目的经营实力和完善的售后服务体系；</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3.3本项目不接受联合体投标；</w:t>
            </w:r>
          </w:p>
          <w:p>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1.10.3</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采购人说明澄清的时间</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供应商要求澄清招标文件的截止时间</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年</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月</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10</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日</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09时00</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构成投标文件的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其他材料</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投标方案</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3.7.3</w:t>
            </w:r>
          </w:p>
        </w:tc>
        <w:tc>
          <w:tcPr>
            <w:tcW w:w="1639"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签字盖章要求</w:t>
            </w:r>
          </w:p>
        </w:tc>
        <w:tc>
          <w:tcPr>
            <w:tcW w:w="6445" w:type="dxa"/>
            <w:shd w:val="clear" w:color="auto" w:fill="auto"/>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（1）要求供应商加盖公章的地方都应加盖供应商单位的CA 印章。</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（2）要求法定代表人签字或盖章的，法定代表人在签字或盖章的地方上传手写签名的扫描件或加盖法定代表人CA印章。</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3.7.4</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4.2.2</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递交投标文件方式和地点</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本项目采用“远程不见面”开标方式，远程开标大厅网址为http://122.112.246.33/BidOpening/bidopeninghallaction/hall/login。投标人不需到开标现场参加开标会议，不需提交原件资料等。 </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（1）电子投标文件的递交</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a、各投标人应在投标截止时间前上传加密的电子投标文件</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（.jztf 格式）到会员系统的指定位置。上传时必须得到电脑“上传成功”的确认回复。请投标人在上传时认真检查上传投标文件是否完整、正确。</w:t>
            </w:r>
          </w:p>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4.2.3</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6445"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1639"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445"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开标时间：同投标截止时间。登录远程开标大厅，凭制作投标文件所用的企业 CA 密匙在线签到、解密文件等，解密时间为投标截止时后30分钟内。</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现场开标地点：博爱县公共资源交易中心二楼开标</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6.1.1</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评标委员会构成：由采购人代表1名和政府采购专家库中随机抽</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取的评审专家4名,共5人组成。</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否，由评标委员会从认定的合理报价中，按得分由高到低的顺序，依次推荐3名中标候选人。</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7.3.1</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pPr>
              <w:pStyle w:val="14"/>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7.3.2</w:t>
            </w:r>
          </w:p>
        </w:tc>
        <w:tc>
          <w:tcPr>
            <w:tcW w:w="1639"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445"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7.3.3</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质量保证金</w:t>
            </w:r>
          </w:p>
        </w:tc>
        <w:tc>
          <w:tcPr>
            <w:tcW w:w="6445" w:type="dxa"/>
            <w:vAlign w:val="bottom"/>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2" w:type="dxa"/>
            <w:vAlign w:val="bottom"/>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Cs/>
                <w:sz w:val="21"/>
                <w:szCs w:val="21"/>
                <w:highlight w:val="none"/>
              </w:rPr>
              <w:t>10</w:t>
            </w:r>
          </w:p>
        </w:tc>
        <w:tc>
          <w:tcPr>
            <w:tcW w:w="8084" w:type="dxa"/>
            <w:gridSpan w:val="2"/>
            <w:vAlign w:val="bottom"/>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p>
        </w:tc>
        <w:tc>
          <w:tcPr>
            <w:tcW w:w="6445" w:type="dxa"/>
            <w:vAlign w:val="bottom"/>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bCs/>
                <w:sz w:val="21"/>
                <w:szCs w:val="21"/>
                <w:highlight w:val="none"/>
              </w:rPr>
              <w:t>本项目预算金额为：</w:t>
            </w:r>
            <w:r>
              <w:rPr>
                <w:rFonts w:hint="eastAsia" w:ascii="宋体" w:hAnsi="宋体" w:eastAsia="宋体" w:cs="宋体"/>
                <w:b/>
                <w:bCs/>
                <w:sz w:val="21"/>
                <w:szCs w:val="21"/>
                <w:highlight w:val="none"/>
                <w:lang w:val="en-US" w:eastAsia="zh-CN"/>
              </w:rPr>
              <w:t>2200000.</w:t>
            </w:r>
            <w:r>
              <w:rPr>
                <w:rFonts w:hint="eastAsia" w:ascii="宋体" w:hAnsi="宋体" w:eastAsia="宋体" w:cs="宋体"/>
                <w:b/>
                <w:bCs/>
                <w:sz w:val="21"/>
                <w:szCs w:val="21"/>
                <w:highlight w:val="none"/>
                <w:lang w:eastAsia="zh-CN"/>
              </w:rPr>
              <w:t>00</w:t>
            </w:r>
            <w:r>
              <w:rPr>
                <w:rFonts w:hint="eastAsia" w:ascii="宋体" w:hAnsi="宋体" w:eastAsia="宋体" w:cs="宋体"/>
                <w:b/>
                <w:bCs/>
                <w:sz w:val="21"/>
                <w:szCs w:val="21"/>
                <w:highlight w:val="none"/>
              </w:rPr>
              <w:t>元</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2、控制价是采购人设置的最高限价，供应商的投标报价高于控制价的视为无效报价，其投标予以拒绝。</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小型或微型企业（含监狱企业）</w:t>
            </w:r>
          </w:p>
        </w:tc>
        <w:tc>
          <w:tcPr>
            <w:tcW w:w="6445" w:type="dxa"/>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对小型或微型企业投标的扶持：(如有）</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1.1投标供应商为小型或微型企业时，报价给予C1的价格扣除（C1的取值为20%），即：评标价＝投标报价（最后报价）×(1－C1）；</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小微企业应当提供《中小企业声明函》（见格式）。</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2、按照《政府采购促进中小企业发展管理办法》有关规定，中小企业的标准为：</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2.1提供本企业制造的货物、承担的工程或者服务，或者提供其他中小企业制造的货物，不包括提供或使用大型企业注册商标的货物；</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2.2本规定所称中小企业划分标准，是指国务院有关部门根据企业从业人员、营业收入、资产总额等指标制定的中小企业划型标准（工信部联企业﹝2011﹞300号）；</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2.3小型、微型企业提供有中型企业制造的货物的，视同为中型企业；小型、微型、中型企业提供有大型企业制造的货物的，视同为大型企业。</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3</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rPr>
              <w:t>付款方式</w:t>
            </w:r>
          </w:p>
        </w:tc>
        <w:tc>
          <w:tcPr>
            <w:tcW w:w="6445" w:type="dxa"/>
            <w:vAlign w:val="center"/>
          </w:tcPr>
          <w:p>
            <w:pPr>
              <w:pStyle w:val="22"/>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签订合同付合同款的30%，验收调试合格付合同款的70%。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10.4</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供货要求</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10.</w:t>
            </w:r>
            <w:r>
              <w:rPr>
                <w:rFonts w:hint="eastAsia" w:ascii="宋体" w:hAnsi="宋体" w:eastAsia="宋体" w:cs="宋体"/>
                <w:bCs/>
                <w:sz w:val="21"/>
                <w:szCs w:val="21"/>
                <w:highlight w:val="none"/>
                <w:lang w:val="en-US" w:eastAsia="zh-CN"/>
              </w:rPr>
              <w:t>5</w:t>
            </w:r>
          </w:p>
        </w:tc>
        <w:tc>
          <w:tcPr>
            <w:tcW w:w="1639"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招标代理服务费</w:t>
            </w:r>
          </w:p>
        </w:tc>
        <w:tc>
          <w:tcPr>
            <w:tcW w:w="644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招标代理服务费:参照豫招协[2023]002号《河南省招标代理服务收费指导意见》中的标准向中标人收取招标代理服务费</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10.</w:t>
            </w:r>
            <w:r>
              <w:rPr>
                <w:rFonts w:hint="eastAsia" w:ascii="宋体" w:hAnsi="宋体" w:eastAsia="宋体" w:cs="宋体"/>
                <w:bCs/>
                <w:sz w:val="21"/>
                <w:szCs w:val="21"/>
                <w:highlight w:val="none"/>
                <w:lang w:val="en-US" w:eastAsia="zh-CN"/>
              </w:rPr>
              <w:t>6</w:t>
            </w:r>
          </w:p>
        </w:tc>
        <w:tc>
          <w:tcPr>
            <w:tcW w:w="1639"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认定为不响应招标文件的其它条件</w:t>
            </w:r>
          </w:p>
        </w:tc>
        <w:tc>
          <w:tcPr>
            <w:tcW w:w="6445"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1、未按招标文件明示的规定签字盖章的；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在投标文件中对同一采购项目有两个或多个报价，且未声明哪一个有效的；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响应文件的关键内容（投标报价、合同履行期限（供货安装期）、质量要求等）未填写或填写字迹模糊无法辨认的；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、相关资格证明文件不合格的；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、投标报价超出招标控制价的；</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投标文件中附有采购人不能接受的条件的</w:t>
            </w:r>
            <w:r>
              <w:rPr>
                <w:rFonts w:hint="eastAsia" w:ascii="宋体" w:hAnsi="宋体" w:eastAsia="宋体" w:cs="宋体"/>
                <w:bCs/>
                <w:sz w:val="21"/>
                <w:szCs w:val="21"/>
                <w:highlight w:val="none"/>
              </w:rPr>
              <w:t>；</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、投标文件有明显不符合招标文件其它要求和有关法律法规的</w:t>
            </w:r>
            <w:r>
              <w:rPr>
                <w:rFonts w:hint="eastAsia" w:ascii="宋体" w:hAnsi="宋体" w:eastAsia="宋体" w:cs="宋体"/>
                <w:bCs/>
                <w:sz w:val="21"/>
                <w:szCs w:val="21"/>
                <w:highlight w:val="none"/>
                <w:lang w:eastAsia="zh-CN"/>
              </w:rPr>
              <w:t>；</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rPr>
              <w:t>评标过程中，如因两个或两个以上投标人在同一台计算或同一个IP上传响应文件，而被不见面开标系统提示为“投标文件制作机器码一致”的，则视其投标无效。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6</w:t>
            </w:r>
          </w:p>
        </w:tc>
        <w:tc>
          <w:tcPr>
            <w:tcW w:w="8084" w:type="dxa"/>
            <w:gridSpan w:val="2"/>
            <w:vAlign w:val="center"/>
          </w:tcPr>
          <w:p>
            <w:pPr>
              <w:pStyle w:val="26"/>
              <w:keepNext w:val="0"/>
              <w:keepLines w:val="0"/>
              <w:pageBreakBefore w:val="0"/>
              <w:widowControl w:val="0"/>
              <w:suppressLineNumbers w:val="0"/>
              <w:tabs>
                <w:tab w:val="left" w:pos="1268"/>
              </w:tabs>
              <w:kinsoku/>
              <w:wordWrap/>
              <w:overflowPunct/>
              <w:topLinePunct w:val="0"/>
              <w:bidi w:val="0"/>
              <w:snapToGrid w:val="0"/>
              <w:spacing w:before="0" w:beforeAutospacing="0" w:after="0" w:afterAutospacing="0" w:line="240" w:lineRule="auto"/>
              <w:ind w:left="0" w:right="0" w:firstLine="0" w:firstLineChars="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本招标文件解释权归采购人</w:t>
            </w:r>
          </w:p>
        </w:tc>
      </w:tr>
    </w:tbl>
    <w:p>
      <w:pPr>
        <w:pStyle w:val="23"/>
        <w:keepNext w:val="0"/>
        <w:keepLines w:val="0"/>
        <w:pageBreakBefore/>
        <w:widowControl w:val="0"/>
        <w:kinsoku/>
        <w:wordWrap/>
        <w:overflowPunct/>
        <w:topLinePunct w:val="0"/>
        <w:autoSpaceDE/>
        <w:autoSpaceDN/>
        <w:bidi w:val="0"/>
        <w:adjustRightInd/>
        <w:snapToGrid w:val="0"/>
        <w:spacing w:before="0" w:after="0" w:line="360" w:lineRule="auto"/>
        <w:ind w:firstLine="422" w:firstLineChars="200"/>
        <w:jc w:val="both"/>
        <w:textAlignment w:val="auto"/>
        <w:outlineLvl w:val="9"/>
        <w:rPr>
          <w:rFonts w:ascii="宋体" w:hAnsi="宋体" w:eastAsia="宋体" w:cs="宋体"/>
          <w:sz w:val="21"/>
          <w:szCs w:val="21"/>
          <w:highlight w:val="none"/>
        </w:rPr>
      </w:pPr>
      <w:bookmarkStart w:id="22" w:name="_Toc2148"/>
      <w:bookmarkStart w:id="23" w:name="_Toc426369479"/>
      <w:bookmarkStart w:id="24" w:name="_Toc9048"/>
      <w:bookmarkStart w:id="25" w:name="_Toc23576"/>
      <w:bookmarkStart w:id="26" w:name="_Toc23082"/>
      <w:bookmarkStart w:id="27" w:name="_Toc403122491"/>
      <w:bookmarkStart w:id="28" w:name="_Toc17256"/>
      <w:bookmarkStart w:id="29" w:name="_Toc26329"/>
      <w:bookmarkStart w:id="30" w:name="_Toc2462"/>
      <w:bookmarkStart w:id="31" w:name="_Toc8709"/>
      <w:bookmarkStart w:id="32" w:name="_Toc426369491"/>
      <w:bookmarkStart w:id="33" w:name="_Toc403122503"/>
      <w:bookmarkStart w:id="34" w:name="_Toc26894"/>
      <w:r>
        <w:rPr>
          <w:rFonts w:hint="eastAsia" w:ascii="宋体" w:hAnsi="宋体" w:eastAsia="宋体" w:cs="宋体"/>
          <w:sz w:val="21"/>
          <w:szCs w:val="21"/>
          <w:highlight w:val="none"/>
        </w:rPr>
        <w:t>1. 总则</w:t>
      </w:r>
      <w:bookmarkEnd w:id="22"/>
      <w:bookmarkEnd w:id="23"/>
      <w:bookmarkEnd w:id="24"/>
      <w:bookmarkEnd w:id="25"/>
      <w:bookmarkEnd w:id="26"/>
      <w:bookmarkEnd w:id="27"/>
      <w:bookmarkEnd w:id="28"/>
      <w:bookmarkEnd w:id="29"/>
      <w:bookmarkEnd w:id="30"/>
      <w:bookmarkEnd w:id="31"/>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35" w:name="_Toc279599771"/>
      <w:bookmarkStart w:id="36" w:name="_Toc274249575"/>
      <w:bookmarkStart w:id="37" w:name="_Toc426369480"/>
      <w:bookmarkStart w:id="38" w:name="_Toc403122492"/>
      <w:r>
        <w:rPr>
          <w:rFonts w:hint="eastAsia" w:ascii="宋体" w:hAnsi="宋体" w:cs="宋体"/>
          <w:b/>
          <w:bCs/>
          <w:szCs w:val="21"/>
          <w:highlight w:val="none"/>
        </w:rPr>
        <w:t>1.1 项目概况</w:t>
      </w:r>
      <w:bookmarkEnd w:id="35"/>
      <w:bookmarkEnd w:id="36"/>
      <w:bookmarkEnd w:id="37"/>
      <w:bookmarkEnd w:id="38"/>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w:t>
      </w:r>
      <w:r>
        <w:rPr>
          <w:rFonts w:hint="eastAsia" w:ascii="宋体" w:hAnsi="宋体" w:cs="宋体"/>
          <w:bCs/>
          <w:szCs w:val="21"/>
          <w:highlight w:val="none"/>
        </w:rPr>
        <w:t>《中华人民共和国政府采购法》</w:t>
      </w:r>
      <w:r>
        <w:rPr>
          <w:rFonts w:hint="eastAsia" w:ascii="宋体" w:hAnsi="宋体" w:cs="宋体"/>
          <w:szCs w:val="21"/>
          <w:highlight w:val="none"/>
        </w:rPr>
        <w:t xml:space="preserve">等有关法律、法规和规章的规定，本招标项目已具备招标条件，现对本招标项目进行公开招标。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1.1.2  本招标项目采购人：见供应商须知前附表。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1.1.3  本招标项目采购代理机构：见供应商须知前附表。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1.1.4  本招标项目名称：见供应商须知前附表。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39" w:name="_Toc274249576"/>
      <w:bookmarkStart w:id="40" w:name="_Toc403122493"/>
      <w:bookmarkStart w:id="41" w:name="_Toc426369481"/>
      <w:bookmarkStart w:id="42" w:name="_Toc279599772"/>
      <w:r>
        <w:rPr>
          <w:rFonts w:hint="eastAsia" w:ascii="宋体" w:hAnsi="宋体" w:cs="宋体"/>
          <w:b/>
          <w:bCs/>
          <w:szCs w:val="21"/>
          <w:highlight w:val="none"/>
        </w:rPr>
        <w:t>1.2 资金来源和落实情况</w:t>
      </w:r>
      <w:bookmarkEnd w:id="39"/>
      <w:bookmarkEnd w:id="40"/>
      <w:bookmarkEnd w:id="41"/>
      <w:bookmarkEnd w:id="4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1.2.1  本招标项目的资金来源：见供应商须知前附表。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1.2.2  本招标项目的资金落实情况：见供应商须知前附表。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43" w:name="_Toc274249577"/>
      <w:bookmarkStart w:id="44" w:name="_Toc426369482"/>
      <w:bookmarkStart w:id="45" w:name="_Toc279599773"/>
      <w:bookmarkStart w:id="46" w:name="_Toc403122494"/>
      <w:r>
        <w:rPr>
          <w:rFonts w:hint="eastAsia" w:ascii="宋体" w:hAnsi="宋体" w:cs="宋体"/>
          <w:b/>
          <w:bCs/>
          <w:szCs w:val="21"/>
          <w:highlight w:val="none"/>
        </w:rPr>
        <w:t>1.3 采购内容、合同履行期限和质量</w:t>
      </w:r>
      <w:bookmarkEnd w:id="43"/>
      <w:bookmarkEnd w:id="44"/>
      <w:bookmarkEnd w:id="45"/>
      <w:bookmarkEnd w:id="46"/>
      <w:r>
        <w:rPr>
          <w:rFonts w:hint="eastAsia" w:ascii="宋体" w:hAnsi="宋体" w:cs="宋体"/>
          <w:b/>
          <w:bCs/>
          <w:szCs w:val="21"/>
          <w:highlight w:val="none"/>
        </w:rPr>
        <w:t>标准</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1.3.1  本次招标采购内容：见供应商须知前附表。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本次招标的合同履行期限（</w:t>
      </w:r>
      <w:r>
        <w:rPr>
          <w:rFonts w:hint="eastAsia" w:ascii="宋体" w:hAnsi="宋体" w:cs="宋体"/>
          <w:szCs w:val="21"/>
          <w:highlight w:val="none"/>
          <w:lang w:val="en-US" w:eastAsia="zh-CN"/>
        </w:rPr>
        <w:t>供货安装期</w:t>
      </w:r>
      <w:r>
        <w:rPr>
          <w:rFonts w:hint="eastAsia" w:ascii="宋体" w:hAnsi="宋体" w:cs="宋体"/>
          <w:szCs w:val="21"/>
          <w:highlight w:val="none"/>
        </w:rPr>
        <w:t xml:space="preserve">）：见供应商须知前附表。 </w:t>
      </w:r>
    </w:p>
    <w:p>
      <w:pPr>
        <w:keepNext w:val="0"/>
        <w:keepLines w:val="0"/>
        <w:tabs>
          <w:tab w:val="right" w:pos="904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1.3.3  本次招标的质量要求：见供应商须知前附表。 </w:t>
      </w:r>
    </w:p>
    <w:p>
      <w:pPr>
        <w:keepNext w:val="0"/>
        <w:keepLines w:val="0"/>
        <w:tabs>
          <w:tab w:val="right" w:pos="904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1.3.4  本次招标的质保期要求：见供应商须知前附表。 </w:t>
      </w:r>
      <w:r>
        <w:rPr>
          <w:rFonts w:hint="eastAsia" w:ascii="宋体" w:hAnsi="宋体" w:cs="宋体"/>
          <w:szCs w:val="21"/>
          <w:highlight w:val="none"/>
        </w:rPr>
        <w:tab/>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47" w:name="_Toc426369483"/>
      <w:bookmarkStart w:id="48" w:name="_Toc279599774"/>
      <w:bookmarkStart w:id="49" w:name="_Toc403122495"/>
      <w:bookmarkStart w:id="50" w:name="_Toc274249578"/>
      <w:r>
        <w:rPr>
          <w:rFonts w:hint="eastAsia" w:ascii="宋体" w:hAnsi="宋体" w:cs="宋体"/>
          <w:b/>
          <w:bCs/>
          <w:szCs w:val="21"/>
          <w:highlight w:val="none"/>
        </w:rPr>
        <w:t>1.4 供应商资格要求</w:t>
      </w:r>
      <w:bookmarkEnd w:id="47"/>
      <w:bookmarkEnd w:id="48"/>
      <w:bookmarkEnd w:id="49"/>
      <w:bookmarkEnd w:id="50"/>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1.4.1 供应商应具备承担本招标项目的资格条件。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（1）供应商资格条件：见供应商须知前附表；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bookmarkStart w:id="51" w:name="_Toc403122496"/>
      <w:bookmarkStart w:id="52" w:name="_Toc274249579"/>
      <w:bookmarkStart w:id="53" w:name="_Toc279599775"/>
      <w:r>
        <w:rPr>
          <w:rFonts w:hint="eastAsia" w:ascii="宋体" w:hAnsi="宋体" w:cs="宋体"/>
          <w:szCs w:val="21"/>
          <w:highlight w:val="none"/>
        </w:rPr>
        <w:t>1.4.2 本次招标</w:t>
      </w:r>
      <w:r>
        <w:rPr>
          <w:rFonts w:hint="eastAsia" w:ascii="宋体" w:hAnsi="宋体" w:cs="宋体"/>
          <w:szCs w:val="21"/>
          <w:highlight w:val="none"/>
          <w:lang w:val="en-US" w:eastAsia="zh-CN"/>
        </w:rPr>
        <w:t>不</w:t>
      </w:r>
      <w:r>
        <w:rPr>
          <w:rFonts w:hint="eastAsia" w:ascii="宋体" w:hAnsi="宋体" w:cs="宋体"/>
          <w:szCs w:val="21"/>
          <w:highlight w:val="none"/>
        </w:rPr>
        <w:t>接受联合体投标。</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54" w:name="_Toc426369484"/>
      <w:r>
        <w:rPr>
          <w:rFonts w:hint="eastAsia" w:ascii="宋体" w:hAnsi="宋体" w:cs="宋体"/>
          <w:b/>
          <w:bCs/>
          <w:szCs w:val="21"/>
          <w:highlight w:val="none"/>
        </w:rPr>
        <w:t>1.5 费用承担</w:t>
      </w:r>
      <w:bookmarkEnd w:id="51"/>
      <w:bookmarkEnd w:id="52"/>
      <w:bookmarkEnd w:id="53"/>
      <w:bookmarkEnd w:id="54"/>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供应商准备和参加投标活动发生的费用自理。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55" w:name="_Toc426369485"/>
      <w:bookmarkStart w:id="56" w:name="_Toc403122497"/>
      <w:r>
        <w:rPr>
          <w:rFonts w:hint="eastAsia" w:ascii="宋体" w:hAnsi="宋体" w:cs="宋体"/>
          <w:b/>
          <w:bCs/>
          <w:szCs w:val="21"/>
          <w:highlight w:val="none"/>
        </w:rPr>
        <w:t>1.6 保密</w:t>
      </w:r>
      <w:bookmarkEnd w:id="55"/>
      <w:bookmarkEnd w:id="56"/>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参与招标投标活动的各方应对招标文件和投标文件中的商业和技术等秘密保密，违者应对由此造成的后果承担法律责任。</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57" w:name="_Toc403122498"/>
      <w:bookmarkStart w:id="58" w:name="_Toc274249581"/>
      <w:bookmarkStart w:id="59" w:name="_Toc426369486"/>
      <w:bookmarkStart w:id="60" w:name="_Toc279599777"/>
      <w:r>
        <w:rPr>
          <w:rFonts w:hint="eastAsia" w:ascii="宋体" w:hAnsi="宋体" w:cs="宋体"/>
          <w:b/>
          <w:bCs/>
          <w:szCs w:val="21"/>
          <w:highlight w:val="none"/>
        </w:rPr>
        <w:t>1.7 语言文字</w:t>
      </w:r>
      <w:bookmarkEnd w:id="57"/>
      <w:bookmarkEnd w:id="58"/>
      <w:bookmarkEnd w:id="59"/>
      <w:bookmarkEnd w:id="60"/>
      <w:r>
        <w:rPr>
          <w:rFonts w:hint="eastAsia" w:ascii="宋体" w:hAnsi="宋体" w:cs="宋体"/>
          <w:b/>
          <w:bCs/>
          <w:szCs w:val="21"/>
          <w:highlight w:val="none"/>
        </w:rPr>
        <w:t xml:space="preserve">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1.7.1 采购文件以及投标人与采购人、采购代理机构就有关投标事宜的所有来往函电均应使用简体中文书写。</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61" w:name="_Toc403122499"/>
      <w:bookmarkStart w:id="62" w:name="_Toc426369487"/>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1.8 计量单位</w:t>
      </w:r>
      <w:bookmarkEnd w:id="61"/>
      <w:bookmarkEnd w:id="6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1.8.1关于投标计量单位，采购文件已有明确规定的，使用采购文件规定的计量单位；采购文件没有规定的，应采用中华人民共和国法定计量单位。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1.8.2本响应性文件所表述的时间均为北京时间。</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63" w:name="_Toc274249583"/>
      <w:bookmarkStart w:id="64" w:name="_Toc403122500"/>
      <w:bookmarkStart w:id="65" w:name="_Toc426369488"/>
      <w:bookmarkStart w:id="66" w:name="_Toc279599779"/>
      <w:r>
        <w:rPr>
          <w:rFonts w:hint="eastAsia" w:ascii="宋体" w:hAnsi="宋体" w:cs="宋体"/>
          <w:b/>
          <w:bCs/>
          <w:szCs w:val="21"/>
          <w:highlight w:val="none"/>
        </w:rPr>
        <w:t>1.9 踏勘现场</w:t>
      </w:r>
      <w:bookmarkEnd w:id="63"/>
      <w:bookmarkEnd w:id="64"/>
      <w:bookmarkEnd w:id="65"/>
      <w:bookmarkEnd w:id="66"/>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1.9.1  由于项目特殊性，本次招标需供应商自行勘查。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67" w:name="_Toc426369489"/>
      <w:bookmarkStart w:id="68" w:name="_Toc274249584"/>
      <w:bookmarkStart w:id="69" w:name="_Toc279599780"/>
      <w:bookmarkStart w:id="70" w:name="_Toc403122501"/>
      <w:r>
        <w:rPr>
          <w:rFonts w:hint="eastAsia" w:ascii="宋体" w:hAnsi="宋体" w:cs="宋体"/>
          <w:b/>
          <w:bCs/>
          <w:szCs w:val="21"/>
          <w:highlight w:val="none"/>
        </w:rPr>
        <w:t>1.10 投标预备会</w:t>
      </w:r>
      <w:bookmarkEnd w:id="67"/>
      <w:bookmarkEnd w:id="68"/>
      <w:bookmarkEnd w:id="69"/>
      <w:bookmarkEnd w:id="70"/>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1.10.1 本次招标不召开投标预备会。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1.10.2 供应商应在供应商须知前附表规定的时间前，以书面形式将提出的问题送达招标代理人。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1.10.3 采购人在供应商须知前附表规定的时间内，将对供应商所提问题的澄清，以书面方式通知所有已领取招标文件的供应商。该澄清内容为招标文件的组成部分。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71" w:name="_Toc279599781"/>
      <w:bookmarkStart w:id="72" w:name="_Toc426369490"/>
      <w:bookmarkStart w:id="73" w:name="_Toc274249585"/>
      <w:bookmarkStart w:id="74" w:name="_Toc403122502"/>
      <w:r>
        <w:rPr>
          <w:rFonts w:hint="eastAsia" w:ascii="宋体" w:hAnsi="宋体" w:cs="宋体"/>
          <w:b/>
          <w:bCs/>
          <w:szCs w:val="21"/>
          <w:highlight w:val="none"/>
        </w:rPr>
        <w:t>1.11 分包</w:t>
      </w:r>
      <w:bookmarkEnd w:id="71"/>
      <w:bookmarkEnd w:id="72"/>
      <w:bookmarkEnd w:id="73"/>
      <w:bookmarkEnd w:id="74"/>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本次招标项目不允许分包。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75" w:name="_Toc9121"/>
      <w:bookmarkStart w:id="76" w:name="_Toc22882"/>
      <w:bookmarkStart w:id="77" w:name="_Toc28663"/>
      <w:bookmarkStart w:id="78" w:name="_Toc730"/>
      <w:r>
        <w:rPr>
          <w:rFonts w:hint="eastAsia" w:ascii="宋体" w:hAnsi="宋体" w:cs="宋体"/>
          <w:b/>
          <w:bCs/>
          <w:szCs w:val="21"/>
          <w:highlight w:val="none"/>
        </w:rPr>
        <w:t>2. 招标文件</w:t>
      </w:r>
      <w:bookmarkEnd w:id="32"/>
      <w:bookmarkEnd w:id="33"/>
      <w:bookmarkEnd w:id="34"/>
      <w:bookmarkEnd w:id="75"/>
      <w:bookmarkEnd w:id="76"/>
      <w:bookmarkEnd w:id="77"/>
      <w:bookmarkEnd w:id="78"/>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79" w:name="_Toc279599783"/>
      <w:bookmarkStart w:id="80" w:name="_Toc403122504"/>
      <w:bookmarkStart w:id="81" w:name="_Toc274249587"/>
      <w:bookmarkStart w:id="82" w:name="_Toc426369492"/>
      <w:r>
        <w:rPr>
          <w:rFonts w:hint="eastAsia" w:ascii="宋体" w:hAnsi="宋体" w:cs="宋体"/>
          <w:b/>
          <w:bCs/>
          <w:szCs w:val="21"/>
          <w:highlight w:val="none"/>
        </w:rPr>
        <w:t>2.1 招标文件的组成</w:t>
      </w:r>
      <w:bookmarkEnd w:id="79"/>
      <w:bookmarkEnd w:id="80"/>
      <w:bookmarkEnd w:id="81"/>
      <w:bookmarkEnd w:id="8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本招标文件包括： </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（2）供应商须知； </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（3）评标办法（综合评分法）； </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（4）合同条款及格式； </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（5）采购需求及参数； </w:t>
      </w:r>
    </w:p>
    <w:p>
      <w:pPr>
        <w:keepNext w:val="0"/>
        <w:keepLines w:val="0"/>
        <w:tabs>
          <w:tab w:val="left" w:pos="525"/>
          <w:tab w:val="left" w:pos="63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（6）投标文件格式；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根据本章第 1.10 款、第 2.2 款和第2.3款对招标文件所作的澄清、修改，构成招标文件的组成部分。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83" w:name="_Toc279599784"/>
      <w:bookmarkStart w:id="84" w:name="_Toc274249588"/>
      <w:bookmarkStart w:id="85" w:name="_Toc426369493"/>
      <w:bookmarkStart w:id="86" w:name="_Toc403122505"/>
      <w:r>
        <w:rPr>
          <w:rFonts w:hint="eastAsia" w:ascii="宋体" w:hAnsi="宋体" w:cs="宋体"/>
          <w:b/>
          <w:bCs/>
          <w:szCs w:val="21"/>
          <w:highlight w:val="none"/>
        </w:rPr>
        <w:t>2.2 招标文件的澄清</w:t>
      </w:r>
      <w:bookmarkEnd w:id="83"/>
      <w:bookmarkEnd w:id="84"/>
      <w:bookmarkEnd w:id="85"/>
      <w:bookmarkEnd w:id="86"/>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2.2.3 供应商在收到澄清后，应在供应商须知前附表规定的时间内以书面形式通知采购人，确认已收到该澄清。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87" w:name="_Toc403122506"/>
      <w:bookmarkStart w:id="88" w:name="_Toc279599785"/>
      <w:bookmarkStart w:id="89" w:name="_Toc426369494"/>
      <w:bookmarkStart w:id="90" w:name="_Toc274249589"/>
      <w:r>
        <w:rPr>
          <w:rFonts w:hint="eastAsia" w:ascii="宋体" w:hAnsi="宋体" w:cs="宋体"/>
          <w:b/>
          <w:bCs/>
          <w:szCs w:val="21"/>
          <w:highlight w:val="none"/>
        </w:rPr>
        <w:t>2.3 招标文件的修改</w:t>
      </w:r>
      <w:bookmarkEnd w:id="87"/>
      <w:bookmarkEnd w:id="88"/>
      <w:bookmarkEnd w:id="89"/>
      <w:bookmarkEnd w:id="90"/>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2.3.2  供应商收到修改内容后，应在供应商须知前附表规定的时间内以书面形式通知采购人，确认已收到该修改。 </w:t>
      </w:r>
      <w:bookmarkStart w:id="91" w:name="_Toc403122507"/>
      <w:bookmarkStart w:id="92" w:name="_Toc426369495"/>
      <w:bookmarkStart w:id="93" w:name="_Toc23265"/>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94" w:name="_Toc18859"/>
      <w:bookmarkStart w:id="95" w:name="_Toc22914"/>
      <w:bookmarkStart w:id="96" w:name="_Toc13865"/>
      <w:bookmarkStart w:id="97" w:name="_Toc8052"/>
      <w:r>
        <w:rPr>
          <w:rFonts w:hint="eastAsia" w:ascii="宋体" w:hAnsi="宋体" w:cs="宋体"/>
          <w:b/>
          <w:bCs/>
          <w:szCs w:val="21"/>
          <w:highlight w:val="none"/>
        </w:rPr>
        <w:t>3. 投标文件</w:t>
      </w:r>
      <w:bookmarkEnd w:id="91"/>
      <w:bookmarkEnd w:id="92"/>
      <w:bookmarkEnd w:id="93"/>
      <w:bookmarkEnd w:id="94"/>
      <w:bookmarkEnd w:id="95"/>
      <w:bookmarkEnd w:id="96"/>
      <w:bookmarkEnd w:id="97"/>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98" w:name="_Toc403122508"/>
      <w:bookmarkStart w:id="99" w:name="_Toc274249591"/>
      <w:bookmarkStart w:id="100" w:name="_Toc426369496"/>
      <w:bookmarkStart w:id="101" w:name="_Toc279599787"/>
      <w:r>
        <w:rPr>
          <w:rFonts w:hint="eastAsia" w:ascii="宋体" w:hAnsi="宋体" w:cs="宋体"/>
          <w:b/>
          <w:bCs/>
          <w:szCs w:val="21"/>
          <w:highlight w:val="none"/>
        </w:rPr>
        <w:t>3.1 投标文件的组成</w:t>
      </w:r>
      <w:bookmarkEnd w:id="98"/>
      <w:bookmarkEnd w:id="99"/>
      <w:bookmarkEnd w:id="100"/>
      <w:bookmarkEnd w:id="101"/>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3.1.1 投标文件应包括下列内容：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bookmarkStart w:id="102" w:name="_Toc279599788"/>
      <w:bookmarkStart w:id="103" w:name="_Toc274249592"/>
      <w:bookmarkStart w:id="104" w:name="_Toc403122509"/>
      <w:bookmarkStart w:id="105" w:name="_Toc426369497"/>
      <w:r>
        <w:rPr>
          <w:rFonts w:hint="eastAsia" w:ascii="宋体" w:hAnsi="宋体" w:cs="宋体"/>
          <w:szCs w:val="21"/>
          <w:highlight w:val="none"/>
        </w:rPr>
        <w:t>一、投标函及开标一览表</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（二）开标一览表</w:t>
      </w:r>
    </w:p>
    <w:p>
      <w:pPr>
        <w:keepNext w:val="0"/>
        <w:keepLines w:val="0"/>
        <w:kinsoku/>
        <w:wordWrap/>
        <w:overflowPunct/>
        <w:topLinePunct w:val="0"/>
        <w:bidi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（三）投标报价明细表</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二、法定代表人身份证明书</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四</w:t>
      </w:r>
      <w:r>
        <w:rPr>
          <w:rFonts w:hint="eastAsia" w:ascii="宋体" w:hAnsi="宋体" w:cs="宋体"/>
          <w:szCs w:val="21"/>
          <w:highlight w:val="none"/>
        </w:rPr>
        <w:t>、供应商的资格证明承诺函；</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五</w:t>
      </w:r>
      <w:r>
        <w:rPr>
          <w:rFonts w:hint="eastAsia" w:ascii="宋体" w:hAnsi="宋体" w:cs="宋体"/>
          <w:szCs w:val="21"/>
          <w:highlight w:val="none"/>
        </w:rPr>
        <w:t>、中小企业声明函（如有）；</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（一）</w:t>
      </w:r>
      <w:r>
        <w:rPr>
          <w:rFonts w:hint="eastAsia" w:ascii="宋体" w:hAnsi="宋体" w:cs="宋体"/>
          <w:szCs w:val="21"/>
          <w:highlight w:val="none"/>
        </w:rPr>
        <w:t>中小企业声明函（如有）</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残疾人福利性单位声明函（如有）</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六、技术方案</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七、安装调试、验收方案</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八、供应商服务承诺和优惠承诺</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九</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投标货物技术偏离表</w:t>
      </w:r>
    </w:p>
    <w:p>
      <w:pPr>
        <w:pStyle w:val="3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 w:firstLineChars="200"/>
        <w:textAlignment w:val="baseline"/>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十、</w:t>
      </w:r>
      <w:r>
        <w:rPr>
          <w:rFonts w:hint="eastAsia" w:ascii="宋体" w:hAnsi="宋体" w:eastAsia="宋体" w:cs="宋体"/>
          <w:kern w:val="2"/>
          <w:sz w:val="21"/>
          <w:szCs w:val="21"/>
          <w:highlight w:val="none"/>
          <w:lang w:val="en-US" w:eastAsia="zh-CN" w:bidi="ar-SA"/>
        </w:rPr>
        <w:t>供应商所投产品属于当期政府采购清单规定的节能环保产品的证明材料（如有）</w:t>
      </w:r>
    </w:p>
    <w:p>
      <w:pPr>
        <w:keepNext w:val="0"/>
        <w:keepLines w:val="0"/>
        <w:kinsoku/>
        <w:wordWrap/>
        <w:overflowPunct/>
        <w:topLinePunct w:val="0"/>
        <w:bidi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十一</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无缝对接承诺函</w:t>
      </w:r>
    </w:p>
    <w:p>
      <w:pPr>
        <w:keepNext w:val="0"/>
        <w:keepLines w:val="0"/>
        <w:kinsoku/>
        <w:wordWrap/>
        <w:overflowPunct/>
        <w:topLinePunct w:val="0"/>
        <w:bidi w:val="0"/>
        <w:snapToGri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十二、</w:t>
      </w:r>
      <w:r>
        <w:rPr>
          <w:rFonts w:hint="eastAsia" w:ascii="宋体" w:hAnsi="宋体" w:eastAsia="宋体" w:cs="宋体"/>
          <w:kern w:val="2"/>
          <w:sz w:val="21"/>
          <w:szCs w:val="21"/>
          <w:highlight w:val="none"/>
          <w:lang w:val="en-US" w:eastAsia="zh-CN" w:bidi="ar-SA"/>
        </w:rPr>
        <w:t>招标文件要求的或投标人认为需要加以说明的其他内容。</w:t>
      </w:r>
    </w:p>
    <w:p>
      <w:pPr>
        <w:keepNext w:val="0"/>
        <w:keepLines w:val="0"/>
        <w:widowControl/>
        <w:kinsoku/>
        <w:wordWrap/>
        <w:overflowPunct/>
        <w:topLinePunct w:val="0"/>
        <w:bidi w:val="0"/>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注：1、符合《政府采购法》第二十二条规定的资格条件，按照采购文件约定提供资格承诺，不再提供资质资料，主要包括投标人在响应</w:t>
      </w:r>
      <w:r>
        <w:rPr>
          <w:rFonts w:hint="eastAsia" w:ascii="宋体" w:hAnsi="宋体" w:cs="宋体"/>
          <w:b/>
          <w:bCs/>
          <w:szCs w:val="21"/>
          <w:highlight w:val="none"/>
        </w:rPr>
        <w:t>文件中</w:t>
      </w:r>
      <w:r>
        <w:rPr>
          <w:rFonts w:hint="eastAsia" w:ascii="宋体" w:hAnsi="宋体" w:cs="宋体"/>
          <w:b/>
          <w:bCs/>
          <w:szCs w:val="21"/>
          <w:highlight w:val="none"/>
        </w:rPr>
        <w:t>无需再提供营业执</w:t>
      </w:r>
      <w:r>
        <w:rPr>
          <w:rFonts w:hint="eastAsia" w:ascii="宋体" w:hAnsi="宋体" w:cs="宋体"/>
          <w:b/>
          <w:bCs/>
          <w:szCs w:val="21"/>
          <w:highlight w:val="none"/>
          <w:lang w:val="en-US" w:eastAsia="zh-CN"/>
        </w:rPr>
        <w:t>照</w:t>
      </w:r>
      <w:r>
        <w:rPr>
          <w:rFonts w:hint="eastAsia" w:ascii="宋体" w:hAnsi="宋体" w:cs="宋体"/>
          <w:b/>
          <w:bCs/>
          <w:szCs w:val="21"/>
          <w:highlight w:val="none"/>
          <w:lang w:eastAsia="zh-CN"/>
        </w:rPr>
        <w:t>、</w:t>
      </w:r>
      <w:r>
        <w:rPr>
          <w:rFonts w:hint="eastAsia" w:ascii="宋体" w:hAnsi="宋体" w:cs="宋体"/>
          <w:b/>
          <w:bCs/>
          <w:szCs w:val="21"/>
          <w:highlight w:val="none"/>
        </w:rPr>
        <w:t>财务状况报告、依法缴纳税收和社会保障资金、具有履行合同所必须的设备和专业技术能力、参加政府采购活动前三年内在经营活动中没有重大违法记录相关证明材料。</w:t>
      </w:r>
    </w:p>
    <w:p>
      <w:pPr>
        <w:keepNext w:val="0"/>
        <w:keepLines w:val="0"/>
        <w:widowControl/>
        <w:kinsoku/>
        <w:wordWrap/>
        <w:overflowPunct/>
        <w:topLinePunct w:val="0"/>
        <w:bidi w:val="0"/>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szCs w:val="21"/>
          <w:highlight w:val="none"/>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szCs w:val="21"/>
          <w:highlight w:val="none"/>
        </w:rPr>
        <w:t>。</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3.2 投标报价</w:t>
      </w:r>
      <w:bookmarkEnd w:id="102"/>
      <w:bookmarkEnd w:id="103"/>
      <w:bookmarkEnd w:id="104"/>
      <w:bookmarkEnd w:id="105"/>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bookmarkStart w:id="106" w:name="_Toc279599789"/>
      <w:bookmarkStart w:id="107" w:name="_Toc274249593"/>
      <w:bookmarkStart w:id="108" w:name="_Toc403122510"/>
      <w:bookmarkStart w:id="109" w:name="_Toc426369498"/>
      <w:r>
        <w:rPr>
          <w:rFonts w:hint="eastAsia" w:ascii="宋体" w:hAnsi="宋体" w:cs="宋体"/>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w:t>
      </w:r>
      <w:r>
        <w:rPr>
          <w:rFonts w:hint="eastAsia" w:ascii="宋体" w:hAnsi="宋体" w:cs="宋体"/>
          <w:szCs w:val="21"/>
          <w:highlight w:val="none"/>
        </w:rPr>
        <w:t>人所报的投标价在投标有效期内是固定不变的，投标人不得以任何理由予以变更。</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3.2.2投标报价在中标后不得修改。</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3.2.3投标人只能提出一个不变价格，采购人不接受任何选择价。</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3.2.4投标人必须对招标范围内的所有服务投标。</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3.2.5全部报价均应以人民币为计量币种，并以人民币进行结算。</w:t>
      </w:r>
    </w:p>
    <w:p>
      <w:pPr>
        <w:keepNext w:val="0"/>
        <w:keepLines w:val="0"/>
        <w:kinsoku/>
        <w:wordWrap/>
        <w:overflowPunct/>
        <w:topLinePunct w:val="0"/>
        <w:bidi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3.2.6投标报价原则是各投标人依据自身实力、管理水平，结合企业所在地区的人工工资标准，在确保项目质量，确保项目成本的基础上，自主报价、自负盈亏。</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3.3 投标有效期</w:t>
      </w:r>
      <w:bookmarkEnd w:id="106"/>
      <w:bookmarkEnd w:id="107"/>
      <w:bookmarkEnd w:id="108"/>
      <w:bookmarkEnd w:id="109"/>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3.3.1在供应商须知前附表规定的投标有效期内，供应商不得要求撤销或修改其投标文件。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10" w:name="_Toc274249595"/>
      <w:bookmarkStart w:id="111" w:name="_Toc403122512"/>
      <w:bookmarkStart w:id="112" w:name="_Toc279599791"/>
      <w:bookmarkStart w:id="113" w:name="_Toc426369501"/>
      <w:r>
        <w:rPr>
          <w:rFonts w:hint="eastAsia" w:ascii="宋体" w:hAnsi="宋体" w:cs="宋体"/>
          <w:b/>
          <w:bCs/>
          <w:szCs w:val="21"/>
          <w:highlight w:val="none"/>
        </w:rPr>
        <w:t>3.5 资格审查资料</w:t>
      </w:r>
      <w:bookmarkEnd w:id="110"/>
      <w:bookmarkEnd w:id="111"/>
      <w:bookmarkEnd w:id="112"/>
      <w:bookmarkEnd w:id="113"/>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kern w:val="0"/>
          <w:szCs w:val="21"/>
          <w:highlight w:val="none"/>
        </w:rPr>
        <w:t>依据“投标人须知前附表”中的要求提交相应的资格证明文件，作为投标文件的一部分，以证明其有资格进行投标和有能力履行合同</w:t>
      </w:r>
      <w:r>
        <w:rPr>
          <w:rFonts w:hint="eastAsia" w:ascii="宋体" w:hAnsi="宋体" w:cs="宋体"/>
          <w:szCs w:val="21"/>
          <w:highlight w:val="none"/>
        </w:rPr>
        <w:t xml:space="preserve">。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3.5.2招标文件规定的供应商资格条件。</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14" w:name="_Toc403122513"/>
      <w:bookmarkStart w:id="115" w:name="_Toc426369502"/>
      <w:bookmarkStart w:id="116" w:name="_Toc279599792"/>
      <w:bookmarkStart w:id="117" w:name="_Toc274249596"/>
      <w:r>
        <w:rPr>
          <w:rFonts w:hint="eastAsia" w:ascii="宋体" w:hAnsi="宋体" w:cs="宋体"/>
          <w:b/>
          <w:bCs/>
          <w:szCs w:val="21"/>
          <w:highlight w:val="none"/>
        </w:rPr>
        <w:t>3.6 备选投标方案</w:t>
      </w:r>
      <w:bookmarkEnd w:id="114"/>
      <w:bookmarkEnd w:id="115"/>
      <w:bookmarkEnd w:id="116"/>
      <w:bookmarkEnd w:id="117"/>
    </w:p>
    <w:p>
      <w:pPr>
        <w:keepNext w:val="0"/>
        <w:keepLines w:val="0"/>
        <w:tabs>
          <w:tab w:val="left" w:pos="3570"/>
        </w:tabs>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供应商不得递交备选投标方案。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18" w:name="_Toc274249597"/>
      <w:bookmarkStart w:id="119" w:name="_Toc279599793"/>
      <w:bookmarkStart w:id="120" w:name="_Toc403122514"/>
      <w:bookmarkStart w:id="121" w:name="_Toc426369503"/>
      <w:r>
        <w:rPr>
          <w:rFonts w:hint="eastAsia" w:ascii="宋体" w:hAnsi="宋体" w:cs="宋体"/>
          <w:b/>
          <w:bCs/>
          <w:szCs w:val="21"/>
          <w:highlight w:val="none"/>
        </w:rPr>
        <w:t>3.7 投标文件的编制</w:t>
      </w:r>
      <w:bookmarkEnd w:id="118"/>
      <w:bookmarkEnd w:id="119"/>
      <w:bookmarkEnd w:id="120"/>
      <w:bookmarkEnd w:id="121"/>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投标文件应按招标文件中要求</w:t>
      </w:r>
      <w:r>
        <w:rPr>
          <w:rFonts w:hint="eastAsia" w:ascii="宋体" w:hAnsi="宋体" w:cs="宋体"/>
          <w:kern w:val="0"/>
          <w:szCs w:val="21"/>
          <w:highlight w:val="none"/>
        </w:rPr>
        <w:t>使用焦作市公共资源交易系统投标文件制作专用工具软件编制</w:t>
      </w:r>
      <w:r>
        <w:rPr>
          <w:rFonts w:hint="eastAsia" w:ascii="宋体" w:hAnsi="宋体" w:cs="宋体"/>
          <w:szCs w:val="21"/>
          <w:highlight w:val="none"/>
        </w:rPr>
        <w:t xml:space="preserve">。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投标文件应当对招标文件有关投标报价、</w:t>
      </w:r>
      <w:r>
        <w:rPr>
          <w:rFonts w:hint="eastAsia" w:ascii="宋体" w:hAnsi="宋体" w:cs="宋体"/>
          <w:szCs w:val="21"/>
          <w:highlight w:val="none"/>
        </w:rPr>
        <w:t>合同履行期限</w:t>
      </w:r>
      <w:r>
        <w:rPr>
          <w:rFonts w:hint="eastAsia" w:ascii="宋体" w:hAnsi="宋体" w:cs="宋体"/>
          <w:szCs w:val="21"/>
          <w:highlight w:val="none"/>
          <w:lang w:eastAsia="zh-CN"/>
        </w:rPr>
        <w:t>（供货安装期）</w:t>
      </w:r>
      <w:r>
        <w:rPr>
          <w:rFonts w:hint="eastAsia" w:ascii="宋体" w:hAnsi="宋体" w:cs="宋体"/>
          <w:szCs w:val="21"/>
          <w:highlight w:val="none"/>
        </w:rPr>
        <w:t>、质量要求等等实质性内容作出响应。</w:t>
      </w:r>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3.7.3 </w:t>
      </w:r>
      <w:r>
        <w:rPr>
          <w:rFonts w:hint="eastAsia" w:ascii="宋体" w:hAnsi="宋体" w:cs="宋体"/>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22" w:name="_Toc426369504"/>
      <w:bookmarkStart w:id="123" w:name="_Toc26998"/>
      <w:bookmarkStart w:id="124" w:name="_Toc403122515"/>
      <w:bookmarkStart w:id="125" w:name="_Toc31809"/>
      <w:bookmarkStart w:id="126" w:name="_Toc24133"/>
      <w:bookmarkStart w:id="127" w:name="_Toc30100"/>
      <w:bookmarkStart w:id="128" w:name="_Toc25921"/>
      <w:r>
        <w:rPr>
          <w:rFonts w:hint="eastAsia" w:ascii="宋体" w:hAnsi="宋体" w:cs="宋体"/>
          <w:b/>
          <w:bCs/>
          <w:szCs w:val="21"/>
          <w:highlight w:val="none"/>
        </w:rPr>
        <w:t>4. 投标</w:t>
      </w:r>
      <w:bookmarkEnd w:id="122"/>
      <w:bookmarkEnd w:id="123"/>
      <w:bookmarkEnd w:id="124"/>
      <w:bookmarkEnd w:id="125"/>
      <w:bookmarkEnd w:id="126"/>
      <w:bookmarkEnd w:id="127"/>
      <w:bookmarkEnd w:id="128"/>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29" w:name="_Toc426369505"/>
      <w:bookmarkStart w:id="130" w:name="_Toc274249599"/>
      <w:bookmarkStart w:id="131" w:name="_Toc403122516"/>
      <w:bookmarkStart w:id="132" w:name="_Toc279599795"/>
      <w:r>
        <w:rPr>
          <w:rFonts w:hint="eastAsia" w:ascii="宋体" w:hAnsi="宋体" w:cs="宋体"/>
          <w:b/>
          <w:bCs/>
          <w:szCs w:val="21"/>
          <w:highlight w:val="none"/>
        </w:rPr>
        <w:t>4.1 投标文件的密封和标记</w:t>
      </w:r>
      <w:bookmarkEnd w:id="129"/>
      <w:bookmarkEnd w:id="130"/>
      <w:bookmarkEnd w:id="131"/>
      <w:bookmarkEnd w:id="132"/>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4.1.1.本项目采用</w:t>
      </w:r>
      <w:r>
        <w:rPr>
          <w:rFonts w:hint="eastAsia" w:ascii="宋体" w:hAnsi="宋体" w:cs="宋体"/>
          <w:kern w:val="0"/>
          <w:szCs w:val="21"/>
          <w:highlight w:val="none"/>
          <w:lang w:val="zh-CN"/>
        </w:rPr>
        <w:t>网上上传的电子投标文件</w:t>
      </w:r>
      <w:r>
        <w:rPr>
          <w:rFonts w:hint="eastAsia" w:ascii="宋体" w:hAnsi="宋体" w:cs="宋体"/>
          <w:kern w:val="0"/>
          <w:szCs w:val="21"/>
          <w:highlight w:val="none"/>
        </w:rPr>
        <w:t>,</w:t>
      </w:r>
      <w:r>
        <w:rPr>
          <w:rFonts w:hint="eastAsia" w:ascii="宋体" w:hAnsi="宋体" w:cs="宋体"/>
          <w:kern w:val="0"/>
          <w:szCs w:val="21"/>
          <w:highlight w:val="none"/>
          <w:lang w:val="zh-CN"/>
        </w:rPr>
        <w:t>应使用数字证书认证并加密。</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33" w:name="_Toc274249600"/>
      <w:bookmarkStart w:id="134" w:name="_Toc279599796"/>
      <w:bookmarkStart w:id="135" w:name="_Toc403122517"/>
      <w:bookmarkStart w:id="136" w:name="_Toc426369506"/>
      <w:r>
        <w:rPr>
          <w:rFonts w:hint="eastAsia" w:ascii="宋体" w:hAnsi="宋体" w:cs="宋体"/>
          <w:b/>
          <w:bCs/>
          <w:szCs w:val="21"/>
          <w:highlight w:val="none"/>
        </w:rPr>
        <w:t>4.2 投标文件的递交</w:t>
      </w:r>
      <w:bookmarkEnd w:id="133"/>
      <w:bookmarkEnd w:id="134"/>
      <w:bookmarkEnd w:id="135"/>
      <w:bookmarkEnd w:id="136"/>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rPr>
        <w:t>4.2.1</w:t>
      </w:r>
      <w:r>
        <w:rPr>
          <w:rFonts w:hint="eastAsia" w:ascii="宋体" w:hAnsi="宋体" w:cs="宋体"/>
          <w:kern w:val="0"/>
          <w:szCs w:val="21"/>
          <w:highlight w:val="none"/>
          <w:lang w:val="zh-CN"/>
        </w:rPr>
        <w:t>所有投标文件必须在本招标文件中规定的投标截止时间之前</w:t>
      </w:r>
      <w:r>
        <w:rPr>
          <w:rFonts w:hint="eastAsia" w:ascii="宋体" w:hAnsi="宋体" w:cs="宋体"/>
          <w:kern w:val="0"/>
          <w:szCs w:val="21"/>
          <w:highlight w:val="none"/>
        </w:rPr>
        <w:t>提前上传，按要求</w:t>
      </w:r>
      <w:r>
        <w:rPr>
          <w:rFonts w:hint="eastAsia" w:ascii="宋体" w:hAnsi="宋体" w:cs="宋体"/>
          <w:szCs w:val="21"/>
          <w:highlight w:val="none"/>
        </w:rPr>
        <w:t>在线签到、解密文件等，解密时间为投标截止时后30分钟内，</w:t>
      </w:r>
      <w:r>
        <w:rPr>
          <w:rFonts w:hint="eastAsia" w:ascii="宋体" w:hAnsi="宋体" w:cs="宋体"/>
          <w:kern w:val="0"/>
          <w:szCs w:val="21"/>
          <w:highlight w:val="none"/>
        </w:rPr>
        <w:t>不能按时上传、解密者视为自动放弃投标。</w:t>
      </w:r>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4.2.</w:t>
      </w:r>
      <w:r>
        <w:rPr>
          <w:rFonts w:hint="eastAsia" w:ascii="宋体" w:hAnsi="宋体" w:cs="宋体"/>
          <w:kern w:val="0"/>
          <w:szCs w:val="21"/>
          <w:highlight w:val="none"/>
          <w:lang w:val="zh-CN"/>
        </w:rPr>
        <w:t>2.采购人拒绝接收在投标文件递交截止时间后上传的投标文件。</w:t>
      </w:r>
      <w:bookmarkStart w:id="137" w:name="_Hlt26954754"/>
      <w:bookmarkEnd w:id="137"/>
      <w:bookmarkStart w:id="138" w:name="_Hlt26954862"/>
      <w:bookmarkEnd w:id="138"/>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39" w:name="_Toc279599797"/>
      <w:bookmarkStart w:id="140" w:name="_Toc274249601"/>
      <w:bookmarkStart w:id="141" w:name="_Toc403122518"/>
      <w:bookmarkStart w:id="142" w:name="_Toc426369507"/>
      <w:r>
        <w:rPr>
          <w:rFonts w:hint="eastAsia" w:ascii="宋体" w:hAnsi="宋体" w:cs="宋体"/>
          <w:b/>
          <w:bCs/>
          <w:szCs w:val="21"/>
          <w:highlight w:val="none"/>
        </w:rPr>
        <w:t>4.3 投标文件的修改与撤回</w:t>
      </w:r>
      <w:bookmarkEnd w:id="139"/>
      <w:bookmarkEnd w:id="140"/>
      <w:bookmarkEnd w:id="141"/>
      <w:bookmarkEnd w:id="14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4.3.1  在本章第 2.2.2 项规定的投标截止时间前，供应商可以修改或撤回已递交的投标文件。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4.3.2  供应商修改或撤回已递交投标文件的书面通知应按照本章第 3.7.3 项的要求签字盖章。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4.3.3  修改的内容为投标文件的组成部分。修改的投标文件应按照本章第 3 条、第 4 条规定进行编制、密封、标记和递交，并标明“修改”字样。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43" w:name="_Toc18170"/>
      <w:bookmarkStart w:id="144" w:name="_Toc403122519"/>
      <w:bookmarkStart w:id="145" w:name="_Toc9092"/>
      <w:bookmarkStart w:id="146" w:name="_Toc32449"/>
      <w:bookmarkStart w:id="147" w:name="_Toc5457"/>
      <w:bookmarkStart w:id="148" w:name="_Toc426369508"/>
      <w:bookmarkStart w:id="149" w:name="_Toc14525"/>
      <w:r>
        <w:rPr>
          <w:rFonts w:hint="eastAsia" w:ascii="宋体" w:hAnsi="宋体" w:cs="宋体"/>
          <w:b/>
          <w:bCs/>
          <w:szCs w:val="21"/>
          <w:highlight w:val="none"/>
        </w:rPr>
        <w:t>5. 开标</w:t>
      </w:r>
      <w:bookmarkEnd w:id="143"/>
      <w:bookmarkEnd w:id="144"/>
      <w:bookmarkEnd w:id="145"/>
      <w:bookmarkEnd w:id="146"/>
      <w:bookmarkEnd w:id="147"/>
      <w:bookmarkEnd w:id="148"/>
      <w:bookmarkEnd w:id="149"/>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所有投标文件必须在本招标文件中规定的投标截止时间之前提前上传投标文件，按要求解密投标文件，不能按时上传、解密者视为自动放弃投标。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5.1.2投标人不足3家的，不得开标。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50" w:name="_Toc279599799"/>
      <w:bookmarkStart w:id="151" w:name="_Toc426369509"/>
      <w:bookmarkStart w:id="152" w:name="_Toc274249603"/>
      <w:bookmarkStart w:id="153" w:name="_Toc403122520"/>
      <w:r>
        <w:rPr>
          <w:rFonts w:hint="eastAsia" w:ascii="宋体" w:hAnsi="宋体" w:cs="宋体"/>
          <w:b/>
          <w:bCs/>
          <w:szCs w:val="21"/>
          <w:highlight w:val="none"/>
        </w:rPr>
        <w:t>5.2 开标时间和地点</w:t>
      </w:r>
      <w:bookmarkEnd w:id="150"/>
      <w:bookmarkEnd w:id="151"/>
      <w:bookmarkEnd w:id="152"/>
      <w:bookmarkEnd w:id="153"/>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采购人在本章第 2.2.2 项规定的投标截止时间（开标时间）和供应商须知前附表规定的地点公开开标。</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54" w:name="_Toc426369510"/>
      <w:bookmarkStart w:id="155" w:name="_Toc279599800"/>
      <w:bookmarkStart w:id="156" w:name="_Toc274249604"/>
      <w:bookmarkStart w:id="157" w:name="_Toc403122521"/>
      <w:r>
        <w:rPr>
          <w:rFonts w:hint="eastAsia" w:ascii="宋体" w:hAnsi="宋体" w:cs="宋体"/>
          <w:b/>
          <w:bCs/>
          <w:szCs w:val="21"/>
          <w:highlight w:val="none"/>
        </w:rPr>
        <w:t>5.3开标程序</w:t>
      </w:r>
      <w:bookmarkEnd w:id="154"/>
      <w:bookmarkEnd w:id="155"/>
      <w:bookmarkEnd w:id="156"/>
      <w:bookmarkEnd w:id="157"/>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bookmarkStart w:id="158" w:name="_Toc426369511"/>
      <w:r>
        <w:rPr>
          <w:rFonts w:hint="eastAsia" w:ascii="宋体" w:hAnsi="宋体" w:cs="宋体"/>
          <w:szCs w:val="21"/>
          <w:highlight w:val="none"/>
        </w:rPr>
        <w:t>5.3</w:t>
      </w:r>
      <w:r>
        <w:rPr>
          <w:rFonts w:hint="eastAsia" w:ascii="宋体" w:hAnsi="宋体" w:cs="宋体"/>
          <w:szCs w:val="21"/>
          <w:highlight w:val="none"/>
          <w:lang w:val="zh-CN"/>
        </w:rPr>
        <w:t>.1本</w:t>
      </w:r>
      <w:r>
        <w:rPr>
          <w:rFonts w:hint="eastAsia" w:ascii="宋体" w:hAnsi="宋体" w:cs="宋体"/>
          <w:szCs w:val="21"/>
          <w:highlight w:val="none"/>
        </w:rPr>
        <w:t>项目</w:t>
      </w:r>
      <w:r>
        <w:rPr>
          <w:rFonts w:hint="eastAsia" w:ascii="宋体" w:hAnsi="宋体" w:cs="宋体"/>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主持人按下列程序进行开标：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1）</w:t>
      </w:r>
      <w:r>
        <w:rPr>
          <w:rFonts w:hint="eastAsia" w:ascii="宋体" w:hAnsi="宋体" w:cs="宋体"/>
          <w:szCs w:val="21"/>
          <w:highlight w:val="none"/>
          <w:lang w:val="zh-CN"/>
        </w:rPr>
        <w:t>宣布投标截止时间已到，不再接收投标文件；</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2）</w:t>
      </w:r>
      <w:r>
        <w:rPr>
          <w:rFonts w:hint="eastAsia" w:ascii="宋体" w:hAnsi="宋体" w:cs="宋体"/>
          <w:szCs w:val="21"/>
          <w:highlight w:val="none"/>
          <w:lang w:val="zh-CN"/>
        </w:rPr>
        <w:t>宣布开标人、唱标人、记录人、监标人等有关人员姓名；</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3）</w:t>
      </w:r>
      <w:r>
        <w:rPr>
          <w:rFonts w:hint="eastAsia" w:ascii="宋体" w:hAnsi="宋体" w:cs="宋体"/>
          <w:szCs w:val="21"/>
          <w:highlight w:val="none"/>
          <w:lang w:val="zh-CN"/>
        </w:rPr>
        <w:t>电子投标文件解密；</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）宣布投标文件开标顺序，电子唱标并记录在案；</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）投标人代表、采购人、监标人等有关人员在开标记录上签字确认；</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6）</w:t>
      </w:r>
      <w:r>
        <w:rPr>
          <w:rFonts w:hint="eastAsia" w:ascii="宋体" w:hAnsi="宋体" w:cs="宋体"/>
          <w:szCs w:val="21"/>
          <w:highlight w:val="none"/>
          <w:lang w:val="zh-CN"/>
        </w:rPr>
        <w:t>开标结束。</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5.3.</w:t>
      </w:r>
      <w:r>
        <w:rPr>
          <w:rFonts w:hint="eastAsia" w:ascii="宋体" w:hAnsi="宋体" w:cs="宋体"/>
          <w:szCs w:val="21"/>
          <w:highlight w:val="none"/>
        </w:rPr>
        <w:t>2</w:t>
      </w:r>
      <w:r>
        <w:rPr>
          <w:rFonts w:hint="eastAsia" w:ascii="宋体" w:hAnsi="宋体" w:cs="宋体"/>
          <w:szCs w:val="21"/>
          <w:highlight w:val="none"/>
          <w:lang w:val="zh-CN"/>
        </w:rPr>
        <w:t>开标时出现下列情况的，采购人将拒绝其投标文件。</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投标人未按投标人须知前附表规定的时间内解密投标文件的；</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5.4开标异议</w:t>
      </w:r>
      <w:bookmarkEnd w:id="158"/>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bookmarkStart w:id="159" w:name="_Toc21662"/>
      <w:bookmarkStart w:id="160" w:name="_Toc426369512"/>
      <w:bookmarkStart w:id="161" w:name="_Toc403122522"/>
      <w:bookmarkStart w:id="162" w:name="_Toc12881"/>
      <w:r>
        <w:rPr>
          <w:rFonts w:hint="eastAsia" w:ascii="宋体" w:hAnsi="宋体" w:cs="宋体"/>
          <w:szCs w:val="21"/>
          <w:highlight w:val="none"/>
        </w:rPr>
        <w:t>5.4.1</w:t>
      </w:r>
      <w:r>
        <w:rPr>
          <w:rFonts w:hint="eastAsia" w:ascii="宋体" w:hAnsi="宋体" w:cs="宋体"/>
          <w:szCs w:val="21"/>
          <w:highlight w:val="none"/>
          <w:lang w:val="zh-CN"/>
        </w:rPr>
        <w:t>投标人对开标有异议的，应当在开标现场提出（</w:t>
      </w:r>
      <w:bookmarkStart w:id="163" w:name="_Toc12998"/>
      <w:r>
        <w:rPr>
          <w:rFonts w:hint="eastAsia" w:ascii="宋体" w:hAnsi="宋体" w:cs="宋体"/>
          <w:szCs w:val="21"/>
          <w:highlight w:val="none"/>
          <w:lang w:val="zh-CN"/>
        </w:rPr>
        <w:t>语音异议</w:t>
      </w:r>
      <w:bookmarkEnd w:id="163"/>
      <w:r>
        <w:rPr>
          <w:rFonts w:hint="eastAsia" w:ascii="宋体" w:hAnsi="宋体" w:cs="宋体"/>
          <w:szCs w:val="21"/>
          <w:highlight w:val="none"/>
          <w:lang w:val="zh-CN"/>
        </w:rPr>
        <w:t>、</w:t>
      </w:r>
      <w:bookmarkStart w:id="164" w:name="_Toc20745"/>
      <w:r>
        <w:rPr>
          <w:rFonts w:hint="eastAsia" w:ascii="宋体" w:hAnsi="宋体" w:cs="宋体"/>
          <w:szCs w:val="21"/>
          <w:highlight w:val="none"/>
          <w:lang w:val="zh-CN"/>
        </w:rPr>
        <w:t>文字异议</w:t>
      </w:r>
      <w:bookmarkEnd w:id="164"/>
      <w:r>
        <w:rPr>
          <w:rFonts w:hint="eastAsia" w:ascii="宋体" w:hAnsi="宋体" w:cs="宋体"/>
          <w:szCs w:val="21"/>
          <w:highlight w:val="none"/>
          <w:lang w:val="zh-CN"/>
        </w:rPr>
        <w:t>），</w:t>
      </w:r>
      <w:r>
        <w:rPr>
          <w:rFonts w:hint="eastAsia" w:ascii="宋体" w:hAnsi="宋体" w:cs="宋体"/>
          <w:szCs w:val="21"/>
          <w:highlight w:val="none"/>
        </w:rPr>
        <w:t>采购</w:t>
      </w:r>
      <w:r>
        <w:rPr>
          <w:rFonts w:hint="eastAsia" w:ascii="宋体" w:hAnsi="宋体" w:cs="宋体"/>
          <w:szCs w:val="21"/>
          <w:highlight w:val="none"/>
          <w:lang w:val="zh-CN"/>
        </w:rPr>
        <w:t>人当场作出答复，并制作记录。</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5.4.2</w:t>
      </w:r>
      <w:r>
        <w:rPr>
          <w:rFonts w:hint="eastAsia" w:ascii="宋体" w:hAnsi="宋体" w:cs="宋体"/>
          <w:szCs w:val="21"/>
          <w:highlight w:val="none"/>
          <w:lang w:val="zh-CN"/>
        </w:rPr>
        <w:t>开标异常处理</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当出现以下情况时，应对未开标的项目中止电子开标，对原有资料及信息作出妥善保密处理，并在恢复正常后及时安排时间开标：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（l）系统服务器发生故障，无法访问或无法使用系统；</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（2）系统的软件或数据库出现错误，不能进行正常操作；</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（3）系统发现有安全漏洞，有潜在的泄密危险；</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）出现断电事故且短时间内无法恢复供电；</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rPr>
        <w:t>5）</w:t>
      </w:r>
      <w:r>
        <w:rPr>
          <w:rFonts w:hint="eastAsia" w:ascii="宋体" w:hAnsi="宋体" w:cs="宋体"/>
          <w:szCs w:val="21"/>
          <w:highlight w:val="none"/>
          <w:lang w:val="zh-CN"/>
        </w:rPr>
        <w:t>其他无法保证招投标过程正常进行的情形；</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w:t>
      </w:r>
      <w:bookmarkStart w:id="165" w:name="_Toc9927"/>
      <w:bookmarkStart w:id="166" w:name="_Toc13445"/>
      <w:r>
        <w:rPr>
          <w:rFonts w:hint="eastAsia" w:ascii="宋体" w:hAnsi="宋体" w:cs="宋体"/>
          <w:b/>
          <w:bCs/>
          <w:szCs w:val="21"/>
          <w:highlight w:val="none"/>
        </w:rPr>
        <w:t>5.资格审查工作</w:t>
      </w:r>
      <w:bookmarkEnd w:id="165"/>
      <w:bookmarkEnd w:id="166"/>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bookmarkStart w:id="167" w:name="_Toc25275"/>
      <w:bookmarkStart w:id="168" w:name="_Toc18803"/>
      <w:bookmarkStart w:id="169" w:name="_Toc18806"/>
      <w:bookmarkStart w:id="170" w:name="_Toc25448"/>
      <w:bookmarkStart w:id="171" w:name="_Toc18888"/>
      <w:bookmarkStart w:id="172" w:name="_Toc22488"/>
      <w:bookmarkStart w:id="173" w:name="_Toc15919"/>
      <w:r>
        <w:rPr>
          <w:rFonts w:hint="eastAsia" w:ascii="宋体" w:hAnsi="宋体" w:cs="宋体"/>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67"/>
      <w:bookmarkEnd w:id="168"/>
      <w:bookmarkEnd w:id="169"/>
      <w:bookmarkEnd w:id="170"/>
      <w:bookmarkEnd w:id="171"/>
      <w:bookmarkEnd w:id="172"/>
      <w:bookmarkEnd w:id="173"/>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74" w:name="_Toc28750"/>
      <w:bookmarkStart w:id="175" w:name="_Toc10388"/>
      <w:bookmarkStart w:id="176" w:name="_Toc6889"/>
      <w:r>
        <w:rPr>
          <w:rFonts w:hint="eastAsia" w:ascii="宋体" w:hAnsi="宋体" w:cs="宋体"/>
          <w:b/>
          <w:bCs/>
          <w:szCs w:val="21"/>
          <w:highlight w:val="none"/>
        </w:rPr>
        <w:t>6. 评标</w:t>
      </w:r>
      <w:bookmarkEnd w:id="159"/>
      <w:bookmarkEnd w:id="160"/>
      <w:bookmarkEnd w:id="161"/>
      <w:bookmarkEnd w:id="162"/>
      <w:bookmarkEnd w:id="174"/>
      <w:bookmarkEnd w:id="175"/>
      <w:bookmarkEnd w:id="176"/>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77" w:name="_Toc279599802"/>
      <w:bookmarkStart w:id="178" w:name="_Toc403122523"/>
      <w:bookmarkStart w:id="179" w:name="_Toc274249606"/>
      <w:bookmarkStart w:id="180" w:name="_Toc426369513"/>
      <w:r>
        <w:rPr>
          <w:rFonts w:hint="eastAsia" w:ascii="宋体" w:hAnsi="宋体" w:cs="宋体"/>
          <w:b/>
          <w:bCs/>
          <w:szCs w:val="21"/>
          <w:highlight w:val="none"/>
        </w:rPr>
        <w:t>6.1 评标委员会</w:t>
      </w:r>
      <w:bookmarkEnd w:id="177"/>
      <w:bookmarkEnd w:id="178"/>
      <w:bookmarkEnd w:id="179"/>
      <w:bookmarkEnd w:id="180"/>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  评标由采购人依法组建的评标委员会负责。评标委员会由采购人代表和评审专家组成。评标委员会成员人数以及评审专家的确定方式见供应商须知前附表。</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6.1.2  评标委员会成员有下列情形之一的，应当回避：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（1）采购人或供应商的主要负责人的近亲属；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（2）项目主管部门或者行政监督部门的人员；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（3）与供应商有经济利益关系，可能影响对投标公正评审的；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（4）曾因在招标、评标以及其他与招标投标有关活动中从事违法行为而受过行政处罚或刑事处罚的。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81" w:name="_Toc279599803"/>
      <w:bookmarkStart w:id="182" w:name="_Toc274249607"/>
      <w:bookmarkStart w:id="183" w:name="_Toc426369514"/>
      <w:bookmarkStart w:id="184" w:name="_Toc403122524"/>
      <w:r>
        <w:rPr>
          <w:rFonts w:hint="eastAsia" w:ascii="宋体" w:hAnsi="宋体" w:cs="宋体"/>
          <w:b/>
          <w:bCs/>
          <w:szCs w:val="21"/>
          <w:highlight w:val="none"/>
        </w:rPr>
        <w:t>6.2 评标原则</w:t>
      </w:r>
      <w:bookmarkEnd w:id="181"/>
      <w:bookmarkEnd w:id="182"/>
      <w:bookmarkEnd w:id="183"/>
      <w:bookmarkEnd w:id="184"/>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评标活动遵循公平、公正、科学和择优的原则。 </w:t>
      </w:r>
    </w:p>
    <w:p>
      <w:pPr>
        <w:keepNext w:val="0"/>
        <w:keepLines w:val="0"/>
        <w:kinsoku/>
        <w:wordWrap/>
        <w:overflowPunct/>
        <w:topLinePunct w:val="0"/>
        <w:bidi w:val="0"/>
        <w:snapToGrid w:val="0"/>
        <w:spacing w:line="360" w:lineRule="auto"/>
        <w:ind w:firstLine="422" w:firstLineChars="200"/>
        <w:rPr>
          <w:rFonts w:ascii="宋体" w:hAnsi="宋体" w:cs="宋体"/>
          <w:szCs w:val="21"/>
          <w:highlight w:val="none"/>
        </w:rPr>
      </w:pPr>
      <w:bookmarkStart w:id="185" w:name="_Toc426369515"/>
      <w:bookmarkStart w:id="186" w:name="_Toc274249608"/>
      <w:bookmarkStart w:id="187" w:name="_Toc403122525"/>
      <w:bookmarkStart w:id="188" w:name="_Toc279599804"/>
      <w:r>
        <w:rPr>
          <w:rFonts w:hint="eastAsia" w:ascii="宋体" w:hAnsi="宋体" w:cs="宋体"/>
          <w:b/>
          <w:bCs/>
          <w:szCs w:val="21"/>
          <w:highlight w:val="none"/>
        </w:rPr>
        <w:t>6.3 评标</w:t>
      </w:r>
      <w:bookmarkEnd w:id="185"/>
      <w:bookmarkEnd w:id="186"/>
      <w:bookmarkEnd w:id="187"/>
      <w:bookmarkEnd w:id="188"/>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6.3.1在评审过程中，评标委员会发现投标人有下列情形之一的，视为投标人相互串通投标，按照无效投标处理并依据法律、法规追究其相关责任。具体表现形式如下：</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（1）不同投标人的投标文件由同一单位或者个人编制；</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（2）不同投标人委托同一单位或者个人办理投标事宜；</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（3）不同投标人的投标文件载明的项目管理成员或者联系人员为同一人；</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（5）不同投标人的投标文件相互混装；</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（6）有证据证明投标人与采购人、采购代理机构或者其他投标人串通的其他情形；</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6.3.3评标时，评标委员会各成员应当独立对每个投标人的投标文件进行评价，并汇总每个投标人的得分。</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评标完成后，评标委员会应当向采购人提交书面评标报告和中标候选人名单。评标委员会推荐中标候选人的人数见投标人须知前附表。</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6.3.3 评标委员会负责具体评标事务，并独立履行下列职责：</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（1）审查、评价投标文件是否符合招标文件的实质性要求；</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（2）要求投标人对投标文件有关事项作出澄清或者说明；</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（3）对投标文件进行比较和评价；</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（4）确定中标候选人名单；</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（5）向采购人、采购代理机构或者有关部门报告评标中发现的违法行为。</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6.4  废标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招标采购中，出现下列情形之一的，应予废标：</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（1）符合专业条件的投标人或者对招标文件作实质响应的投标人不足三家的；</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（3）投标人的报价均超过了采购预算，采购人不能支付的；</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（4）因重大变故，采购任务取消的。废标后，采购人应当将废标理由通知所有投标人。</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89" w:name="_Toc22968"/>
      <w:bookmarkStart w:id="190" w:name="_Toc426369516"/>
      <w:bookmarkStart w:id="191" w:name="_Toc26569"/>
      <w:bookmarkStart w:id="192" w:name="_Toc403122526"/>
      <w:bookmarkStart w:id="193" w:name="_Toc844"/>
      <w:bookmarkStart w:id="194" w:name="_Toc20316"/>
      <w:bookmarkStart w:id="195" w:name="_Toc17811"/>
      <w:r>
        <w:rPr>
          <w:rFonts w:hint="eastAsia" w:ascii="宋体" w:hAnsi="宋体" w:cs="宋体"/>
          <w:b/>
          <w:bCs/>
          <w:szCs w:val="21"/>
          <w:highlight w:val="none"/>
        </w:rPr>
        <w:t>7. 合同授予</w:t>
      </w:r>
      <w:bookmarkEnd w:id="189"/>
      <w:bookmarkEnd w:id="190"/>
      <w:bookmarkEnd w:id="191"/>
      <w:bookmarkEnd w:id="192"/>
      <w:bookmarkEnd w:id="193"/>
      <w:bookmarkEnd w:id="194"/>
      <w:bookmarkEnd w:id="195"/>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196" w:name="_Toc274249610"/>
      <w:bookmarkStart w:id="197" w:name="_Toc279599806"/>
      <w:bookmarkStart w:id="198" w:name="_Toc403122527"/>
      <w:bookmarkStart w:id="199" w:name="_Toc426369517"/>
      <w:r>
        <w:rPr>
          <w:rFonts w:hint="eastAsia" w:ascii="宋体" w:hAnsi="宋体" w:cs="宋体"/>
          <w:b/>
          <w:bCs/>
          <w:szCs w:val="21"/>
          <w:highlight w:val="none"/>
        </w:rPr>
        <w:t>7.1 定标方式</w:t>
      </w:r>
      <w:bookmarkEnd w:id="196"/>
      <w:bookmarkEnd w:id="197"/>
      <w:bookmarkEnd w:id="198"/>
      <w:bookmarkEnd w:id="199"/>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7.1.1采购人依据评标委员会推荐的中标候选人确定中标人，评标委员会推荐中标人候选人的人数见供应商须知前附表。</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00" w:name="_Toc274249611"/>
      <w:bookmarkStart w:id="201" w:name="_Toc403122528"/>
      <w:bookmarkStart w:id="202" w:name="_Toc279599807"/>
      <w:bookmarkStart w:id="203" w:name="_Toc426369518"/>
      <w:r>
        <w:rPr>
          <w:rFonts w:hint="eastAsia" w:ascii="宋体" w:hAnsi="宋体" w:cs="宋体"/>
          <w:b/>
          <w:bCs/>
          <w:szCs w:val="21"/>
          <w:highlight w:val="none"/>
        </w:rPr>
        <w:t>7.2 中标通知</w:t>
      </w:r>
      <w:bookmarkEnd w:id="200"/>
      <w:bookmarkEnd w:id="201"/>
      <w:bookmarkEnd w:id="202"/>
      <w:bookmarkEnd w:id="203"/>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7.2.1 在本章第3.3款规定的投标有效期内，采购人以书面形式向中标人发出中标通知书，同时将中标结果通知未中标的投标人。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7.2.2中标人在领取中标通知书后应及时到相关部门办理中标后的备案手续。</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04" w:name="_Toc274249612"/>
      <w:bookmarkStart w:id="205" w:name="_Toc279599808"/>
      <w:bookmarkStart w:id="206" w:name="_Toc311550376"/>
      <w:bookmarkStart w:id="207" w:name="_Toc403122529"/>
      <w:bookmarkStart w:id="208" w:name="_Toc426369519"/>
      <w:r>
        <w:rPr>
          <w:rFonts w:hint="eastAsia" w:ascii="宋体" w:hAnsi="宋体" w:cs="宋体"/>
          <w:b/>
          <w:bCs/>
          <w:szCs w:val="21"/>
          <w:highlight w:val="none"/>
        </w:rPr>
        <w:t>7.3履约</w:t>
      </w:r>
      <w:bookmarkEnd w:id="204"/>
      <w:bookmarkEnd w:id="205"/>
      <w:bookmarkEnd w:id="206"/>
      <w:r>
        <w:rPr>
          <w:rFonts w:hint="eastAsia" w:ascii="宋体" w:hAnsi="宋体" w:cs="宋体"/>
          <w:b/>
          <w:bCs/>
          <w:szCs w:val="21"/>
          <w:highlight w:val="none"/>
        </w:rPr>
        <w:t>保证金</w:t>
      </w:r>
      <w:bookmarkEnd w:id="207"/>
      <w:bookmarkEnd w:id="208"/>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7.3.1履约保证金：无</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7.3.2投标保证金：无</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09" w:name="_Toc426369520"/>
      <w:bookmarkStart w:id="210" w:name="_Toc279599809"/>
      <w:bookmarkStart w:id="211" w:name="_Toc403122530"/>
      <w:bookmarkStart w:id="212" w:name="_Toc274249613"/>
      <w:r>
        <w:rPr>
          <w:rFonts w:hint="eastAsia" w:ascii="宋体" w:hAnsi="宋体" w:cs="宋体"/>
          <w:b/>
          <w:bCs/>
          <w:szCs w:val="21"/>
          <w:highlight w:val="none"/>
        </w:rPr>
        <w:t>7.4 签订合同</w:t>
      </w:r>
      <w:bookmarkEnd w:id="209"/>
      <w:bookmarkEnd w:id="210"/>
      <w:bookmarkEnd w:id="211"/>
      <w:bookmarkEnd w:id="21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7.4.1  </w:t>
      </w:r>
      <w:r>
        <w:rPr>
          <w:rFonts w:hint="eastAsia" w:ascii="宋体" w:hAnsi="宋体" w:cs="宋体"/>
          <w:szCs w:val="21"/>
          <w:highlight w:val="none"/>
          <w:lang w:eastAsia="zh-CN"/>
        </w:rPr>
        <w:t>当</w:t>
      </w:r>
      <w:r>
        <w:rPr>
          <w:rFonts w:hint="eastAsia" w:ascii="宋体" w:hAnsi="宋体" w:cs="宋体"/>
          <w:szCs w:val="21"/>
          <w:highlight w:val="none"/>
        </w:rPr>
        <w:t>中标人的投标报价</w:t>
      </w:r>
      <w:r>
        <w:rPr>
          <w:rFonts w:hint="eastAsia" w:ascii="宋体" w:hAnsi="宋体" w:cs="宋体"/>
          <w:szCs w:val="21"/>
          <w:highlight w:val="none"/>
          <w:lang w:eastAsia="zh-CN"/>
        </w:rPr>
        <w:t>低于</w:t>
      </w:r>
      <w:r>
        <w:rPr>
          <w:rFonts w:hint="eastAsia" w:ascii="宋体" w:hAnsi="宋体" w:cs="宋体"/>
          <w:szCs w:val="21"/>
          <w:highlight w:val="none"/>
        </w:rPr>
        <w:t>控制价的95%时</w:t>
      </w:r>
      <w:r>
        <w:rPr>
          <w:rFonts w:hint="eastAsia" w:ascii="宋体" w:hAnsi="宋体" w:cs="宋体"/>
          <w:szCs w:val="21"/>
          <w:highlight w:val="none"/>
          <w:lang w:eastAsia="zh-CN"/>
        </w:rPr>
        <w:t>即为</w:t>
      </w:r>
      <w:r>
        <w:rPr>
          <w:rFonts w:hint="eastAsia" w:ascii="宋体" w:hAnsi="宋体" w:cs="宋体"/>
          <w:szCs w:val="21"/>
          <w:highlight w:val="none"/>
        </w:rPr>
        <w:t>中标价</w:t>
      </w:r>
      <w:r>
        <w:rPr>
          <w:rFonts w:hint="eastAsia" w:ascii="宋体" w:hAnsi="宋体" w:cs="宋体"/>
          <w:szCs w:val="21"/>
          <w:highlight w:val="none"/>
          <w:lang w:eastAsia="zh-CN"/>
        </w:rPr>
        <w:t>；当中标人的投标报价高于控制价的95%时，该中标人的中标价按控制价的95%执行</w:t>
      </w:r>
      <w:r>
        <w:rPr>
          <w:rFonts w:hint="eastAsia" w:ascii="宋体" w:hAnsi="宋体" w:cs="宋体"/>
          <w:b/>
          <w:bCs/>
          <w:color w:val="auto"/>
          <w:szCs w:val="21"/>
          <w:highlight w:val="none"/>
        </w:rPr>
        <w:t>。</w:t>
      </w:r>
      <w:r>
        <w:rPr>
          <w:rFonts w:hint="eastAsia" w:ascii="宋体" w:hAnsi="宋体" w:cs="宋体"/>
          <w:szCs w:val="21"/>
          <w:highlight w:val="none"/>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发出中标通知书后，采购人无正当理由拒签合同的，给中标人造成损失的，还应当赔偿损失。</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13" w:name="_Toc30009"/>
      <w:bookmarkStart w:id="214" w:name="_Toc10541"/>
      <w:bookmarkStart w:id="215" w:name="_Toc10417"/>
      <w:bookmarkStart w:id="216" w:name="_Toc12657"/>
      <w:bookmarkStart w:id="217" w:name="_Toc403122531"/>
      <w:bookmarkStart w:id="218" w:name="_Toc426369521"/>
      <w:bookmarkStart w:id="219" w:name="_Toc6284"/>
      <w:r>
        <w:rPr>
          <w:rFonts w:hint="eastAsia" w:ascii="宋体" w:hAnsi="宋体" w:cs="宋体"/>
          <w:b/>
          <w:bCs/>
          <w:szCs w:val="21"/>
          <w:highlight w:val="none"/>
        </w:rPr>
        <w:t>8. 重新招标</w:t>
      </w:r>
      <w:bookmarkEnd w:id="213"/>
      <w:bookmarkEnd w:id="214"/>
      <w:bookmarkEnd w:id="215"/>
      <w:bookmarkEnd w:id="216"/>
      <w:bookmarkEnd w:id="217"/>
      <w:bookmarkEnd w:id="218"/>
      <w:bookmarkEnd w:id="219"/>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20" w:name="_Toc274249615"/>
      <w:bookmarkStart w:id="221" w:name="_Toc403122532"/>
      <w:bookmarkStart w:id="222" w:name="_Toc279599811"/>
      <w:bookmarkStart w:id="223" w:name="_Toc426369522"/>
      <w:r>
        <w:rPr>
          <w:rFonts w:hint="eastAsia" w:ascii="宋体" w:hAnsi="宋体" w:cs="宋体"/>
          <w:b/>
          <w:bCs/>
          <w:szCs w:val="21"/>
          <w:highlight w:val="none"/>
        </w:rPr>
        <w:t>8.1 重新招标</w:t>
      </w:r>
      <w:bookmarkEnd w:id="220"/>
      <w:bookmarkEnd w:id="221"/>
      <w:bookmarkEnd w:id="222"/>
      <w:bookmarkEnd w:id="223"/>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有下列情形之一的，采购人将重新招标：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（1）投标截止时间止，供应商少于3个的； </w:t>
      </w:r>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（2）经评标委员会评审后否决所有投标的。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24" w:name="_Toc25365"/>
      <w:bookmarkStart w:id="225" w:name="_Toc27398"/>
      <w:bookmarkStart w:id="226" w:name="_Toc403122533"/>
      <w:bookmarkStart w:id="227" w:name="_Toc10372"/>
      <w:bookmarkStart w:id="228" w:name="_Toc426369523"/>
      <w:bookmarkStart w:id="229" w:name="_Toc3760"/>
      <w:bookmarkStart w:id="230" w:name="_Toc14359"/>
      <w:r>
        <w:rPr>
          <w:rFonts w:hint="eastAsia" w:ascii="宋体" w:hAnsi="宋体" w:cs="宋体"/>
          <w:b/>
          <w:bCs/>
          <w:szCs w:val="21"/>
          <w:highlight w:val="none"/>
        </w:rPr>
        <w:t>9. 纪律和监督</w:t>
      </w:r>
      <w:bookmarkEnd w:id="224"/>
      <w:bookmarkEnd w:id="225"/>
      <w:bookmarkEnd w:id="226"/>
      <w:bookmarkEnd w:id="227"/>
      <w:bookmarkEnd w:id="228"/>
      <w:bookmarkEnd w:id="229"/>
      <w:bookmarkEnd w:id="230"/>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31" w:name="_Toc274249618"/>
      <w:bookmarkStart w:id="232" w:name="_Toc426369524"/>
      <w:bookmarkStart w:id="233" w:name="_Toc403122534"/>
      <w:bookmarkStart w:id="234" w:name="_Toc279599814"/>
      <w:r>
        <w:rPr>
          <w:rFonts w:hint="eastAsia" w:ascii="宋体" w:hAnsi="宋体" w:cs="宋体"/>
          <w:b/>
          <w:bCs/>
          <w:szCs w:val="21"/>
          <w:highlight w:val="none"/>
        </w:rPr>
        <w:t>9.1 对采购人的纪律要求</w:t>
      </w:r>
      <w:bookmarkEnd w:id="231"/>
      <w:bookmarkEnd w:id="232"/>
      <w:bookmarkEnd w:id="233"/>
      <w:bookmarkEnd w:id="234"/>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采购人不得泄漏招标投标活动中应当保密的情况和资料，不得与供应商串通损害国家利益、社会公共利益或者他人合法权益。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35" w:name="_Toc426369525"/>
      <w:bookmarkStart w:id="236" w:name="_Toc279599815"/>
      <w:bookmarkStart w:id="237" w:name="_Toc403122535"/>
      <w:bookmarkStart w:id="238" w:name="_Toc274249619"/>
      <w:r>
        <w:rPr>
          <w:rFonts w:hint="eastAsia" w:ascii="宋体" w:hAnsi="宋体" w:cs="宋体"/>
          <w:b/>
          <w:bCs/>
          <w:szCs w:val="21"/>
          <w:highlight w:val="none"/>
        </w:rPr>
        <w:t>9.2 对投标人的纪律要求</w:t>
      </w:r>
      <w:bookmarkEnd w:id="235"/>
      <w:bookmarkEnd w:id="236"/>
      <w:bookmarkEnd w:id="237"/>
      <w:bookmarkEnd w:id="238"/>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39" w:name="_Toc279599816"/>
      <w:bookmarkStart w:id="240" w:name="_Toc426369526"/>
      <w:bookmarkStart w:id="241" w:name="_Toc274249620"/>
      <w:bookmarkStart w:id="242" w:name="_Toc403122536"/>
      <w:r>
        <w:rPr>
          <w:rFonts w:hint="eastAsia" w:ascii="宋体" w:hAnsi="宋体" w:cs="宋体"/>
          <w:b/>
          <w:bCs/>
          <w:szCs w:val="21"/>
          <w:highlight w:val="none"/>
        </w:rPr>
        <w:t>9.3 对评标委员会成员的纪律要求</w:t>
      </w:r>
      <w:bookmarkEnd w:id="239"/>
      <w:bookmarkEnd w:id="240"/>
      <w:bookmarkEnd w:id="241"/>
      <w:bookmarkEnd w:id="242"/>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43" w:name="_Toc274249621"/>
      <w:bookmarkStart w:id="244" w:name="_Toc426369527"/>
      <w:bookmarkStart w:id="245" w:name="_Toc279599817"/>
      <w:bookmarkStart w:id="246" w:name="_Toc403122537"/>
      <w:r>
        <w:rPr>
          <w:rFonts w:hint="eastAsia" w:ascii="宋体" w:hAnsi="宋体" w:cs="宋体"/>
          <w:b/>
          <w:bCs/>
          <w:szCs w:val="21"/>
          <w:highlight w:val="none"/>
        </w:rPr>
        <w:t>9.4 对与评标活动有关的工作人员的纪律要求</w:t>
      </w:r>
      <w:bookmarkEnd w:id="243"/>
      <w:bookmarkEnd w:id="244"/>
      <w:bookmarkEnd w:id="245"/>
      <w:bookmarkEnd w:id="246"/>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47" w:name="_Toc274249622"/>
      <w:bookmarkStart w:id="248" w:name="_Toc403122538"/>
      <w:bookmarkStart w:id="249" w:name="_Toc279599818"/>
      <w:bookmarkStart w:id="250" w:name="_Toc426369528"/>
      <w:r>
        <w:rPr>
          <w:rFonts w:hint="eastAsia" w:ascii="宋体" w:hAnsi="宋体" w:cs="宋体"/>
          <w:b/>
          <w:bCs/>
          <w:szCs w:val="21"/>
          <w:highlight w:val="none"/>
        </w:rPr>
        <w:t>9.5 投诉</w:t>
      </w:r>
      <w:bookmarkEnd w:id="247"/>
      <w:bookmarkEnd w:id="248"/>
      <w:bookmarkEnd w:id="249"/>
      <w:bookmarkEnd w:id="250"/>
    </w:p>
    <w:p>
      <w:pPr>
        <w:keepNext w:val="0"/>
        <w:keepLines w:val="0"/>
        <w:kinsoku/>
        <w:wordWrap/>
        <w:overflowPunct/>
        <w:topLinePunct w:val="0"/>
        <w:bidi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供应商和其他利害关系人认为本次招标活动违反法律、法规和规章规定的，有权向有关行政监督部门投诉。 </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bookmarkStart w:id="251" w:name="_Toc10880"/>
      <w:bookmarkStart w:id="252" w:name="_Toc25080"/>
      <w:bookmarkStart w:id="253" w:name="_Toc23962"/>
      <w:bookmarkStart w:id="254" w:name="_Toc403122539"/>
      <w:bookmarkStart w:id="255" w:name="_Toc13281"/>
      <w:bookmarkStart w:id="256" w:name="_Toc426369529"/>
      <w:bookmarkStart w:id="257" w:name="_Toc13602"/>
      <w:r>
        <w:rPr>
          <w:rFonts w:hint="eastAsia" w:ascii="宋体" w:hAnsi="宋体" w:cs="宋体"/>
          <w:b/>
          <w:bCs/>
          <w:szCs w:val="21"/>
          <w:highlight w:val="none"/>
        </w:rPr>
        <w:t>10. 需要补充的其他内容</w:t>
      </w:r>
      <w:bookmarkEnd w:id="251"/>
      <w:bookmarkEnd w:id="252"/>
      <w:bookmarkEnd w:id="253"/>
      <w:bookmarkEnd w:id="254"/>
      <w:bookmarkEnd w:id="255"/>
      <w:bookmarkEnd w:id="256"/>
      <w:bookmarkEnd w:id="257"/>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10.1 费用承担</w:t>
      </w:r>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（1）无论投标结果如何，投标人应自行承担所有参与投标的全部费用，采购人和采购代理机构在任何情况下均无义务和责任承担上述费用。</w:t>
      </w:r>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（2）招标代理服务费由中标人支付。</w:t>
      </w:r>
    </w:p>
    <w:p>
      <w:pPr>
        <w:keepNext w:val="0"/>
        <w:keepLines w:val="0"/>
        <w:kinsoku/>
        <w:wordWrap/>
        <w:overflowPunct/>
        <w:topLinePunct w:val="0"/>
        <w:autoSpaceDE w:val="0"/>
        <w:autoSpaceDN w:val="0"/>
        <w:bidi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（3）供应商与采购人签订合同后，将合同报采购代理机构备案。</w:t>
      </w:r>
    </w:p>
    <w:p>
      <w:pPr>
        <w:keepNext w:val="0"/>
        <w:keepLines w:val="0"/>
        <w:kinsoku/>
        <w:wordWrap/>
        <w:overflowPunct/>
        <w:topLinePunct w:val="0"/>
        <w:bidi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10.2本招标文件未尽事宜，按《中华人民共和国政府采购法》等法律法规的有关规定执行。</w:t>
      </w:r>
    </w:p>
    <w:p>
      <w:pPr>
        <w:pStyle w:val="23"/>
        <w:keepNext w:val="0"/>
        <w:keepLines w:val="0"/>
        <w:pageBreakBefore/>
        <w:widowControl w:val="0"/>
        <w:numPr>
          <w:ilvl w:val="0"/>
          <w:numId w:val="0"/>
        </w:numPr>
        <w:kinsoku/>
        <w:wordWrap/>
        <w:overflowPunct/>
        <w:topLinePunct w:val="0"/>
        <w:autoSpaceDE/>
        <w:autoSpaceDN/>
        <w:bidi w:val="0"/>
        <w:adjustRightInd/>
        <w:snapToGrid/>
        <w:spacing w:line="600" w:lineRule="exact"/>
        <w:ind w:right="-63" w:rightChars="-30"/>
        <w:textAlignment w:val="auto"/>
        <w:rPr>
          <w:rFonts w:ascii="宋体" w:hAnsi="宋体" w:eastAsia="宋体" w:cs="宋体"/>
          <w:sz w:val="28"/>
          <w:szCs w:val="28"/>
          <w:highlight w:val="none"/>
        </w:rPr>
      </w:pPr>
      <w:bookmarkStart w:id="258" w:name="_Toc28433"/>
      <w:bookmarkStart w:id="259" w:name="_Toc403122540"/>
      <w:bookmarkStart w:id="260" w:name="_Toc426369530"/>
      <w:bookmarkStart w:id="261" w:name="_Toc22049"/>
      <w:bookmarkStart w:id="262" w:name="_Toc15006"/>
      <w:bookmarkStart w:id="263" w:name="_Toc20887"/>
      <w:bookmarkStart w:id="264" w:name="_Toc31503"/>
      <w:r>
        <w:rPr>
          <w:rFonts w:hint="eastAsia" w:ascii="宋体" w:hAnsi="宋体" w:eastAsia="宋体" w:cs="宋体"/>
          <w:sz w:val="28"/>
          <w:szCs w:val="28"/>
          <w:highlight w:val="none"/>
          <w:lang w:eastAsia="zh-CN"/>
        </w:rPr>
        <w:t>第三章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bookmarkEnd w:id="258"/>
      <w:bookmarkEnd w:id="259"/>
      <w:bookmarkEnd w:id="260"/>
      <w:r>
        <w:rPr>
          <w:rFonts w:hint="eastAsia" w:ascii="宋体" w:hAnsi="宋体" w:eastAsia="宋体" w:cs="宋体"/>
          <w:sz w:val="28"/>
          <w:szCs w:val="28"/>
          <w:highlight w:val="none"/>
        </w:rPr>
        <w:t>（综合评分法）</w:t>
      </w:r>
      <w:bookmarkEnd w:id="261"/>
      <w:bookmarkEnd w:id="262"/>
      <w:bookmarkEnd w:id="263"/>
      <w:bookmarkEnd w:id="264"/>
    </w:p>
    <w:p>
      <w:pPr>
        <w:pStyle w:val="48"/>
        <w:widowControl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评分办法前附表</w:t>
      </w:r>
    </w:p>
    <w:tbl>
      <w:tblPr>
        <w:tblStyle w:val="27"/>
        <w:tblpPr w:leftFromText="180" w:rightFromText="180" w:vertAnchor="text" w:horzAnchor="page" w:tblpXSpec="center" w:tblpY="640"/>
        <w:tblOverlap w:val="never"/>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5"/>
        <w:gridCol w:w="2112"/>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b/>
                <w:szCs w:val="21"/>
                <w:highlight w:val="none"/>
              </w:rPr>
            </w:pPr>
            <w:r>
              <w:rPr>
                <w:rFonts w:hint="eastAsia" w:ascii="宋体" w:hAnsi="宋体" w:cs="宋体"/>
                <w:b/>
                <w:bCs/>
                <w:kern w:val="0"/>
                <w:szCs w:val="21"/>
                <w:highlight w:val="none"/>
              </w:rPr>
              <w:t>审查主体</w:t>
            </w:r>
          </w:p>
        </w:tc>
        <w:tc>
          <w:tcPr>
            <w:tcW w:w="320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b/>
                <w:szCs w:val="21"/>
                <w:highlight w:val="none"/>
              </w:rPr>
            </w:pPr>
            <w:r>
              <w:rPr>
                <w:rFonts w:hint="eastAsia" w:ascii="宋体" w:hAnsi="宋体" w:cs="宋体"/>
                <w:b/>
                <w:szCs w:val="21"/>
                <w:highlight w:val="none"/>
              </w:rPr>
              <w:t>评审因素</w:t>
            </w:r>
          </w:p>
        </w:tc>
        <w:tc>
          <w:tcPr>
            <w:tcW w:w="5796" w:type="dxa"/>
            <w:vAlign w:val="center"/>
          </w:tcPr>
          <w:p>
            <w:pPr>
              <w:keepNext w:val="0"/>
              <w:keepLines w:val="0"/>
              <w:pageBreakBefore w:val="0"/>
              <w:widowControl w:val="0"/>
              <w:suppressLineNumbers w:val="0"/>
              <w:tabs>
                <w:tab w:val="left" w:pos="417"/>
                <w:tab w:val="center" w:pos="2999"/>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资格审查小组</w:t>
            </w:r>
          </w:p>
        </w:tc>
        <w:tc>
          <w:tcPr>
            <w:tcW w:w="10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一、资格评审标准</w:t>
            </w:r>
          </w:p>
        </w:tc>
        <w:tc>
          <w:tcPr>
            <w:tcW w:w="211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szCs w:val="21"/>
                <w:highlight w:val="none"/>
              </w:rPr>
            </w:pPr>
            <w:r>
              <w:rPr>
                <w:rFonts w:hint="eastAsia" w:ascii="宋体" w:hAnsi="宋体" w:cs="宋体"/>
                <w:szCs w:val="21"/>
                <w:highlight w:val="none"/>
              </w:rPr>
              <w:t>符合《中华人民共和国政府采购法》第二十二条之规定</w:t>
            </w:r>
          </w:p>
        </w:tc>
        <w:tc>
          <w:tcPr>
            <w:tcW w:w="579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szCs w:val="21"/>
                <w:highlight w:val="none"/>
              </w:rPr>
            </w:pPr>
            <w:r>
              <w:rPr>
                <w:rFonts w:hint="eastAsia" w:ascii="宋体" w:hAnsi="宋体" w:cs="宋体"/>
                <w:szCs w:val="21"/>
                <w:highlight w:val="none"/>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法定代表人证明或法人授权委托书</w:t>
            </w:r>
          </w:p>
        </w:tc>
        <w:tc>
          <w:tcPr>
            <w:tcW w:w="579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信誉要求</w:t>
            </w:r>
          </w:p>
        </w:tc>
        <w:tc>
          <w:tcPr>
            <w:tcW w:w="579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7" w:type="dxa"/>
            <w:vMerge w:val="continue"/>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其他要求</w:t>
            </w:r>
          </w:p>
        </w:tc>
        <w:tc>
          <w:tcPr>
            <w:tcW w:w="5796"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二、形式评审标准</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供应商名称</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投标函签字盖章</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加盖企业电子签章并有法定代表人或其委托代理人签字或盖章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投标文件格式</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报价唯一</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三、响应性评审标准</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采购内容</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szCs w:val="21"/>
                <w:highlight w:val="none"/>
              </w:rPr>
            </w:pPr>
            <w:r>
              <w:rPr>
                <w:rFonts w:hint="eastAsia" w:ascii="宋体" w:hAnsi="宋体" w:cs="宋体"/>
                <w:szCs w:val="21"/>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合同履行期限（</w:t>
            </w:r>
            <w:r>
              <w:rPr>
                <w:rFonts w:hint="eastAsia"/>
                <w:color w:val="auto"/>
                <w:highlight w:val="none"/>
                <w:lang w:val="en-US" w:eastAsia="zh-CN"/>
              </w:rPr>
              <w:t>供货安装期</w:t>
            </w:r>
            <w:r>
              <w:rPr>
                <w:rFonts w:hint="eastAsia"/>
                <w:color w:val="auto"/>
                <w:highlight w:val="none"/>
              </w:rPr>
              <w:t>）</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合同签订后60日历天内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color w:val="auto"/>
                <w:szCs w:val="21"/>
                <w:highlight w:val="none"/>
              </w:rPr>
            </w:pPr>
            <w:r>
              <w:rPr>
                <w:rFonts w:hint="eastAsia" w:ascii="宋体" w:hAnsi="宋体" w:cs="宋体"/>
                <w:color w:val="auto"/>
                <w:szCs w:val="21"/>
                <w:highlight w:val="none"/>
              </w:rPr>
              <w:t>质量要求</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达到现行国家、行业及地方相应规范、标准要求。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质保期</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软件系统一年、硬件设备原厂三年质保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商务报价</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权利义务</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技术标准和要求</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符合第五章“采购内容及要求”和“附件”规定，若不符合第五章“采购内容及要求”和“附件”规定，将不再进行评审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10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投标文件的其他响应</w:t>
            </w:r>
          </w:p>
        </w:tc>
        <w:tc>
          <w:tcPr>
            <w:tcW w:w="5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ascii="宋体" w:hAnsi="宋体" w:cs="宋体"/>
                <w:szCs w:val="21"/>
                <w:highlight w:val="none"/>
              </w:rPr>
            </w:pPr>
            <w:r>
              <w:rPr>
                <w:rFonts w:hint="eastAsia" w:ascii="宋体" w:hAnsi="宋体" w:cs="宋体"/>
                <w:szCs w:val="21"/>
                <w:highlight w:val="none"/>
              </w:rPr>
              <w:t>符合法律、法规和招标文件中规定的其他实质性要求的</w:t>
            </w:r>
          </w:p>
        </w:tc>
      </w:tr>
    </w:tbl>
    <w:p>
      <w:pPr>
        <w:pStyle w:val="48"/>
        <w:widowControl w:val="0"/>
        <w:spacing w:line="360" w:lineRule="auto"/>
        <w:jc w:val="center"/>
        <w:rPr>
          <w:rFonts w:ascii="宋体" w:hAnsi="宋体" w:cs="宋体"/>
          <w:b/>
          <w:bCs/>
          <w:sz w:val="28"/>
          <w:szCs w:val="28"/>
          <w:highlight w:val="none"/>
        </w:rPr>
      </w:pPr>
      <w:bookmarkStart w:id="265" w:name="_Toc29947"/>
      <w:bookmarkStart w:id="266" w:name="_Toc16529"/>
      <w:bookmarkStart w:id="267" w:name="_Toc30933"/>
      <w:bookmarkStart w:id="268" w:name="_Toc17859"/>
      <w:bookmarkStart w:id="269" w:name="_Toc9561"/>
      <w:bookmarkStart w:id="270" w:name="_Toc21885"/>
      <w:bookmarkStart w:id="271" w:name="_Toc2761070"/>
    </w:p>
    <w:bookmarkEnd w:id="265"/>
    <w:bookmarkEnd w:id="266"/>
    <w:bookmarkEnd w:id="267"/>
    <w:bookmarkEnd w:id="268"/>
    <w:bookmarkEnd w:id="269"/>
    <w:bookmarkEnd w:id="270"/>
    <w:p>
      <w:pPr>
        <w:rPr>
          <w:rFonts w:hint="eastAsia" w:ascii="宋体" w:hAnsi="宋体" w:cs="宋体"/>
          <w:b/>
          <w:bCs/>
          <w:sz w:val="28"/>
          <w:szCs w:val="28"/>
          <w:highlight w:val="none"/>
        </w:rPr>
      </w:pPr>
      <w:bookmarkStart w:id="272" w:name="_Toc454147538"/>
      <w:bookmarkStart w:id="273" w:name="_Toc19403"/>
      <w:bookmarkStart w:id="274" w:name="_Toc21064"/>
      <w:bookmarkStart w:id="275" w:name="_Toc466017207"/>
      <w:bookmarkStart w:id="276" w:name="_Toc465502579"/>
      <w:bookmarkStart w:id="277" w:name="_Toc403122541"/>
      <w:bookmarkStart w:id="278" w:name="_Toc426369531"/>
      <w:bookmarkStart w:id="279" w:name="_Toc31084"/>
      <w:r>
        <w:rPr>
          <w:rFonts w:hint="eastAsia" w:ascii="宋体" w:hAnsi="宋体" w:cs="宋体"/>
          <w:b/>
          <w:bCs/>
          <w:sz w:val="28"/>
          <w:szCs w:val="28"/>
          <w:highlight w:val="none"/>
        </w:rPr>
        <w:br w:type="page"/>
      </w:r>
    </w:p>
    <w:p>
      <w:pPr>
        <w:pStyle w:val="48"/>
        <w:spacing w:line="560" w:lineRule="exact"/>
        <w:jc w:val="center"/>
        <w:rPr>
          <w:rFonts w:ascii="宋体" w:hAnsi="宋体" w:cs="宋体"/>
          <w:b/>
          <w:bCs/>
          <w:sz w:val="28"/>
          <w:szCs w:val="28"/>
          <w:highlight w:val="none"/>
        </w:rPr>
      </w:pPr>
      <w:r>
        <w:rPr>
          <w:rFonts w:hint="eastAsia" w:ascii="宋体" w:hAnsi="宋体" w:cs="宋体"/>
          <w:b/>
          <w:bCs/>
          <w:sz w:val="28"/>
          <w:szCs w:val="28"/>
          <w:highlight w:val="none"/>
        </w:rPr>
        <w:t>评分办法</w:t>
      </w:r>
    </w:p>
    <w:tbl>
      <w:tblPr>
        <w:tblStyle w:val="2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4"/>
        <w:gridCol w:w="1188"/>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序号</w:t>
            </w:r>
          </w:p>
        </w:tc>
        <w:tc>
          <w:tcPr>
            <w:tcW w:w="1154"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评分因素</w:t>
            </w:r>
          </w:p>
        </w:tc>
        <w:tc>
          <w:tcPr>
            <w:tcW w:w="118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分值</w:t>
            </w:r>
          </w:p>
        </w:tc>
        <w:tc>
          <w:tcPr>
            <w:tcW w:w="6103"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5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0分）</w:t>
            </w: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0分</w:t>
            </w:r>
          </w:p>
        </w:tc>
        <w:tc>
          <w:tcPr>
            <w:tcW w:w="6103"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价格分采用低价优先法计算，即满足招标文件要求且投标报价（评标价）最低的投标报价（评标价为评标基准价，其价格分为满分</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其他投标人的价格分统一按照下列公式计算：</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报价得分=（评标基准价/投标（评标）报价）×</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 xml:space="preserve">0  </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注：1.价格分计算保留小数点后二位；</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bidi="ar-SA"/>
              </w:rPr>
              <w:t>2.小微企业（监狱企业、残疾人福利性单位视同小微企业）价格扣除按照本招标文件投标人须知相关规定执行。</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1154"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技术部分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35</w:t>
            </w:r>
            <w:r>
              <w:rPr>
                <w:rFonts w:hint="eastAsia" w:ascii="宋体" w:hAnsi="宋体" w:eastAsia="宋体" w:cs="宋体"/>
                <w:color w:val="auto"/>
                <w:highlight w:val="none"/>
              </w:rPr>
              <w:t>分）</w:t>
            </w: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技术参数</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tc>
        <w:tc>
          <w:tcPr>
            <w:tcW w:w="6103"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人或所投产品供应商投标文件满足</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cs="宋体"/>
                <w:color w:val="auto"/>
                <w:highlight w:val="none"/>
                <w:lang w:val="en-US" w:eastAsia="zh-CN"/>
              </w:rPr>
              <w:t>参数基本</w:t>
            </w:r>
            <w:r>
              <w:rPr>
                <w:rFonts w:hint="eastAsia" w:ascii="宋体" w:hAnsi="宋体" w:eastAsia="宋体" w:cs="宋体"/>
                <w:color w:val="auto"/>
                <w:highlight w:val="none"/>
                <w:lang w:eastAsia="zh-CN"/>
              </w:rPr>
              <w:t>要求的得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eastAsia="zh-CN"/>
              </w:rPr>
              <w:t>分，每</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eastAsia="zh-CN"/>
              </w:rPr>
              <w:t>一项</w:t>
            </w:r>
            <w:r>
              <w:rPr>
                <w:rFonts w:hint="eastAsia" w:ascii="宋体" w:hAnsi="宋体" w:cs="宋体"/>
                <w:color w:val="auto"/>
                <w:highlight w:val="none"/>
                <w:lang w:val="en-US" w:eastAsia="zh-CN"/>
              </w:rPr>
              <w:t>正</w:t>
            </w:r>
            <w:r>
              <w:rPr>
                <w:rFonts w:hint="eastAsia" w:ascii="宋体" w:hAnsi="宋体" w:eastAsia="宋体" w:cs="宋体"/>
                <w:color w:val="auto"/>
                <w:highlight w:val="none"/>
                <w:lang w:eastAsia="zh-CN"/>
              </w:rPr>
              <w:t>偏离</w:t>
            </w:r>
            <w:r>
              <w:rPr>
                <w:rFonts w:hint="eastAsia" w:ascii="宋体" w:hAnsi="宋体" w:cs="宋体"/>
                <w:color w:val="auto"/>
                <w:highlight w:val="none"/>
                <w:lang w:val="en-US" w:eastAsia="zh-CN"/>
              </w:rPr>
              <w:t>加1分，最高得20分</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54"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分）</w:t>
            </w:r>
          </w:p>
        </w:tc>
        <w:tc>
          <w:tcPr>
            <w:tcW w:w="6103" w:type="dxa"/>
            <w:noWrap w:val="0"/>
            <w:vAlign w:val="center"/>
          </w:tcPr>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根据本项目提供详细合理的技术实施方案，包括对本次采购项目整体要求的理解、项目</w:t>
            </w:r>
            <w:r>
              <w:rPr>
                <w:rFonts w:hint="eastAsia" w:ascii="宋体" w:hAnsi="宋体" w:eastAsia="宋体" w:cs="宋体"/>
                <w:color w:val="auto"/>
                <w:kern w:val="0"/>
                <w:szCs w:val="21"/>
                <w:highlight w:val="none"/>
                <w:lang w:val="en-US" w:eastAsia="zh-CN"/>
              </w:rPr>
              <w:t>质量保证</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项目组织管理、验收</w:t>
            </w:r>
            <w:r>
              <w:rPr>
                <w:rFonts w:hint="eastAsia" w:ascii="宋体" w:hAnsi="宋体" w:eastAsia="宋体" w:cs="宋体"/>
                <w:color w:val="auto"/>
                <w:kern w:val="0"/>
                <w:szCs w:val="21"/>
                <w:highlight w:val="none"/>
              </w:rPr>
              <w:t>方案的详细程度以及可行性等内容的合理性和完善程度。</w:t>
            </w:r>
          </w:p>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技术方案架构清晰，</w:t>
            </w:r>
            <w:r>
              <w:rPr>
                <w:rFonts w:hint="eastAsia" w:ascii="宋体" w:hAnsi="宋体" w:eastAsia="宋体" w:cs="宋体"/>
                <w:color w:val="auto"/>
                <w:kern w:val="0"/>
                <w:szCs w:val="21"/>
                <w:highlight w:val="none"/>
              </w:rPr>
              <w:t>完善程度、可行性、合理性强，得</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技术方案架构</w:t>
            </w:r>
            <w:r>
              <w:rPr>
                <w:rFonts w:hint="eastAsia" w:ascii="宋体" w:hAnsi="宋体" w:eastAsia="宋体" w:cs="宋体"/>
                <w:color w:val="auto"/>
                <w:kern w:val="0"/>
                <w:szCs w:val="21"/>
                <w:highlight w:val="none"/>
              </w:rPr>
              <w:t>较</w:t>
            </w:r>
            <w:r>
              <w:rPr>
                <w:rFonts w:hint="eastAsia" w:ascii="宋体" w:hAnsi="宋体" w:eastAsia="宋体" w:cs="宋体"/>
                <w:color w:val="auto"/>
                <w:szCs w:val="21"/>
                <w:highlight w:val="none"/>
              </w:rPr>
              <w:t>清晰，</w:t>
            </w:r>
            <w:r>
              <w:rPr>
                <w:rFonts w:hint="eastAsia" w:ascii="宋体" w:hAnsi="宋体" w:eastAsia="宋体" w:cs="宋体"/>
                <w:color w:val="auto"/>
                <w:kern w:val="0"/>
                <w:szCs w:val="21"/>
                <w:highlight w:val="none"/>
              </w:rPr>
              <w:t>完善程度、可行性、合理性较好得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技术方案架构</w:t>
            </w:r>
            <w:r>
              <w:rPr>
                <w:rFonts w:hint="eastAsia" w:ascii="宋体" w:hAnsi="宋体" w:eastAsia="宋体" w:cs="宋体"/>
                <w:color w:val="auto"/>
                <w:kern w:val="0"/>
                <w:szCs w:val="21"/>
                <w:highlight w:val="none"/>
              </w:rPr>
              <w:t>一般</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完善程度、可行性、合理性一般，得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49"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54"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安装调试、验收方案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5分）</w:t>
            </w:r>
          </w:p>
        </w:tc>
        <w:tc>
          <w:tcPr>
            <w:tcW w:w="6103" w:type="dxa"/>
            <w:noWrap w:val="0"/>
            <w:vAlign w:val="center"/>
          </w:tcPr>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根据投标人提供的安装调试、验收方案的科学性、合理性和可行性进行对比，安装调试、验收方案</w:t>
            </w:r>
            <w:r>
              <w:rPr>
                <w:rFonts w:hint="eastAsia" w:ascii="宋体" w:hAnsi="宋体" w:eastAsia="宋体" w:cs="宋体"/>
                <w:color w:val="auto"/>
                <w:szCs w:val="21"/>
                <w:highlight w:val="none"/>
              </w:rPr>
              <w:t>架构清晰，</w:t>
            </w:r>
            <w:r>
              <w:rPr>
                <w:rFonts w:hint="eastAsia" w:ascii="宋体" w:hAnsi="宋体" w:eastAsia="宋体" w:cs="宋体"/>
                <w:color w:val="auto"/>
                <w:kern w:val="0"/>
                <w:szCs w:val="21"/>
                <w:highlight w:val="none"/>
              </w:rPr>
              <w:t>完善程度、可行性、合理性强，得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lang w:val="en-US" w:eastAsia="zh-CN"/>
              </w:rPr>
              <w:t>安装调试、验收方案</w:t>
            </w:r>
            <w:r>
              <w:rPr>
                <w:rFonts w:hint="eastAsia" w:ascii="宋体" w:hAnsi="宋体" w:eastAsia="宋体" w:cs="宋体"/>
                <w:color w:val="auto"/>
                <w:szCs w:val="21"/>
                <w:highlight w:val="none"/>
              </w:rPr>
              <w:t>架构</w:t>
            </w:r>
            <w:r>
              <w:rPr>
                <w:rFonts w:hint="eastAsia" w:ascii="宋体" w:hAnsi="宋体" w:eastAsia="宋体" w:cs="宋体"/>
                <w:color w:val="auto"/>
                <w:kern w:val="0"/>
                <w:szCs w:val="21"/>
                <w:highlight w:val="none"/>
              </w:rPr>
              <w:t>较</w:t>
            </w:r>
            <w:r>
              <w:rPr>
                <w:rFonts w:hint="eastAsia" w:ascii="宋体" w:hAnsi="宋体" w:eastAsia="宋体" w:cs="宋体"/>
                <w:color w:val="auto"/>
                <w:szCs w:val="21"/>
                <w:highlight w:val="none"/>
              </w:rPr>
              <w:t>清晰，</w:t>
            </w:r>
            <w:r>
              <w:rPr>
                <w:rFonts w:hint="eastAsia" w:ascii="宋体" w:hAnsi="宋体" w:eastAsia="宋体" w:cs="宋体"/>
                <w:color w:val="auto"/>
                <w:kern w:val="0"/>
                <w:szCs w:val="21"/>
                <w:highlight w:val="none"/>
              </w:rPr>
              <w:t>完善程度、可行性、合理性较好得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lang w:val="en-US" w:eastAsia="zh-CN"/>
              </w:rPr>
              <w:t>安装调试、验收方案</w:t>
            </w:r>
            <w:r>
              <w:rPr>
                <w:rFonts w:hint="eastAsia" w:ascii="宋体" w:hAnsi="宋体" w:eastAsia="宋体" w:cs="宋体"/>
                <w:color w:val="auto"/>
                <w:szCs w:val="21"/>
                <w:highlight w:val="none"/>
              </w:rPr>
              <w:t>架构</w:t>
            </w:r>
            <w:r>
              <w:rPr>
                <w:rFonts w:hint="eastAsia" w:ascii="宋体" w:hAnsi="宋体" w:eastAsia="宋体" w:cs="宋体"/>
                <w:color w:val="auto"/>
                <w:kern w:val="0"/>
                <w:szCs w:val="21"/>
                <w:highlight w:val="none"/>
              </w:rPr>
              <w:t>一般</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完善程度、可行性、合理性一般，得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1154" w:type="dxa"/>
            <w:vMerge w:val="restart"/>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综合</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118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投标人或所投产品供应商实力、信誉（</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6103"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1）投标人具有ISO9001、ISO14001、I</w:t>
            </w:r>
            <w:r>
              <w:rPr>
                <w:rFonts w:hint="eastAsia" w:ascii="宋体" w:hAnsi="宋体" w:eastAsia="宋体" w:cs="宋体"/>
                <w:color w:val="auto"/>
                <w:highlight w:val="none"/>
                <w:lang w:val="en-US" w:eastAsia="zh-CN"/>
              </w:rPr>
              <w:t>SO</w:t>
            </w:r>
            <w:r>
              <w:rPr>
                <w:rFonts w:hint="eastAsia" w:ascii="宋体" w:hAnsi="宋体" w:eastAsia="宋体" w:cs="宋体"/>
                <w:color w:val="auto"/>
                <w:highlight w:val="none"/>
              </w:rPr>
              <w:t>45001三体系认证证书，</w:t>
            </w:r>
            <w:r>
              <w:rPr>
                <w:rFonts w:hint="eastAsia" w:ascii="宋体" w:hAnsi="宋体" w:cs="宋体"/>
                <w:color w:val="auto"/>
                <w:highlight w:val="none"/>
                <w:lang w:eastAsia="zh-CN"/>
              </w:rPr>
              <w:t>提供一个得</w:t>
            </w:r>
            <w:r>
              <w:rPr>
                <w:rFonts w:hint="eastAsia" w:ascii="宋体" w:hAnsi="宋体" w:cs="宋体"/>
                <w:color w:val="auto"/>
                <w:highlight w:val="none"/>
                <w:lang w:val="en-US" w:eastAsia="zh-CN"/>
              </w:rPr>
              <w:t>1分，最多得3分，</w:t>
            </w:r>
            <w:r>
              <w:rPr>
                <w:rFonts w:hint="eastAsia" w:ascii="宋体" w:hAnsi="宋体" w:eastAsia="宋体" w:cs="宋体"/>
                <w:color w:val="auto"/>
                <w:highlight w:val="none"/>
              </w:rPr>
              <w:t>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投标人具有ISO27001管理体系和ISO20000管理体系认证证书</w:t>
            </w:r>
            <w:r>
              <w:rPr>
                <w:rFonts w:hint="eastAsia" w:ascii="宋体" w:hAnsi="宋体" w:cs="宋体"/>
                <w:color w:val="auto"/>
                <w:highlight w:val="none"/>
                <w:lang w:eastAsia="zh-CN"/>
              </w:rPr>
              <w:t>，每提供一个得</w:t>
            </w:r>
            <w:r>
              <w:rPr>
                <w:rFonts w:hint="eastAsia" w:ascii="宋体" w:hAnsi="宋体" w:cs="宋体"/>
                <w:color w:val="auto"/>
                <w:highlight w:val="none"/>
                <w:lang w:val="en-US" w:eastAsia="zh-CN"/>
              </w:rPr>
              <w:t>1分，最多</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3）投标人具有</w:t>
            </w:r>
            <w:r>
              <w:rPr>
                <w:rFonts w:hint="eastAsia" w:ascii="宋体" w:hAnsi="宋体" w:eastAsia="宋体" w:cs="宋体"/>
                <w:color w:val="auto"/>
                <w:szCs w:val="21"/>
                <w:highlight w:val="none"/>
                <w:lang w:val="zh-CN"/>
              </w:rPr>
              <w:t>AAA</w:t>
            </w:r>
            <w:r>
              <w:rPr>
                <w:rFonts w:hint="eastAsia" w:ascii="宋体" w:hAnsi="宋体" w:eastAsia="宋体" w:cs="宋体"/>
                <w:color w:val="auto"/>
                <w:highlight w:val="none"/>
              </w:rPr>
              <w:t>信用等级证书得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val="en-US" w:eastAsia="zh-CN"/>
              </w:rPr>
              <w:t>2A得1分，</w:t>
            </w:r>
            <w:r>
              <w:rPr>
                <w:rFonts w:hint="eastAsia" w:ascii="宋体" w:hAnsi="宋体" w:eastAsia="宋体" w:cs="宋体"/>
                <w:color w:val="auto"/>
                <w:highlight w:val="none"/>
              </w:rPr>
              <w:t>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4）生</w:t>
            </w:r>
            <w:r>
              <w:rPr>
                <w:rFonts w:hint="eastAsia" w:ascii="宋体" w:hAnsi="宋体" w:cs="宋体"/>
                <w:color w:val="auto"/>
                <w:highlight w:val="none"/>
                <w:lang w:eastAsia="zh-CN"/>
              </w:rPr>
              <w:t>产厂家</w:t>
            </w:r>
            <w:r>
              <w:rPr>
                <w:rFonts w:hint="eastAsia" w:ascii="宋体" w:hAnsi="宋体" w:eastAsia="宋体" w:cs="宋体"/>
                <w:color w:val="auto"/>
                <w:highlight w:val="none"/>
              </w:rPr>
              <w:t>具有软件企业产品成熟度CMMI3及CMMI3以上证书得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lang w:eastAsia="zh-CN"/>
              </w:rPr>
              <w:t>生产厂家</w:t>
            </w:r>
            <w:r>
              <w:rPr>
                <w:rFonts w:hint="eastAsia" w:ascii="宋体" w:hAnsi="宋体" w:eastAsia="宋体" w:cs="宋体"/>
                <w:color w:val="auto"/>
                <w:highlight w:val="none"/>
              </w:rPr>
              <w:t>具有高新技术企业证书得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b w:val="0"/>
                <w:bCs w:val="0"/>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lang w:eastAsia="zh-CN"/>
              </w:rPr>
              <w:t>生产厂家</w:t>
            </w:r>
            <w:r>
              <w:rPr>
                <w:rFonts w:hint="eastAsia" w:ascii="宋体" w:hAnsi="宋体" w:cs="宋体"/>
                <w:color w:val="auto"/>
                <w:highlight w:val="none"/>
                <w:lang w:val="en-US" w:eastAsia="zh-CN"/>
              </w:rPr>
              <w:t>具</w:t>
            </w:r>
            <w:r>
              <w:rPr>
                <w:rFonts w:hint="eastAsia" w:ascii="宋体" w:hAnsi="宋体" w:eastAsia="宋体" w:cs="宋体"/>
                <w:color w:val="auto"/>
                <w:highlight w:val="none"/>
              </w:rPr>
              <w:t>有知识</w:t>
            </w:r>
            <w:r>
              <w:rPr>
                <w:rFonts w:hint="eastAsia" w:ascii="宋体" w:hAnsi="宋体" w:eastAsia="宋体" w:cs="宋体"/>
                <w:b w:val="0"/>
                <w:bCs w:val="0"/>
                <w:color w:val="auto"/>
                <w:highlight w:val="none"/>
              </w:rPr>
              <w:t>产权管理体系认证证书得</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分，未提供不得分；</w:t>
            </w:r>
          </w:p>
          <w:p>
            <w:pPr>
              <w:keepNext w:val="0"/>
              <w:keepLines w:val="0"/>
              <w:suppressLineNumbers w:val="0"/>
              <w:spacing w:before="0" w:beforeAutospacing="0" w:after="0" w:afterAutospacing="0"/>
              <w:ind w:left="0" w:right="0"/>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7）超融合服务器</w:t>
            </w:r>
            <w:r>
              <w:rPr>
                <w:rFonts w:hint="eastAsia" w:ascii="宋体" w:hAnsi="宋体" w:cs="宋体"/>
                <w:color w:val="auto"/>
                <w:sz w:val="21"/>
                <w:szCs w:val="21"/>
                <w:highlight w:val="none"/>
              </w:rPr>
              <w:t>厂商提供针对本项目的售后服务承诺函。产品厂商需满足并通过《售后服务体系完善程度认证评价规范》（CTEAS1001-2017）标准认证，要求售后服务体系认证达到</w:t>
            </w:r>
            <w:r>
              <w:rPr>
                <w:rFonts w:hint="eastAsia" w:ascii="宋体" w:hAnsi="宋体" w:cs="宋体"/>
                <w:color w:val="auto"/>
                <w:sz w:val="21"/>
                <w:szCs w:val="21"/>
                <w:highlight w:val="none"/>
                <w:lang w:eastAsia="zh-CN"/>
              </w:rPr>
              <w:t>五</w:t>
            </w:r>
            <w:r>
              <w:rPr>
                <w:rFonts w:hint="eastAsia" w:ascii="宋体" w:hAnsi="宋体" w:cs="宋体"/>
                <w:color w:val="auto"/>
                <w:sz w:val="21"/>
                <w:szCs w:val="21"/>
                <w:highlight w:val="none"/>
              </w:rPr>
              <w:t>星级及以上，提供证书复印件并由制造商盖章</w:t>
            </w:r>
            <w:r>
              <w:rPr>
                <w:rFonts w:hint="eastAsia" w:ascii="宋体" w:hAnsi="宋体" w:cs="宋体"/>
                <w:color w:val="auto"/>
                <w:sz w:val="21"/>
                <w:szCs w:val="21"/>
                <w:highlight w:val="none"/>
                <w:lang w:eastAsia="zh-CN"/>
              </w:rPr>
              <w:t>，每项得</w:t>
            </w:r>
            <w:r>
              <w:rPr>
                <w:rFonts w:hint="eastAsia" w:ascii="宋体" w:hAnsi="宋体" w:cs="宋体"/>
                <w:color w:val="auto"/>
                <w:sz w:val="21"/>
                <w:szCs w:val="21"/>
                <w:highlight w:val="none"/>
                <w:lang w:val="en-US" w:eastAsia="zh-CN"/>
              </w:rPr>
              <w:t>1分，最多</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b w:val="0"/>
                <w:bCs w:val="0"/>
                <w:color w:val="auto"/>
                <w:kern w:val="0"/>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b w:val="0"/>
                <w:bCs w:val="0"/>
                <w:color w:val="auto"/>
                <w:highlight w:val="none"/>
              </w:rPr>
              <w:t>投标人同时具有</w:t>
            </w:r>
            <w:r>
              <w:rPr>
                <w:rFonts w:hint="eastAsia" w:ascii="宋体" w:hAnsi="宋体" w:eastAsia="宋体" w:cs="宋体"/>
                <w:b w:val="0"/>
                <w:bCs w:val="0"/>
                <w:color w:val="auto"/>
                <w:highlight w:val="none"/>
                <w:lang w:val="en-US" w:eastAsia="zh-CN"/>
              </w:rPr>
              <w:t>检验信息系统</w:t>
            </w:r>
            <w:r>
              <w:rPr>
                <w:rFonts w:hint="eastAsia" w:ascii="宋体" w:hAnsi="宋体" w:eastAsia="宋体" w:cs="宋体"/>
                <w:b w:val="0"/>
                <w:bCs w:val="0"/>
                <w:color w:val="auto"/>
                <w:highlight w:val="none"/>
                <w:lang w:eastAsia="zh-CN"/>
              </w:rPr>
              <w:t>、临床危急值管理系统</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lang w:eastAsia="zh-CN"/>
              </w:rPr>
              <w:t>电子处方流转系统、公立医院绩效考核数据上报系统、食源性疾病监测报告系统、健康管理系统、</w:t>
            </w:r>
            <w:r>
              <w:rPr>
                <w:rFonts w:hint="eastAsia" w:ascii="宋体" w:hAnsi="宋体" w:eastAsia="宋体" w:cs="宋体"/>
                <w:b w:val="0"/>
                <w:bCs w:val="0"/>
                <w:color w:val="auto"/>
                <w:highlight w:val="none"/>
              </w:rPr>
              <w:t>医技预约系统</w:t>
            </w:r>
            <w:r>
              <w:rPr>
                <w:rFonts w:hint="eastAsia" w:ascii="宋体" w:hAnsi="宋体" w:eastAsia="宋体" w:cs="宋体"/>
                <w:b w:val="0"/>
                <w:bCs w:val="0"/>
                <w:color w:val="auto"/>
                <w:highlight w:val="none"/>
                <w:lang w:eastAsia="zh-CN"/>
              </w:rPr>
              <w:t>、体检信息管理系统</w:t>
            </w:r>
            <w:r>
              <w:rPr>
                <w:rFonts w:hint="eastAsia" w:ascii="宋体" w:hAnsi="宋体" w:eastAsia="宋体" w:cs="宋体"/>
                <w:b w:val="0"/>
                <w:bCs w:val="0"/>
                <w:color w:val="auto"/>
                <w:kern w:val="0"/>
                <w:szCs w:val="21"/>
                <w:highlight w:val="none"/>
              </w:rPr>
              <w:t>著作权证书</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lang w:val="en-US" w:eastAsia="zh-CN"/>
              </w:rPr>
              <w:t>每提供一项得1分，最高得8分</w:t>
            </w:r>
            <w:r>
              <w:rPr>
                <w:rFonts w:hint="eastAsia" w:ascii="宋体" w:hAnsi="宋体" w:eastAsia="宋体" w:cs="宋体"/>
                <w:b w:val="0"/>
                <w:bCs w:val="0"/>
                <w:color w:val="auto"/>
                <w:kern w:val="0"/>
                <w:szCs w:val="21"/>
                <w:highlight w:val="none"/>
              </w:rPr>
              <w:t>。</w:t>
            </w:r>
          </w:p>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2"/>
                <w:sz w:val="32"/>
                <w:szCs w:val="21"/>
                <w:highlight w:val="none"/>
                <w:lang w:val="en-US" w:eastAsia="zh-CN" w:bidi="ar-SA"/>
              </w:rPr>
            </w:pPr>
            <w:r>
              <w:rPr>
                <w:rFonts w:hint="eastAsia" w:ascii="宋体" w:hAnsi="宋体" w:eastAsia="宋体" w:cs="宋体"/>
                <w:color w:val="auto"/>
                <w:kern w:val="0"/>
                <w:szCs w:val="21"/>
                <w:highlight w:val="none"/>
              </w:rPr>
              <w:t>（以上所述均须提供证明文件复印件并加盖单位公章）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54"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8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业绩</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103" w:type="dxa"/>
            <w:noWrap w:val="0"/>
            <w:vAlign w:val="center"/>
          </w:tcPr>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投标人或所投产品供应商提供20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年1月1日以来</w:t>
            </w:r>
            <w:r>
              <w:rPr>
                <w:rFonts w:hint="eastAsia" w:ascii="宋体" w:hAnsi="宋体" w:eastAsia="宋体" w:cs="宋体"/>
                <w:color w:val="auto"/>
                <w:kern w:val="0"/>
                <w:szCs w:val="21"/>
                <w:highlight w:val="none"/>
                <w:lang w:val="zh-CN"/>
              </w:rPr>
              <w:t>（以合同签订时间为准）类似</w:t>
            </w:r>
            <w:r>
              <w:rPr>
                <w:rFonts w:hint="eastAsia" w:ascii="宋体" w:hAnsi="宋体" w:eastAsia="宋体" w:cs="宋体"/>
                <w:color w:val="auto"/>
                <w:kern w:val="0"/>
                <w:szCs w:val="21"/>
                <w:highlight w:val="none"/>
              </w:rPr>
              <w:t>项目相关业绩，每提供一份得</w:t>
            </w:r>
            <w:r>
              <w:rPr>
                <w:rFonts w:hint="eastAsia" w:ascii="宋体" w:hAnsi="宋体" w:eastAsia="宋体" w:cs="宋体"/>
                <w:color w:val="auto"/>
                <w:kern w:val="0"/>
                <w:szCs w:val="21"/>
                <w:highlight w:val="none"/>
                <w:shd w:val="clear"/>
                <w:lang w:val="en-US" w:eastAsia="zh-CN"/>
              </w:rPr>
              <w:t>2</w:t>
            </w:r>
            <w:r>
              <w:rPr>
                <w:rFonts w:hint="eastAsia" w:ascii="宋体" w:hAnsi="宋体" w:eastAsia="宋体" w:cs="宋体"/>
                <w:color w:val="auto"/>
                <w:kern w:val="0"/>
                <w:szCs w:val="21"/>
                <w:highlight w:val="none"/>
                <w:shd w:val="clear"/>
              </w:rPr>
              <w:t>分，</w:t>
            </w:r>
            <w:r>
              <w:rPr>
                <w:rFonts w:hint="eastAsia" w:ascii="宋体" w:hAnsi="宋体" w:eastAsia="宋体" w:cs="宋体"/>
                <w:color w:val="auto"/>
                <w:kern w:val="0"/>
                <w:szCs w:val="21"/>
                <w:highlight w:val="none"/>
              </w:rPr>
              <w:t>最高得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分，未提供不得分。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zh-CN"/>
              </w:rPr>
              <w:t>注：</w:t>
            </w:r>
            <w:r>
              <w:rPr>
                <w:rFonts w:hint="eastAsia" w:ascii="宋体" w:hAnsi="宋体" w:eastAsia="宋体" w:cs="宋体"/>
                <w:color w:val="auto"/>
                <w:kern w:val="0"/>
                <w:szCs w:val="21"/>
                <w:highlight w:val="none"/>
              </w:rPr>
              <w:t>须</w:t>
            </w:r>
            <w:r>
              <w:rPr>
                <w:rFonts w:hint="eastAsia" w:ascii="宋体" w:hAnsi="宋体" w:eastAsia="宋体" w:cs="宋体"/>
                <w:color w:val="auto"/>
                <w:kern w:val="0"/>
                <w:szCs w:val="21"/>
                <w:highlight w:val="none"/>
                <w:lang w:val="zh-CN"/>
              </w:rPr>
              <w:t>提供合同包含合同首页、标的所在页、双方签字盖章页。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54"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6103" w:type="dxa"/>
            <w:noWrap w:val="0"/>
            <w:vAlign w:val="center"/>
          </w:tcPr>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投标人或所投产品供应商根据本项目提供售后服务方案包含服务内容、服务响应时间、技术支持方式、应急响应措施内容</w:t>
            </w:r>
            <w:r>
              <w:rPr>
                <w:rFonts w:hint="eastAsia" w:ascii="宋体" w:hAnsi="宋体" w:cs="宋体"/>
                <w:color w:val="auto"/>
                <w:kern w:val="0"/>
                <w:szCs w:val="21"/>
                <w:highlight w:val="none"/>
                <w:lang w:eastAsia="zh-CN"/>
              </w:rPr>
              <w:t>。</w:t>
            </w:r>
          </w:p>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cs="宋体"/>
                <w:color w:val="auto"/>
                <w:kern w:val="0"/>
                <w:szCs w:val="21"/>
                <w:highlight w:val="none"/>
                <w:lang w:eastAsia="zh-CN"/>
              </w:rPr>
            </w:pPr>
            <w:r>
              <w:rPr>
                <w:rFonts w:hint="eastAsia" w:ascii="宋体" w:hAnsi="宋体" w:cs="宋体"/>
                <w:color w:val="auto"/>
                <w:szCs w:val="21"/>
                <w:highlight w:val="none"/>
                <w:lang w:eastAsia="zh-CN"/>
              </w:rPr>
              <w:t>售后服务</w:t>
            </w:r>
            <w:r>
              <w:rPr>
                <w:rFonts w:hint="eastAsia" w:ascii="宋体" w:hAnsi="宋体" w:eastAsia="宋体" w:cs="宋体"/>
                <w:color w:val="auto"/>
                <w:szCs w:val="21"/>
                <w:highlight w:val="none"/>
              </w:rPr>
              <w:t>方案架构清晰，</w:t>
            </w:r>
            <w:r>
              <w:rPr>
                <w:rFonts w:hint="eastAsia" w:ascii="宋体" w:hAnsi="宋体" w:eastAsia="宋体" w:cs="宋体"/>
                <w:color w:val="auto"/>
                <w:kern w:val="0"/>
                <w:szCs w:val="21"/>
                <w:highlight w:val="none"/>
              </w:rPr>
              <w:t>完善程度、可行性、合理性强，得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cs="宋体"/>
                <w:color w:val="auto"/>
                <w:szCs w:val="21"/>
                <w:highlight w:val="none"/>
                <w:lang w:eastAsia="zh-CN"/>
              </w:rPr>
              <w:t>售后服务</w:t>
            </w:r>
            <w:r>
              <w:rPr>
                <w:rFonts w:hint="eastAsia" w:ascii="宋体" w:hAnsi="宋体" w:eastAsia="宋体" w:cs="宋体"/>
                <w:color w:val="auto"/>
                <w:szCs w:val="21"/>
                <w:highlight w:val="none"/>
              </w:rPr>
              <w:t>架构</w:t>
            </w:r>
            <w:r>
              <w:rPr>
                <w:rFonts w:hint="eastAsia" w:ascii="宋体" w:hAnsi="宋体" w:eastAsia="宋体" w:cs="宋体"/>
                <w:color w:val="auto"/>
                <w:kern w:val="0"/>
                <w:szCs w:val="21"/>
                <w:highlight w:val="none"/>
              </w:rPr>
              <w:t>较</w:t>
            </w:r>
            <w:r>
              <w:rPr>
                <w:rFonts w:hint="eastAsia" w:ascii="宋体" w:hAnsi="宋体" w:eastAsia="宋体" w:cs="宋体"/>
                <w:color w:val="auto"/>
                <w:szCs w:val="21"/>
                <w:highlight w:val="none"/>
              </w:rPr>
              <w:t>清晰，</w:t>
            </w:r>
            <w:r>
              <w:rPr>
                <w:rFonts w:hint="eastAsia" w:ascii="宋体" w:hAnsi="宋体" w:eastAsia="宋体" w:cs="宋体"/>
                <w:color w:val="auto"/>
                <w:kern w:val="0"/>
                <w:szCs w:val="21"/>
                <w:highlight w:val="none"/>
              </w:rPr>
              <w:t>完善程度、可行性、合理性较好得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cs="宋体"/>
                <w:color w:val="auto"/>
                <w:szCs w:val="21"/>
                <w:highlight w:val="none"/>
                <w:lang w:eastAsia="zh-CN"/>
              </w:rPr>
              <w:t>售后服务</w:t>
            </w:r>
            <w:r>
              <w:rPr>
                <w:rFonts w:hint="eastAsia" w:ascii="宋体" w:hAnsi="宋体" w:eastAsia="宋体" w:cs="宋体"/>
                <w:color w:val="auto"/>
                <w:szCs w:val="21"/>
                <w:highlight w:val="none"/>
              </w:rPr>
              <w:t>架构</w:t>
            </w:r>
            <w:r>
              <w:rPr>
                <w:rFonts w:hint="eastAsia" w:ascii="宋体" w:hAnsi="宋体" w:eastAsia="宋体" w:cs="宋体"/>
                <w:color w:val="auto"/>
                <w:kern w:val="0"/>
                <w:szCs w:val="21"/>
                <w:highlight w:val="none"/>
              </w:rPr>
              <w:t>一般</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完善程度、可行性、合理性一般，得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54"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6103" w:type="dxa"/>
            <w:noWrap w:val="0"/>
            <w:vAlign w:val="center"/>
          </w:tcPr>
          <w:p>
            <w:pPr>
              <w:pStyle w:val="8"/>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培训计划完善、培训内容全面、培训方案可操作性强，得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分；培训计划基本完善、培训内容涵盖主要内容、培训方案可操作性一般，得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3" w:type="dxa"/>
            <w:gridSpan w:val="2"/>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18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both"/>
              <w:textAlignment w:val="auto"/>
              <w:rPr>
                <w:rFonts w:hint="eastAsia" w:ascii="宋体" w:hAnsi="宋体" w:eastAsia="宋体" w:cs="宋体"/>
                <w:color w:val="auto"/>
                <w:highlight w:val="none"/>
              </w:rPr>
            </w:pPr>
          </w:p>
        </w:tc>
        <w:tc>
          <w:tcPr>
            <w:tcW w:w="6103"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100</w:t>
            </w:r>
            <w:r>
              <w:rPr>
                <w:rFonts w:hint="eastAsia" w:ascii="宋体" w:hAnsi="宋体" w:eastAsia="宋体" w:cs="宋体"/>
                <w:color w:val="auto"/>
                <w:highlight w:val="none"/>
                <w:lang w:val="en-US" w:eastAsia="zh-CN"/>
              </w:rPr>
              <w:t>分</w:t>
            </w:r>
          </w:p>
        </w:tc>
      </w:tr>
    </w:tbl>
    <w:p>
      <w:pPr>
        <w:keepNext w:val="0"/>
        <w:keepLines w:val="0"/>
        <w:pageBreakBefore/>
        <w:widowControl w:val="0"/>
        <w:tabs>
          <w:tab w:val="left" w:pos="170"/>
          <w:tab w:val="left" w:pos="303"/>
          <w:tab w:val="left" w:pos="420"/>
        </w:tabs>
        <w:kinsoku/>
        <w:wordWrap/>
        <w:overflowPunct/>
        <w:topLinePunct w:val="0"/>
        <w:autoSpaceDE/>
        <w:autoSpaceDN/>
        <w:bidi w:val="0"/>
        <w:adjustRightInd w:val="0"/>
        <w:snapToGrid w:val="0"/>
        <w:spacing w:line="360" w:lineRule="auto"/>
        <w:textAlignment w:val="auto"/>
        <w:outlineLvl w:val="9"/>
        <w:rPr>
          <w:rFonts w:ascii="宋体" w:hAnsi="宋体" w:cs="宋体"/>
          <w:b/>
          <w:szCs w:val="21"/>
          <w:highlight w:val="none"/>
        </w:rPr>
      </w:pPr>
      <w:r>
        <w:rPr>
          <w:rFonts w:ascii="宋体" w:hAnsi="宋体" w:cs="宋体"/>
          <w:b/>
          <w:szCs w:val="21"/>
          <w:highlight w:val="none"/>
        </w:rPr>
        <w:t>1.</w:t>
      </w:r>
      <w:bookmarkStart w:id="280" w:name="_Toc3350"/>
      <w:bookmarkStart w:id="281" w:name="_Toc10429"/>
      <w:bookmarkStart w:id="282" w:name="_Toc6843"/>
      <w:r>
        <w:rPr>
          <w:rFonts w:hint="eastAsia" w:ascii="宋体" w:hAnsi="宋体" w:cs="宋体"/>
          <w:b/>
          <w:szCs w:val="21"/>
          <w:highlight w:val="none"/>
        </w:rPr>
        <w:t>评标准则和评标方法</w:t>
      </w:r>
      <w:bookmarkEnd w:id="272"/>
      <w:bookmarkEnd w:id="273"/>
      <w:bookmarkEnd w:id="274"/>
      <w:bookmarkEnd w:id="275"/>
      <w:bookmarkEnd w:id="276"/>
      <w:bookmarkEnd w:id="280"/>
      <w:bookmarkEnd w:id="281"/>
      <w:bookmarkEnd w:id="28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1.1 评标过程将遵循“公平、公正、科学、择优”的原则进行。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1.2 评标将严格按照招标文件的要求和条件进行。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1.3 本次评标采用综合评分法。</w:t>
      </w:r>
    </w:p>
    <w:p>
      <w:pPr>
        <w:keepNext w:val="0"/>
        <w:keepLines w:val="0"/>
        <w:pageBreakBefore w:val="0"/>
        <w:widowControl w:val="0"/>
        <w:tabs>
          <w:tab w:val="left" w:pos="170"/>
          <w:tab w:val="left" w:pos="303"/>
          <w:tab w:val="left" w:pos="420"/>
        </w:tabs>
        <w:kinsoku/>
        <w:wordWrap/>
        <w:overflowPunct/>
        <w:topLinePunct w:val="0"/>
        <w:autoSpaceDE/>
        <w:autoSpaceDN/>
        <w:bidi w:val="0"/>
        <w:adjustRightInd w:val="0"/>
        <w:snapToGrid w:val="0"/>
        <w:spacing w:line="360" w:lineRule="auto"/>
        <w:textAlignment w:val="auto"/>
        <w:outlineLvl w:val="9"/>
        <w:rPr>
          <w:rFonts w:ascii="宋体" w:hAnsi="宋体" w:cs="宋体"/>
          <w:b/>
          <w:szCs w:val="21"/>
          <w:highlight w:val="none"/>
        </w:rPr>
      </w:pPr>
      <w:bookmarkStart w:id="283" w:name="_Toc3472"/>
      <w:bookmarkStart w:id="284" w:name="_Toc466017208"/>
      <w:bookmarkStart w:id="285" w:name="_Toc454147539"/>
      <w:bookmarkStart w:id="286" w:name="_Toc13195"/>
      <w:bookmarkStart w:id="287" w:name="_Toc7951"/>
      <w:bookmarkStart w:id="288" w:name="_Toc8852"/>
      <w:bookmarkStart w:id="289" w:name="_Toc465502580"/>
      <w:bookmarkStart w:id="290" w:name="_Toc15449"/>
      <w:r>
        <w:rPr>
          <w:rFonts w:ascii="宋体" w:hAnsi="宋体" w:cs="宋体"/>
          <w:b/>
          <w:szCs w:val="21"/>
          <w:highlight w:val="none"/>
        </w:rPr>
        <w:t>2.</w:t>
      </w:r>
      <w:r>
        <w:rPr>
          <w:rFonts w:hint="eastAsia" w:ascii="宋体" w:hAnsi="宋体" w:cs="宋体"/>
          <w:b/>
          <w:szCs w:val="21"/>
          <w:highlight w:val="none"/>
        </w:rPr>
        <w:t>评审标准</w:t>
      </w:r>
      <w:bookmarkEnd w:id="283"/>
      <w:bookmarkEnd w:id="284"/>
      <w:bookmarkEnd w:id="285"/>
      <w:bookmarkEnd w:id="286"/>
      <w:bookmarkEnd w:id="287"/>
      <w:bookmarkEnd w:id="288"/>
      <w:bookmarkEnd w:id="289"/>
      <w:bookmarkEnd w:id="29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2.1 资格评审标准：详见《评分办法前附表》中资格评审标准。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rPr>
      </w:pPr>
      <w:r>
        <w:rPr>
          <w:rFonts w:hint="eastAsia" w:ascii="宋体" w:hAnsi="宋体" w:cs="宋体"/>
          <w:szCs w:val="21"/>
          <w:highlight w:val="none"/>
        </w:rPr>
        <w:t>2.2 评分标准：详</w:t>
      </w:r>
      <w:r>
        <w:rPr>
          <w:rFonts w:hint="eastAsia" w:ascii="宋体" w:hAnsi="宋体" w:cs="宋体"/>
          <w:szCs w:val="21"/>
          <w:highlight w:val="none"/>
        </w:rPr>
        <w:t>见《评分办法前附表》报价部分、技术部分、</w:t>
      </w:r>
      <w:r>
        <w:rPr>
          <w:rFonts w:hint="eastAsia" w:ascii="宋体" w:hAnsi="宋体" w:cs="宋体"/>
          <w:szCs w:val="21"/>
          <w:highlight w:val="none"/>
          <w:lang w:val="en-US" w:eastAsia="zh-CN"/>
        </w:rPr>
        <w:t>综合</w:t>
      </w:r>
      <w:r>
        <w:rPr>
          <w:rFonts w:hint="eastAsia" w:ascii="宋体" w:hAnsi="宋体" w:cs="宋体"/>
          <w:szCs w:val="21"/>
          <w:highlight w:val="none"/>
        </w:rPr>
        <w:t>部分评审因素</w:t>
      </w:r>
      <w:r>
        <w:rPr>
          <w:rFonts w:hint="eastAsia" w:ascii="宋体" w:hAnsi="宋体" w:cs="宋体"/>
          <w:szCs w:val="21"/>
          <w:highlight w:val="none"/>
        </w:rPr>
        <w:t>。</w:t>
      </w:r>
    </w:p>
    <w:p>
      <w:pPr>
        <w:keepNext w:val="0"/>
        <w:keepLines w:val="0"/>
        <w:pageBreakBefore w:val="0"/>
        <w:widowControl w:val="0"/>
        <w:tabs>
          <w:tab w:val="left" w:pos="170"/>
          <w:tab w:val="left" w:pos="303"/>
          <w:tab w:val="left" w:pos="420"/>
        </w:tabs>
        <w:kinsoku/>
        <w:wordWrap/>
        <w:overflowPunct/>
        <w:topLinePunct w:val="0"/>
        <w:autoSpaceDE/>
        <w:autoSpaceDN/>
        <w:bidi w:val="0"/>
        <w:adjustRightInd w:val="0"/>
        <w:snapToGrid w:val="0"/>
        <w:spacing w:line="360" w:lineRule="auto"/>
        <w:textAlignment w:val="auto"/>
        <w:outlineLvl w:val="9"/>
        <w:rPr>
          <w:rFonts w:ascii="宋体" w:hAnsi="宋体" w:cs="宋体"/>
          <w:b/>
          <w:szCs w:val="21"/>
          <w:highlight w:val="none"/>
        </w:rPr>
      </w:pPr>
      <w:bookmarkStart w:id="291" w:name="_Toc7963"/>
      <w:bookmarkStart w:id="292" w:name="_Toc4292"/>
      <w:bookmarkStart w:id="293" w:name="_Toc19609"/>
      <w:bookmarkStart w:id="294" w:name="_Toc11065"/>
      <w:r>
        <w:rPr>
          <w:rFonts w:ascii="宋体" w:hAnsi="宋体" w:cs="宋体"/>
          <w:b/>
          <w:szCs w:val="21"/>
          <w:highlight w:val="none"/>
        </w:rPr>
        <w:t>3.</w:t>
      </w:r>
      <w:r>
        <w:rPr>
          <w:rFonts w:hint="eastAsia" w:ascii="宋体" w:hAnsi="宋体" w:cs="宋体"/>
          <w:b/>
          <w:szCs w:val="21"/>
          <w:highlight w:val="none"/>
        </w:rPr>
        <w:t>评标程序</w:t>
      </w:r>
      <w:bookmarkEnd w:id="291"/>
      <w:bookmarkEnd w:id="292"/>
      <w:bookmarkEnd w:id="293"/>
      <w:bookmarkEnd w:id="294"/>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ascii="宋体" w:hAnsi="宋体" w:cs="宋体"/>
          <w:b/>
          <w:bCs/>
          <w:szCs w:val="21"/>
          <w:highlight w:val="none"/>
        </w:rPr>
      </w:pPr>
      <w:r>
        <w:rPr>
          <w:rFonts w:hint="eastAsia" w:ascii="宋体" w:hAnsi="宋体" w:cs="宋体"/>
          <w:b/>
          <w:bCs/>
          <w:szCs w:val="21"/>
          <w:highlight w:val="none"/>
        </w:rPr>
        <w:t>3.1初步评审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宋体" w:hAnsi="宋体" w:cs="宋体"/>
          <w:szCs w:val="21"/>
          <w:highlight w:val="none"/>
          <w:lang w:val="zh-CN"/>
        </w:rPr>
      </w:pPr>
      <w:r>
        <w:rPr>
          <w:rFonts w:hint="eastAsia" w:ascii="宋体" w:hAnsi="宋体" w:cs="宋体"/>
          <w:szCs w:val="21"/>
          <w:highlight w:val="none"/>
        </w:rPr>
        <w:t xml:space="preserve">3.11 </w:t>
      </w:r>
      <w:r>
        <w:rPr>
          <w:rFonts w:hint="eastAsia" w:ascii="宋体" w:hAnsi="宋体" w:cs="宋体"/>
          <w:szCs w:val="21"/>
          <w:highlight w:val="none"/>
          <w:lang w:val="zh-CN"/>
        </w:rPr>
        <w:t>采购人或代理机构可以要求投标人提交第二章“投标人须知”规定的有关证明。</w:t>
      </w:r>
      <w:r>
        <w:rPr>
          <w:rFonts w:hint="eastAsia" w:ascii="宋体" w:hAnsi="宋体" w:cs="宋体"/>
          <w:b/>
          <w:bCs/>
          <w:szCs w:val="21"/>
          <w:highlight w:val="none"/>
          <w:lang w:val="zh-CN"/>
        </w:rPr>
        <w:t>采购人或代理机构依据本章资格评审标准规定的标准对投标文件进行资格评审</w:t>
      </w:r>
      <w:r>
        <w:rPr>
          <w:rFonts w:hint="eastAsia" w:ascii="宋体" w:hAnsi="宋体" w:cs="宋体"/>
          <w:szCs w:val="21"/>
          <w:highlight w:val="none"/>
          <w:lang w:val="zh-CN"/>
        </w:rPr>
        <w:t>。有一项不符合资格评审标准的，作无效投标处理。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3.12 </w:t>
      </w:r>
      <w:r>
        <w:rPr>
          <w:rFonts w:hint="eastAsia" w:ascii="宋体" w:hAnsi="宋体" w:cs="宋体"/>
          <w:szCs w:val="21"/>
          <w:highlight w:val="none"/>
          <w:lang w:val="zh-CN"/>
        </w:rPr>
        <w:t>投标文件属下列情况之一的，应当在资格性、符合性检查时按照无效投标处理：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（1）未按照招标文件规定要求签署、盖章的；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（2）不具备招标文件中规定资格要求的；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（3）不符合法律、法规和招标文件中规定的其他实质性要求的。</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3.13 </w:t>
      </w:r>
      <w:r>
        <w:rPr>
          <w:rFonts w:hint="eastAsia" w:ascii="宋体" w:hAnsi="宋体" w:cs="宋体"/>
          <w:szCs w:val="21"/>
          <w:highlight w:val="none"/>
          <w:lang w:val="zh-CN"/>
        </w:rPr>
        <w:t>投标报价有算数错误的，评标委员会按以下原则对投标报价进行修正，修正的价格经投标人书面确认后具有约束力。投标人不接受修正价格的，其投标作无效投标处理。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（2）投标文件中开标一览表内容与投标文件中明细表内容不一致的，以开标一览表为准。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3.2 详细评审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3.2.1 </w:t>
      </w:r>
      <w:r>
        <w:rPr>
          <w:rFonts w:hint="eastAsia" w:ascii="宋体" w:hAnsi="宋体" w:cs="宋体"/>
          <w:szCs w:val="21"/>
          <w:highlight w:val="none"/>
          <w:lang w:val="zh-CN"/>
        </w:rPr>
        <w:t>评标委员会按本章第2.2款的评分标准进行打分，并计算出综合评审得分。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3.2.2 </w:t>
      </w:r>
      <w:r>
        <w:rPr>
          <w:rFonts w:hint="eastAsia" w:ascii="宋体" w:hAnsi="宋体" w:cs="宋体"/>
          <w:szCs w:val="21"/>
          <w:highlight w:val="none"/>
          <w:lang w:val="zh-CN"/>
        </w:rPr>
        <w:t>评标委员会发现投标人的投标总报价</w:t>
      </w:r>
      <w:r>
        <w:rPr>
          <w:rFonts w:hint="eastAsia" w:ascii="宋体" w:hAnsi="宋体" w:cs="宋体"/>
          <w:szCs w:val="21"/>
          <w:highlight w:val="none"/>
        </w:rPr>
        <w:t>高</w:t>
      </w:r>
      <w:r>
        <w:rPr>
          <w:rFonts w:hint="eastAsia" w:ascii="宋体" w:hAnsi="宋体" w:cs="宋体"/>
          <w:szCs w:val="21"/>
          <w:highlight w:val="none"/>
          <w:lang w:val="zh-CN"/>
        </w:rPr>
        <w:t>于</w:t>
      </w:r>
      <w:r>
        <w:rPr>
          <w:rFonts w:hint="eastAsia" w:ascii="宋体" w:hAnsi="宋体" w:cs="宋体"/>
          <w:szCs w:val="21"/>
          <w:highlight w:val="none"/>
        </w:rPr>
        <w:t>招标文件规定的控制价</w:t>
      </w:r>
      <w:r>
        <w:rPr>
          <w:rFonts w:hint="eastAsia" w:ascii="宋体" w:hAnsi="宋体" w:cs="宋体"/>
          <w:szCs w:val="21"/>
          <w:highlight w:val="none"/>
          <w:lang w:val="zh-CN"/>
        </w:rPr>
        <w:t>，评标委员会应按无效投标处理。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3.3 投标文件的澄清和补正</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3.3.1 </w:t>
      </w:r>
      <w:r>
        <w:rPr>
          <w:rFonts w:hint="eastAsia" w:ascii="宋体" w:hAnsi="宋体" w:cs="宋体"/>
          <w:szCs w:val="21"/>
          <w:highlight w:val="none"/>
          <w:lang w:val="zh-CN"/>
        </w:rPr>
        <w:t>在评标过程中，评标委员会可以书面形式要求投标人对所提交投标文件中不明确的内容进行书面澄清或说明，或者对细微偏差进行补正。</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3.3.2 </w:t>
      </w:r>
      <w:r>
        <w:rPr>
          <w:rFonts w:hint="eastAsia" w:ascii="宋体" w:hAnsi="宋体" w:cs="宋体"/>
          <w:szCs w:val="21"/>
          <w:highlight w:val="none"/>
          <w:lang w:val="zh-CN"/>
        </w:rPr>
        <w:t>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3.4 评标结果</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 xml:space="preserve">3.4.1 </w:t>
      </w:r>
      <w:r>
        <w:rPr>
          <w:rFonts w:hint="eastAsia" w:ascii="宋体" w:hAnsi="宋体" w:cs="宋体"/>
          <w:szCs w:val="21"/>
          <w:highlight w:val="none"/>
          <w:lang w:val="zh-CN"/>
        </w:rPr>
        <w:t>投标人得分=报价</w:t>
      </w:r>
      <w:r>
        <w:rPr>
          <w:rFonts w:hint="eastAsia" w:ascii="宋体" w:hAnsi="宋体" w:cs="宋体"/>
          <w:szCs w:val="21"/>
          <w:highlight w:val="none"/>
        </w:rPr>
        <w:t>部分</w:t>
      </w:r>
      <w:r>
        <w:rPr>
          <w:rFonts w:hint="eastAsia" w:ascii="宋体" w:hAnsi="宋体" w:cs="宋体"/>
          <w:szCs w:val="21"/>
          <w:highlight w:val="none"/>
          <w:lang w:val="zh-CN"/>
        </w:rPr>
        <w:t>得分+</w:t>
      </w:r>
      <w:r>
        <w:rPr>
          <w:rFonts w:hint="eastAsia" w:ascii="宋体" w:hAnsi="宋体" w:cs="宋体"/>
          <w:szCs w:val="21"/>
          <w:highlight w:val="none"/>
        </w:rPr>
        <w:t>技术部分得分</w:t>
      </w:r>
      <w:r>
        <w:rPr>
          <w:rFonts w:hint="eastAsia" w:ascii="宋体" w:hAnsi="宋体" w:cs="宋体"/>
          <w:szCs w:val="21"/>
          <w:highlight w:val="none"/>
          <w:lang w:val="zh-CN"/>
        </w:rPr>
        <w:t>+</w:t>
      </w:r>
      <w:r>
        <w:rPr>
          <w:rFonts w:hint="eastAsia" w:ascii="宋体" w:hAnsi="宋体" w:cs="宋体"/>
          <w:szCs w:val="21"/>
          <w:highlight w:val="none"/>
          <w:lang w:val="en-US" w:eastAsia="zh-CN"/>
        </w:rPr>
        <w:t>综合</w:t>
      </w:r>
      <w:r>
        <w:rPr>
          <w:rFonts w:hint="eastAsia" w:ascii="宋体" w:hAnsi="宋体" w:cs="宋体"/>
          <w:szCs w:val="21"/>
          <w:highlight w:val="none"/>
        </w:rPr>
        <w:t>部分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3.4.2</w:t>
      </w:r>
      <w:r>
        <w:rPr>
          <w:rFonts w:hint="eastAsia" w:ascii="宋体" w:hAnsi="宋体" w:cs="宋体"/>
          <w:szCs w:val="21"/>
          <w:highlight w:val="none"/>
          <w:lang w:val="zh-CN"/>
        </w:rPr>
        <w:t>投标人最终得分为评标委员会完成评审后所有评分的算术平均值，作为该投标人最终得分。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3.4.3 </w:t>
      </w:r>
      <w:r>
        <w:rPr>
          <w:rFonts w:hint="eastAsia" w:ascii="宋体" w:hAnsi="宋体" w:cs="宋体"/>
          <w:b/>
          <w:bCs/>
          <w:szCs w:val="21"/>
          <w:highlight w:val="none"/>
        </w:rPr>
        <w:t>评标委员会将按照评标最后得分由高到低的顺序对所有投标文件实质上响应采购文件要求的供应商进行排序；得分相同的，按投标报价由低到高顺序排列；得分和投标报价均相同的，按技术指标优劣（技术及</w:t>
      </w:r>
      <w:r>
        <w:rPr>
          <w:rFonts w:hint="eastAsia" w:ascii="宋体" w:hAnsi="宋体" w:cs="宋体"/>
          <w:b/>
          <w:bCs/>
          <w:szCs w:val="21"/>
          <w:highlight w:val="none"/>
          <w:lang w:eastAsia="zh-CN"/>
        </w:rPr>
        <w:t>综合</w:t>
      </w:r>
      <w:r>
        <w:rPr>
          <w:rFonts w:hint="eastAsia" w:ascii="宋体" w:hAnsi="宋体" w:cs="宋体"/>
          <w:b/>
          <w:bCs/>
          <w:szCs w:val="21"/>
          <w:highlight w:val="none"/>
        </w:rPr>
        <w:t>部分得分由高到低）顺序排列。</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3.4.4 </w:t>
      </w:r>
      <w:r>
        <w:rPr>
          <w:rFonts w:hint="eastAsia" w:ascii="宋体" w:hAnsi="宋体" w:cs="宋体"/>
          <w:szCs w:val="21"/>
          <w:highlight w:val="none"/>
          <w:lang w:val="zh-CN"/>
        </w:rPr>
        <w:t>计分过程中按四舍五入的法则，最终结果取至小数点后两位。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3.4.5 </w:t>
      </w:r>
      <w:r>
        <w:rPr>
          <w:rFonts w:hint="eastAsia" w:ascii="宋体" w:hAnsi="宋体" w:cs="宋体"/>
          <w:szCs w:val="21"/>
          <w:highlight w:val="none"/>
          <w:lang w:val="zh-CN"/>
        </w:rPr>
        <w:t>评标委员会按照得分由高到低的顺序推荐</w:t>
      </w:r>
      <w:r>
        <w:rPr>
          <w:rFonts w:hint="eastAsia" w:ascii="宋体" w:hAnsi="宋体" w:cs="宋体"/>
          <w:szCs w:val="21"/>
          <w:highlight w:val="none"/>
        </w:rPr>
        <w:t>3名</w:t>
      </w:r>
      <w:r>
        <w:rPr>
          <w:rFonts w:hint="eastAsia" w:ascii="宋体" w:hAnsi="宋体" w:cs="宋体"/>
          <w:szCs w:val="21"/>
          <w:highlight w:val="none"/>
          <w:lang w:val="zh-CN"/>
        </w:rPr>
        <w:t>中标候选人。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3.4.6 </w:t>
      </w:r>
      <w:r>
        <w:rPr>
          <w:rFonts w:hint="eastAsia" w:ascii="宋体" w:hAnsi="宋体" w:cs="宋体"/>
          <w:szCs w:val="21"/>
          <w:highlight w:val="none"/>
          <w:lang w:val="zh-CN"/>
        </w:rPr>
        <w:t>评标委员会完成评标后，应当向采购人提交书面评标报告。</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cs="宋体"/>
          <w:b/>
          <w:bCs/>
          <w:szCs w:val="21"/>
          <w:highlight w:val="none"/>
          <w:lang w:val="zh-CN"/>
        </w:rPr>
      </w:pPr>
      <w:r>
        <w:rPr>
          <w:rFonts w:hint="eastAsia" w:ascii="宋体" w:hAnsi="宋体" w:cs="宋体"/>
          <w:b/>
          <w:bCs/>
          <w:szCs w:val="21"/>
          <w:highlight w:val="none"/>
        </w:rPr>
        <w:t xml:space="preserve">3.5 </w:t>
      </w:r>
      <w:r>
        <w:rPr>
          <w:rFonts w:hint="eastAsia" w:ascii="宋体" w:hAnsi="宋体" w:cs="宋体"/>
          <w:b/>
          <w:bCs/>
          <w:szCs w:val="21"/>
          <w:highlight w:val="none"/>
          <w:lang w:val="zh-CN"/>
        </w:rPr>
        <w:t>顺延中标人或重新招标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中标人因不可抗力不能履行政府采购合同的，采购人可以与排位在中标人之后第一位的中标候选人签订政府采购合同，或者重新采购。</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cs="宋体"/>
          <w:b/>
          <w:bCs/>
          <w:szCs w:val="21"/>
          <w:highlight w:val="none"/>
        </w:rPr>
      </w:pPr>
      <w:bookmarkStart w:id="295" w:name="_Toc28863"/>
      <w:bookmarkStart w:id="296" w:name="_Toc7468"/>
      <w:bookmarkStart w:id="297" w:name="_Toc17922"/>
      <w:bookmarkStart w:id="298" w:name="_Toc11630"/>
      <w:bookmarkStart w:id="299" w:name="_Toc16293"/>
      <w:bookmarkStart w:id="300" w:name="_Toc54"/>
      <w:bookmarkStart w:id="301" w:name="_Toc19590"/>
      <w:r>
        <w:rPr>
          <w:rFonts w:hint="eastAsia" w:ascii="宋体" w:hAnsi="宋体" w:cs="宋体"/>
          <w:b/>
          <w:bCs/>
          <w:szCs w:val="21"/>
          <w:highlight w:val="none"/>
        </w:rPr>
        <w:t>3.6 保密及其他注意事项</w:t>
      </w:r>
      <w:bookmarkEnd w:id="295"/>
      <w:bookmarkEnd w:id="296"/>
      <w:bookmarkEnd w:id="297"/>
      <w:bookmarkEnd w:id="298"/>
      <w:bookmarkEnd w:id="299"/>
      <w:bookmarkEnd w:id="300"/>
      <w:bookmarkEnd w:id="301"/>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3.6.1 </w:t>
      </w:r>
      <w:r>
        <w:rPr>
          <w:rFonts w:hint="eastAsia" w:ascii="宋体" w:hAnsi="宋体" w:cs="宋体"/>
          <w:szCs w:val="21"/>
          <w:highlight w:val="none"/>
          <w:lang w:val="zh-CN"/>
        </w:rPr>
        <w:t>在评标期间，投标企业不得向评标委员会成员询问评标情况，不得进行旨在影响中标结果的活动。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 xml:space="preserve">3.6.2 </w:t>
      </w:r>
      <w:r>
        <w:rPr>
          <w:rFonts w:hint="eastAsia" w:ascii="宋体" w:hAnsi="宋体" w:cs="宋体"/>
          <w:szCs w:val="21"/>
          <w:highlight w:val="none"/>
          <w:lang w:val="zh-CN"/>
        </w:rPr>
        <w:t>在评标结束后，凡与评标情况有接触的任何人不得也不应将评标情况扩散出评标委员会成员之外。</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3.6.3</w:t>
      </w:r>
      <w:r>
        <w:rPr>
          <w:rFonts w:hint="eastAsia" w:ascii="宋体" w:hAnsi="宋体" w:cs="宋体"/>
          <w:szCs w:val="21"/>
          <w:highlight w:val="none"/>
          <w:lang w:val="zh-CN"/>
        </w:rPr>
        <w:t>招标代理机构不向落标方解释落标原因，不退还投标文件。</w:t>
      </w:r>
    </w:p>
    <w:p>
      <w:pPr>
        <w:pStyle w:val="23"/>
        <w:keepNext w:val="0"/>
        <w:keepLines w:val="0"/>
        <w:pageBreakBefore/>
        <w:widowControl w:val="0"/>
        <w:kinsoku/>
        <w:wordWrap/>
        <w:overflowPunct/>
        <w:topLinePunct w:val="0"/>
        <w:autoSpaceDE/>
        <w:autoSpaceDN/>
        <w:bidi w:val="0"/>
        <w:adjustRightInd/>
        <w:snapToGrid/>
        <w:spacing w:line="600" w:lineRule="exact"/>
        <w:ind w:right="-63" w:rightChars="-30"/>
        <w:textAlignment w:val="auto"/>
        <w:rPr>
          <w:rFonts w:ascii="宋体" w:hAnsi="宋体" w:eastAsia="宋体" w:cs="宋体"/>
          <w:sz w:val="28"/>
          <w:szCs w:val="28"/>
          <w:highlight w:val="none"/>
        </w:rPr>
      </w:pPr>
      <w:bookmarkStart w:id="302" w:name="_Toc32215"/>
      <w:bookmarkStart w:id="303" w:name="_Toc20760"/>
      <w:bookmarkStart w:id="304" w:name="_Toc1909"/>
      <w:bookmarkStart w:id="305" w:name="_Toc27781"/>
      <w:r>
        <w:rPr>
          <w:rFonts w:hint="eastAsia" w:ascii="宋体" w:hAnsi="宋体" w:eastAsia="宋体" w:cs="宋体"/>
          <w:sz w:val="28"/>
          <w:szCs w:val="28"/>
          <w:highlight w:val="none"/>
        </w:rPr>
        <w:t>第四章 合同条款及格式</w:t>
      </w:r>
      <w:bookmarkEnd w:id="277"/>
      <w:bookmarkEnd w:id="278"/>
      <w:bookmarkEnd w:id="279"/>
      <w:bookmarkEnd w:id="302"/>
      <w:bookmarkEnd w:id="303"/>
      <w:bookmarkEnd w:id="304"/>
      <w:bookmarkEnd w:id="305"/>
    </w:p>
    <w:p>
      <w:pPr>
        <w:jc w:val="center"/>
        <w:rPr>
          <w:rFonts w:ascii="宋体" w:hAnsi="宋体" w:cs="宋体"/>
          <w:sz w:val="28"/>
          <w:szCs w:val="28"/>
          <w:highlight w:val="none"/>
        </w:rPr>
      </w:pPr>
      <w:r>
        <w:rPr>
          <w:rFonts w:hint="eastAsia" w:ascii="宋体" w:hAnsi="宋体" w:cs="宋体"/>
          <w:b/>
          <w:sz w:val="28"/>
          <w:szCs w:val="28"/>
          <w:highlight w:val="none"/>
        </w:rPr>
        <w:t>（仅供参考）</w:t>
      </w:r>
    </w:p>
    <w:p>
      <w:pPr>
        <w:kinsoku w:val="0"/>
        <w:overflowPunct w:val="0"/>
        <w:autoSpaceDE w:val="0"/>
        <w:autoSpaceDN w:val="0"/>
        <w:adjustRightInd w:val="0"/>
        <w:snapToGrid w:val="0"/>
        <w:spacing w:line="360" w:lineRule="auto"/>
        <w:rPr>
          <w:rFonts w:hint="eastAsia" w:ascii="宋体" w:hAnsi="宋体"/>
          <w:bCs/>
          <w:szCs w:val="21"/>
          <w:highlight w:val="none"/>
        </w:rPr>
      </w:pPr>
      <w:bookmarkStart w:id="306" w:name="_Toc12807"/>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bCs/>
          <w:szCs w:val="21"/>
          <w:highlight w:val="none"/>
        </w:rPr>
        <w:t>以下为合同签订时的基本内容，</w:t>
      </w:r>
      <w:r>
        <w:rPr>
          <w:rFonts w:hint="eastAsia" w:ascii="宋体" w:hAnsi="宋体"/>
          <w:szCs w:val="21"/>
          <w:highlight w:val="none"/>
        </w:rPr>
        <w:t>若需修改及未尽事宜，待投标人中标后签订合同时与</w:t>
      </w:r>
      <w:r>
        <w:rPr>
          <w:rFonts w:hint="eastAsia" w:ascii="宋体" w:hAnsi="宋体"/>
          <w:bCs/>
          <w:szCs w:val="21"/>
          <w:highlight w:val="none"/>
        </w:rPr>
        <w:t>招标</w:t>
      </w:r>
      <w:r>
        <w:rPr>
          <w:rFonts w:hint="eastAsia" w:ascii="宋体" w:hAnsi="宋体" w:cs="宋体"/>
          <w:color w:val="000000"/>
          <w:highlight w:val="none"/>
        </w:rPr>
        <w:t>甲方（采购单位）：</w:t>
      </w:r>
    </w:p>
    <w:p>
      <w:pPr>
        <w:kinsoku w:val="0"/>
        <w:overflowPunct w:val="0"/>
        <w:autoSpaceDE w:val="0"/>
        <w:autoSpaceDN w:val="0"/>
        <w:adjustRightInd w:val="0"/>
        <w:snapToGrid w:val="0"/>
        <w:spacing w:line="360" w:lineRule="auto"/>
        <w:rPr>
          <w:rFonts w:ascii="宋体" w:hAnsi="宋体" w:cs="宋体"/>
          <w:color w:val="000000"/>
          <w:highlight w:val="none"/>
        </w:rPr>
      </w:pPr>
    </w:p>
    <w:p>
      <w:pPr>
        <w:kinsoku w:val="0"/>
        <w:overflowPunct w:val="0"/>
        <w:autoSpaceDE w:val="0"/>
        <w:autoSpaceDN w:val="0"/>
        <w:adjustRightInd w:val="0"/>
        <w:snapToGrid w:val="0"/>
        <w:spacing w:line="360" w:lineRule="auto"/>
        <w:rPr>
          <w:rFonts w:ascii="宋体" w:hAnsi="宋体" w:cs="宋体"/>
          <w:color w:val="000000"/>
          <w:highlight w:val="none"/>
        </w:rPr>
      </w:pPr>
      <w:r>
        <w:rPr>
          <w:rFonts w:hint="eastAsia" w:ascii="宋体" w:hAnsi="宋体" w:cs="宋体"/>
          <w:color w:val="000000"/>
          <w:highlight w:val="none"/>
        </w:rPr>
        <w:t>乙方（供货单位）：</w:t>
      </w:r>
    </w:p>
    <w:p>
      <w:pPr>
        <w:kinsoku w:val="0"/>
        <w:overflowPunct w:val="0"/>
        <w:autoSpaceDE w:val="0"/>
        <w:autoSpaceDN w:val="0"/>
        <w:adjustRightInd w:val="0"/>
        <w:snapToGrid w:val="0"/>
        <w:spacing w:line="360" w:lineRule="auto"/>
        <w:rPr>
          <w:rFonts w:ascii="宋体" w:hAnsi="宋体" w:cs="宋体"/>
          <w:color w:val="000000"/>
          <w:highlight w:val="none"/>
        </w:rPr>
      </w:pPr>
      <w:r>
        <w:rPr>
          <w:rFonts w:hint="eastAsia" w:ascii="宋体" w:hAnsi="宋体" w:cs="宋体"/>
          <w:color w:val="000000"/>
          <w:highlight w:val="none"/>
        </w:rPr>
        <w:t xml:space="preserve">    根据 </w:t>
      </w:r>
      <w:r>
        <w:rPr>
          <w:rFonts w:hint="eastAsia" w:ascii="宋体" w:hAnsi="宋体" w:cs="宋体"/>
          <w:color w:val="000000"/>
          <w:highlight w:val="none"/>
          <w:u w:val="single"/>
        </w:rPr>
        <w:t xml:space="preserve">                         项目 </w:t>
      </w:r>
      <w:r>
        <w:rPr>
          <w:rFonts w:hint="eastAsia" w:ascii="宋体" w:hAnsi="宋体" w:cs="宋体"/>
          <w:color w:val="000000"/>
          <w:highlight w:val="none"/>
        </w:rPr>
        <w:t xml:space="preserve"> ，采购项目编号：       中标结果，订立本合同，双方应共同遵守：</w:t>
      </w:r>
    </w:p>
    <w:p>
      <w:pPr>
        <w:kinsoku w:val="0"/>
        <w:overflowPunct w:val="0"/>
        <w:autoSpaceDE w:val="0"/>
        <w:autoSpaceDN w:val="0"/>
        <w:adjustRightInd w:val="0"/>
        <w:snapToGrid w:val="0"/>
        <w:spacing w:line="360" w:lineRule="auto"/>
        <w:ind w:firstLine="420" w:firstLineChars="199"/>
        <w:rPr>
          <w:rFonts w:ascii="宋体" w:hAnsi="宋体" w:cs="宋体"/>
          <w:color w:val="000000"/>
          <w:highlight w:val="none"/>
        </w:rPr>
      </w:pPr>
      <w:r>
        <w:rPr>
          <w:rFonts w:hint="eastAsia" w:ascii="宋体" w:hAnsi="宋体" w:cs="宋体"/>
          <w:b/>
          <w:color w:val="000000"/>
          <w:highlight w:val="none"/>
        </w:rPr>
        <w:t>甲方采购物品内容的成交价格 （中标价：）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40"/>
        <w:gridCol w:w="1454"/>
        <w:gridCol w:w="1200"/>
        <w:gridCol w:w="1276"/>
        <w:gridCol w:w="141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序号</w:t>
            </w:r>
          </w:p>
        </w:tc>
        <w:tc>
          <w:tcPr>
            <w:tcW w:w="17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设备名称</w:t>
            </w:r>
          </w:p>
        </w:tc>
        <w:tc>
          <w:tcPr>
            <w:tcW w:w="145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生产厂家</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型号</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数量</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单价(元)</w:t>
            </w:r>
          </w:p>
        </w:tc>
        <w:tc>
          <w:tcPr>
            <w:tcW w:w="165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r>
              <w:rPr>
                <w:rFonts w:hint="eastAsia" w:ascii="宋体" w:hAnsi="宋体" w:cs="宋体"/>
                <w:color w:val="000000"/>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textAlignment w:val="baseline"/>
              <w:rPr>
                <w:rFonts w:ascii="宋体" w:hAnsi="宋体" w:cs="宋体"/>
                <w:color w:val="000000"/>
                <w:highlight w:val="none"/>
              </w:rPr>
            </w:pPr>
          </w:p>
        </w:tc>
        <w:tc>
          <w:tcPr>
            <w:tcW w:w="17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c>
          <w:tcPr>
            <w:tcW w:w="145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c>
          <w:tcPr>
            <w:tcW w:w="165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center"/>
              <w:textAlignment w:val="baseline"/>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left"/>
              <w:textAlignment w:val="baseline"/>
              <w:rPr>
                <w:rFonts w:ascii="宋体" w:hAnsi="宋体" w:cs="宋体"/>
                <w:color w:val="000000"/>
                <w:highlight w:val="none"/>
              </w:rPr>
            </w:pPr>
            <w:r>
              <w:rPr>
                <w:rFonts w:hint="eastAsia" w:ascii="宋体" w:hAnsi="宋体" w:cs="宋体"/>
                <w:color w:val="000000"/>
                <w:highlight w:val="none"/>
              </w:rPr>
              <w:t xml:space="preserve">合计（小写）：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autoSpaceDE w:val="0"/>
              <w:autoSpaceDN w:val="0"/>
              <w:adjustRightInd w:val="0"/>
              <w:snapToGrid w:val="0"/>
              <w:spacing w:before="0" w:beforeAutospacing="0" w:after="0" w:afterAutospacing="0" w:line="360" w:lineRule="auto"/>
              <w:ind w:left="0" w:right="0"/>
              <w:jc w:val="left"/>
              <w:textAlignment w:val="baseline"/>
              <w:rPr>
                <w:rFonts w:ascii="宋体" w:hAnsi="宋体" w:cs="宋体"/>
                <w:color w:val="000000"/>
                <w:highlight w:val="none"/>
              </w:rPr>
            </w:pPr>
            <w:r>
              <w:rPr>
                <w:rFonts w:hint="eastAsia" w:ascii="宋体" w:hAnsi="宋体" w:cs="宋体"/>
                <w:color w:val="000000"/>
                <w:highlight w:val="none"/>
              </w:rPr>
              <w:t>合计（大写）： </w:t>
            </w:r>
          </w:p>
        </w:tc>
      </w:tr>
    </w:tbl>
    <w:p>
      <w:pPr>
        <w:kinsoku w:val="0"/>
        <w:overflowPunct w:val="0"/>
        <w:autoSpaceDE w:val="0"/>
        <w:autoSpaceDN w:val="0"/>
        <w:adjustRightInd w:val="0"/>
        <w:snapToGrid w:val="0"/>
        <w:spacing w:line="360" w:lineRule="auto"/>
        <w:rPr>
          <w:rFonts w:ascii="宋体" w:hAnsi="宋体" w:cs="宋体"/>
          <w:b/>
          <w:color w:val="000000"/>
          <w:highlight w:val="none"/>
        </w:rPr>
      </w:pPr>
    </w:p>
    <w:p>
      <w:pPr>
        <w:kinsoku w:val="0"/>
        <w:overflowPunct w:val="0"/>
        <w:autoSpaceDE w:val="0"/>
        <w:autoSpaceDN w:val="0"/>
        <w:adjustRightInd w:val="0"/>
        <w:snapToGrid w:val="0"/>
        <w:spacing w:line="360" w:lineRule="auto"/>
        <w:rPr>
          <w:rFonts w:hint="eastAsia" w:ascii="宋体" w:hAnsi="宋体" w:eastAsia="宋体" w:cs="宋体"/>
          <w:color w:val="000000"/>
          <w:highlight w:val="none"/>
          <w:lang w:eastAsia="zh-CN"/>
        </w:rPr>
      </w:pPr>
      <w:r>
        <w:rPr>
          <w:rFonts w:hint="eastAsia" w:ascii="宋体" w:hAnsi="宋体" w:cs="宋体"/>
          <w:color w:val="000000"/>
          <w:highlight w:val="none"/>
        </w:rPr>
        <w:t xml:space="preserve">  以上价格包含设备费、运输费、培训费、税金等全部费用，甲方不再另外承担任何费用</w:t>
      </w:r>
      <w:r>
        <w:rPr>
          <w:rFonts w:hint="eastAsia" w:ascii="宋体" w:hAnsi="宋体" w:cs="宋体"/>
          <w:color w:val="000000"/>
          <w:highlight w:val="none"/>
          <w:lang w:eastAsia="zh-CN"/>
        </w:rPr>
        <w:t>。</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第二条 物品的质量标准、乙方售后服务及损害赔偿</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1、物品的质量技术标准按国家法律法规规定的标准、招标文件和乙方投标文件所要求的技术标准执行。</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2、保证是原产地生产的原装产品，否则按退货处理。</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3、乙方所交物品必须与标书要求一致，应按生产厂家的保修规定和投标文件说明的服务承诺做好免费保修等服务，免费保修期限</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rPr>
        <w:t>年，终身免费维修，期满后只收取配件成本费。</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4、乙方售后服务响应时间：</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rPr>
        <w:t>，否则，甲方可自行组织维修，费用由乙方承担，甲方可在货款和其他应付乙方的款项中扣除。</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5、如因乙方物品质量的原因，导致甲方损失，乙方应予以赔偿。</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lang w:val="en-US" w:eastAsia="zh-CN"/>
        </w:rPr>
        <w:t>6</w:t>
      </w:r>
      <w:r>
        <w:rPr>
          <w:rFonts w:hint="eastAsia" w:ascii="宋体" w:hAnsi="宋体" w:cs="宋体"/>
          <w:color w:val="000000"/>
          <w:highlight w:val="none"/>
        </w:rPr>
        <w:t>、</w:t>
      </w:r>
      <w:r>
        <w:rPr>
          <w:rFonts w:hint="eastAsia" w:ascii="宋体" w:hAnsi="宋体" w:cs="宋体"/>
          <w:color w:val="000000"/>
          <w:highlight w:val="none"/>
          <w:lang w:eastAsia="zh-CN"/>
        </w:rPr>
        <w:t>售后服务费用另行协商</w:t>
      </w:r>
      <w:r>
        <w:rPr>
          <w:rFonts w:hint="eastAsia" w:ascii="宋体" w:hAnsi="宋体" w:cs="宋体"/>
          <w:color w:val="000000"/>
          <w:highlight w:val="none"/>
        </w:rPr>
        <w:t>。</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第三条交付和验收</w:t>
      </w:r>
    </w:p>
    <w:p>
      <w:pPr>
        <w:kinsoku w:val="0"/>
        <w:overflowPunct w:val="0"/>
        <w:autoSpaceDE w:val="0"/>
        <w:autoSpaceDN w:val="0"/>
        <w:adjustRightInd w:val="0"/>
        <w:snapToGrid w:val="0"/>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1、交付时间：</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rPr>
        <w:t>；</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交付地点（合同履行地点）：</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rPr>
        <w:t>。</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乙方负责物品的运送、安装、调试，负责甲方人员的操作培训及外出培训等工作，直至该物品可以正常使用并且操作人员能熟练操作为止；负责提供物品的中文说明书、中文使用手册、中文维修手册及电路原理图，并承担由此产生的全部费用。</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3、验收时间：甲方于该设备安装调试正常运转（工作人员能熟练操作）后组织验收。验收合格后应当出具验收报告。</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4、验收标准：</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（1）单证齐全：应有产品合格证（或质量证明），使用说明、保修证明、发票和其它应具有的单证（含完整资质材料）。</w:t>
      </w:r>
    </w:p>
    <w:p>
      <w:pPr>
        <w:kinsoku w:val="0"/>
        <w:overflowPunct w:val="0"/>
        <w:autoSpaceDE w:val="0"/>
        <w:autoSpaceDN w:val="0"/>
        <w:adjustRightInd w:val="0"/>
        <w:snapToGrid w:val="0"/>
        <w:spacing w:line="360" w:lineRule="auto"/>
        <w:ind w:firstLine="420"/>
        <w:rPr>
          <w:rFonts w:ascii="宋体" w:hAnsi="宋体" w:cs="宋体"/>
          <w:color w:val="000000"/>
          <w:highlight w:val="none"/>
        </w:rPr>
      </w:pPr>
      <w:r>
        <w:rPr>
          <w:rFonts w:hint="eastAsia" w:ascii="宋体" w:hAnsi="宋体" w:cs="宋体"/>
          <w:color w:val="000000"/>
          <w:highlight w:val="none"/>
        </w:rPr>
        <w:t xml:space="preserve"> （2）设备（产品）质量符合国家法律法规规定的标准、招标文件和投标文件的要求。</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第四条 货款的结算</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1、结算依据：采购合同、乙方销售发票、甲方出具的验收报告。</w:t>
      </w:r>
    </w:p>
    <w:p>
      <w:pPr>
        <w:kinsoku w:val="0"/>
        <w:overflowPunct w:val="0"/>
        <w:autoSpaceDE w:val="0"/>
        <w:autoSpaceDN w:val="0"/>
        <w:adjustRightInd w:val="0"/>
        <w:snapToGrid w:val="0"/>
        <w:spacing w:line="360" w:lineRule="auto"/>
        <w:ind w:firstLine="420" w:firstLineChars="200"/>
        <w:rPr>
          <w:rFonts w:ascii="宋体" w:hAnsi="宋体" w:cs="宋体"/>
          <w:bCs/>
          <w:color w:val="000000"/>
          <w:highlight w:val="none"/>
        </w:rPr>
      </w:pPr>
      <w:r>
        <w:rPr>
          <w:rFonts w:hint="eastAsia" w:ascii="宋体" w:hAnsi="宋体" w:cs="宋体"/>
          <w:color w:val="000000"/>
          <w:highlight w:val="none"/>
        </w:rPr>
        <w:t>2、结算方式：</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w:t>
      </w:r>
    </w:p>
    <w:p>
      <w:pPr>
        <w:kinsoku w:val="0"/>
        <w:overflowPunct w:val="0"/>
        <w:autoSpaceDE w:val="0"/>
        <w:autoSpaceDN w:val="0"/>
        <w:adjustRightInd w:val="0"/>
        <w:snapToGrid w:val="0"/>
        <w:spacing w:line="360" w:lineRule="auto"/>
        <w:ind w:firstLine="422" w:firstLineChars="200"/>
        <w:rPr>
          <w:rFonts w:ascii="宋体" w:hAnsi="宋体" w:cs="宋体"/>
          <w:b/>
          <w:bCs/>
          <w:color w:val="000000"/>
          <w:highlight w:val="none"/>
        </w:rPr>
      </w:pPr>
      <w:r>
        <w:rPr>
          <w:rFonts w:hint="eastAsia" w:ascii="宋体" w:hAnsi="宋体" w:cs="宋体"/>
          <w:b/>
          <w:bCs/>
          <w:color w:val="000000"/>
          <w:highlight w:val="none"/>
        </w:rPr>
        <w:t>第五条 乙方的违约责任</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1、乙方所交物品品种、数量、规格、质量不符合国家法律法规和合同规定的，由乙方负责更换新机，并承担由此而支付的实际费用；</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2、乙方如不能按合同规定时间全部或部分交货使机器不能正常运行，按每日应当收益的测算金额赔付甲方。（以设备论证报告的数据为准）</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第六条 甲方的违约责任</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1、甲方逾期付款的，应按照同期银行基准贷款利率向乙方支付违约金。</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2、甲方违反合同规定无理由拒绝接货的，应当承担由此对乙方造成的损失。</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第七条 不可抗力因素</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第八条 争议的解决</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1、因货物的质量问题发生争议，由法律及有关规章规定的技术单位进行质量鉴定，双方无条件服从鉴定的结论；</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2、执行本合同发生纠纷，当事人双方应当及时协商解决，协商不成时，任何一方均可向合同履行地人民法院提起诉讼。</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第九条 监督和管理</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1、合同订立后，双方经协商一致需变更合同实质性条款或订立补充合同的，应先征得政府采购监督管理部门同意，并送其备案。</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2、甲乙双方均应自觉配合有关监督管理部门对合同履行情况的监督检查，如实反映情况，提供有关资料；否则，将追究过错方刑事责任和经济责任。</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第十条 无效合同</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甲乙双方如因违反政府采购法及相关法律法规的规定，被宣告合同无效的，一切责任概由过错方自行承担。</w:t>
      </w:r>
    </w:p>
    <w:p>
      <w:pPr>
        <w:kinsoku w:val="0"/>
        <w:overflowPunct w:val="0"/>
        <w:autoSpaceDE w:val="0"/>
        <w:autoSpaceDN w:val="0"/>
        <w:adjustRightInd w:val="0"/>
        <w:snapToGrid w:val="0"/>
        <w:spacing w:line="360" w:lineRule="auto"/>
        <w:ind w:firstLine="420" w:firstLineChars="199"/>
        <w:rPr>
          <w:rFonts w:ascii="宋体" w:hAnsi="宋体" w:cs="宋体"/>
          <w:b/>
          <w:color w:val="000000"/>
          <w:highlight w:val="none"/>
        </w:rPr>
      </w:pPr>
      <w:r>
        <w:rPr>
          <w:rFonts w:hint="eastAsia" w:ascii="宋体" w:hAnsi="宋体" w:cs="宋体"/>
          <w:b/>
          <w:color w:val="000000"/>
          <w:highlight w:val="none"/>
        </w:rPr>
        <w:t>第十一条 附则</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1、本合同一式肆份，甲方、乙方各执两份，具有同等效力。</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2、本合同自签订之日起生效。</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甲方：          乙方：</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法定代表人：                          法定代表人：</w:t>
      </w:r>
    </w:p>
    <w:p>
      <w:pPr>
        <w:kinsoku w:val="0"/>
        <w:overflowPunct w:val="0"/>
        <w:autoSpaceDE w:val="0"/>
        <w:autoSpaceDN w:val="0"/>
        <w:adjustRightInd w:val="0"/>
        <w:snapToGrid w:val="0"/>
        <w:spacing w:line="360" w:lineRule="auto"/>
        <w:ind w:firstLine="1260" w:firstLineChars="600"/>
        <w:rPr>
          <w:rFonts w:ascii="宋体" w:hAnsi="宋体" w:cs="宋体"/>
          <w:color w:val="000000"/>
          <w:highlight w:val="none"/>
        </w:rPr>
      </w:pPr>
      <w:r>
        <w:rPr>
          <w:rFonts w:hint="eastAsia" w:ascii="宋体" w:hAnsi="宋体" w:cs="宋体"/>
          <w:color w:val="000000"/>
          <w:highlight w:val="none"/>
        </w:rPr>
        <w:t xml:space="preserve">                              电话：</w:t>
      </w:r>
      <w:r>
        <w:rPr>
          <w:rFonts w:hint="eastAsia" w:ascii="宋体" w:hAnsi="宋体" w:cs="宋体"/>
          <w:color w:val="000000"/>
          <w:highlight w:val="none"/>
        </w:rPr>
        <w:tab/>
      </w:r>
    </w:p>
    <w:p>
      <w:pPr>
        <w:kinsoku w:val="0"/>
        <w:overflowPunct w:val="0"/>
        <w:autoSpaceDE w:val="0"/>
        <w:autoSpaceDN w:val="0"/>
        <w:adjustRightInd w:val="0"/>
        <w:snapToGrid w:val="0"/>
        <w:spacing w:line="360" w:lineRule="auto"/>
        <w:ind w:firstLine="1260" w:firstLineChars="600"/>
        <w:rPr>
          <w:rFonts w:ascii="宋体" w:hAnsi="宋体" w:cs="宋体"/>
          <w:color w:val="000000"/>
          <w:highlight w:val="none"/>
        </w:rPr>
      </w:pPr>
      <w:r>
        <w:rPr>
          <w:rFonts w:hint="eastAsia" w:ascii="宋体" w:hAnsi="宋体" w:cs="宋体"/>
          <w:color w:val="000000"/>
          <w:highlight w:val="none"/>
        </w:rPr>
        <w:t xml:space="preserve">                              身份证号：</w:t>
      </w:r>
    </w:p>
    <w:p>
      <w:pPr>
        <w:kinsoku w:val="0"/>
        <w:overflowPunct w:val="0"/>
        <w:autoSpaceDE w:val="0"/>
        <w:autoSpaceDN w:val="0"/>
        <w:adjustRightInd w:val="0"/>
        <w:snapToGrid w:val="0"/>
        <w:spacing w:line="360" w:lineRule="auto"/>
        <w:ind w:firstLine="1470" w:firstLineChars="700"/>
        <w:jc w:val="left"/>
        <w:rPr>
          <w:rFonts w:ascii="宋体" w:hAnsi="宋体" w:cs="宋体"/>
          <w:color w:val="000000"/>
          <w:highlight w:val="none"/>
        </w:rPr>
      </w:pPr>
      <w:r>
        <w:rPr>
          <w:rFonts w:hint="eastAsia" w:ascii="宋体" w:hAnsi="宋体" w:cs="宋体"/>
          <w:color w:val="000000"/>
          <w:highlight w:val="none"/>
        </w:rPr>
        <w:t xml:space="preserve">                            开户银行：</w:t>
      </w:r>
    </w:p>
    <w:p>
      <w:pPr>
        <w:kinsoku w:val="0"/>
        <w:overflowPunct w:val="0"/>
        <w:autoSpaceDE w:val="0"/>
        <w:autoSpaceDN w:val="0"/>
        <w:adjustRightInd w:val="0"/>
        <w:snapToGrid w:val="0"/>
        <w:spacing w:line="360" w:lineRule="auto"/>
        <w:jc w:val="left"/>
        <w:rPr>
          <w:rFonts w:ascii="宋体" w:hAnsi="宋体" w:cs="宋体"/>
          <w:color w:val="000000"/>
          <w:sz w:val="30"/>
          <w:szCs w:val="30"/>
          <w:highlight w:val="none"/>
        </w:rPr>
      </w:pPr>
      <w:r>
        <w:rPr>
          <w:rFonts w:hint="eastAsia" w:ascii="宋体" w:hAnsi="宋体" w:cs="宋体"/>
          <w:color w:val="000000"/>
          <w:highlight w:val="none"/>
        </w:rPr>
        <w:t xml:space="preserve">    委托代理人：                          账    户：</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ab/>
      </w:r>
      <w:r>
        <w:rPr>
          <w:rFonts w:hint="eastAsia" w:ascii="宋体" w:hAnsi="宋体" w:cs="宋体"/>
          <w:color w:val="000000"/>
          <w:highlight w:val="none"/>
        </w:rPr>
        <w:t xml:space="preserve">                                  委托代理人：</w:t>
      </w:r>
      <w:r>
        <w:rPr>
          <w:rFonts w:hint="eastAsia" w:ascii="宋体" w:hAnsi="宋体" w:cs="宋体"/>
          <w:color w:val="000000"/>
          <w:highlight w:val="none"/>
        </w:rPr>
        <w:tab/>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 xml:space="preserve">                                      电话：</w:t>
      </w:r>
    </w:p>
    <w:p>
      <w:pPr>
        <w:kinsoku w:val="0"/>
        <w:overflowPunct w:val="0"/>
        <w:autoSpaceDE w:val="0"/>
        <w:autoSpaceDN w:val="0"/>
        <w:adjustRightInd w:val="0"/>
        <w:snapToGrid w:val="0"/>
        <w:spacing w:line="360" w:lineRule="auto"/>
        <w:ind w:firstLine="4410" w:firstLineChars="2100"/>
        <w:rPr>
          <w:rFonts w:ascii="宋体" w:hAnsi="宋体" w:cs="宋体"/>
          <w:color w:val="000000"/>
          <w:highlight w:val="none"/>
        </w:rPr>
      </w:pPr>
      <w:r>
        <w:rPr>
          <w:rFonts w:hint="eastAsia" w:ascii="宋体" w:hAnsi="宋体" w:cs="宋体"/>
          <w:color w:val="000000"/>
          <w:highlight w:val="none"/>
        </w:rPr>
        <w:t>身份证号：</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签约地址：</w:t>
      </w:r>
    </w:p>
    <w:p>
      <w:pPr>
        <w:kinsoku w:val="0"/>
        <w:overflowPunct w:val="0"/>
        <w:autoSpaceDE w:val="0"/>
        <w:autoSpaceDN w:val="0"/>
        <w:adjustRightInd w:val="0"/>
        <w:snapToGrid w:val="0"/>
        <w:spacing w:line="360" w:lineRule="auto"/>
        <w:ind w:firstLine="420" w:firstLineChars="200"/>
        <w:rPr>
          <w:rFonts w:ascii="宋体" w:hAnsi="宋体" w:cs="宋体"/>
          <w:color w:val="000000"/>
          <w:highlight w:val="none"/>
        </w:rPr>
      </w:pPr>
    </w:p>
    <w:p>
      <w:pPr>
        <w:kinsoku w:val="0"/>
        <w:overflowPunct w:val="0"/>
        <w:autoSpaceDE w:val="0"/>
        <w:autoSpaceDN w:val="0"/>
        <w:adjustRightInd w:val="0"/>
        <w:snapToGrid w:val="0"/>
        <w:spacing w:line="360" w:lineRule="auto"/>
        <w:rPr>
          <w:rFonts w:ascii="宋体" w:hAnsi="宋体" w:cs="宋体"/>
          <w:color w:val="000000"/>
          <w:highlight w:val="none"/>
        </w:rPr>
      </w:pPr>
      <w:r>
        <w:rPr>
          <w:rFonts w:hint="eastAsia" w:ascii="宋体" w:hAnsi="宋体" w:cs="宋体"/>
          <w:color w:val="000000"/>
          <w:highlight w:val="none"/>
        </w:rPr>
        <w:t xml:space="preserve">    签约时间：    年   月   日</w:t>
      </w:r>
    </w:p>
    <w:p>
      <w:pPr>
        <w:spacing w:line="440" w:lineRule="exact"/>
        <w:ind w:firstLine="420" w:firstLineChars="200"/>
        <w:rPr>
          <w:rFonts w:hint="eastAsia" w:ascii="宋体" w:hAnsi="宋体"/>
          <w:bCs/>
          <w:szCs w:val="21"/>
          <w:highlight w:val="none"/>
        </w:rPr>
      </w:pPr>
    </w:p>
    <w:p>
      <w:pPr>
        <w:rPr>
          <w:rFonts w:hint="eastAsia"/>
          <w:highlight w:val="none"/>
        </w:rPr>
      </w:pPr>
    </w:p>
    <w:p>
      <w:pPr>
        <w:rPr>
          <w:rFonts w:hint="eastAsia"/>
          <w:highlight w:val="none"/>
        </w:rPr>
      </w:pPr>
    </w:p>
    <w:p>
      <w:pPr>
        <w:rPr>
          <w:rFonts w:hint="eastAsia"/>
          <w:highlight w:val="none"/>
        </w:rPr>
      </w:pPr>
    </w:p>
    <w:p>
      <w:pPr>
        <w:pStyle w:val="9"/>
        <w:keepNext w:val="0"/>
        <w:keepLines w:val="0"/>
        <w:pageBreakBefore/>
        <w:widowControl w:val="0"/>
        <w:kinsoku/>
        <w:wordWrap/>
        <w:overflowPunct/>
        <w:topLinePunct w:val="0"/>
        <w:autoSpaceDE/>
        <w:autoSpaceDN/>
        <w:bidi w:val="0"/>
        <w:adjustRightInd/>
        <w:snapToGrid/>
        <w:spacing w:after="0" w:line="360" w:lineRule="auto"/>
        <w:jc w:val="center"/>
        <w:textAlignment w:val="auto"/>
        <w:outlineLvl w:val="0"/>
        <w:rPr>
          <w:rFonts w:ascii="宋体" w:hAnsi="宋体" w:cs="宋体"/>
          <w:b/>
          <w:bCs/>
          <w:sz w:val="32"/>
          <w:szCs w:val="32"/>
          <w:highlight w:val="none"/>
        </w:rPr>
      </w:pPr>
      <w:bookmarkStart w:id="307" w:name="_Toc13770"/>
      <w:bookmarkStart w:id="308" w:name="_Toc22550"/>
      <w:bookmarkStart w:id="309" w:name="_Toc19909"/>
      <w:bookmarkStart w:id="310" w:name="_Toc13809"/>
      <w:r>
        <w:rPr>
          <w:rFonts w:hint="eastAsia" w:ascii="宋体" w:hAnsi="宋体" w:cs="宋体"/>
          <w:b/>
          <w:bCs/>
          <w:sz w:val="32"/>
          <w:szCs w:val="32"/>
          <w:highlight w:val="none"/>
        </w:rPr>
        <w:t>第五章 采购内容及要求</w:t>
      </w:r>
      <w:bookmarkEnd w:id="307"/>
      <w:bookmarkEnd w:id="308"/>
      <w:bookmarkEnd w:id="309"/>
      <w:bookmarkEnd w:id="310"/>
    </w:p>
    <w:bookmarkEnd w:id="306"/>
    <w:p>
      <w:pPr>
        <w:pStyle w:val="3"/>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olor w:val="000000"/>
          <w:highlight w:val="none"/>
          <w:lang w:eastAsia="zh-CN"/>
        </w:rPr>
      </w:pPr>
      <w:bookmarkStart w:id="311" w:name="_Toc3900"/>
      <w:bookmarkStart w:id="312" w:name="_Toc426369533"/>
      <w:bookmarkStart w:id="313" w:name="_Toc403122572"/>
      <w:bookmarkStart w:id="314" w:name="_Toc7906"/>
      <w:r>
        <w:rPr>
          <w:rFonts w:hint="eastAsia" w:asciiTheme="minorEastAsia" w:hAnsiTheme="minorEastAsia" w:eastAsiaTheme="minorEastAsia"/>
          <w:color w:val="000000"/>
          <w:highlight w:val="none"/>
        </w:rPr>
        <w:t>1、项目名称：</w:t>
      </w:r>
      <w:r>
        <w:rPr>
          <w:rFonts w:hint="eastAsia" w:eastAsiaTheme="minorEastAsia"/>
          <w:color w:val="000000"/>
          <w:highlight w:val="none"/>
          <w:lang w:eastAsia="zh-CN"/>
        </w:rPr>
        <w:t>博爱县妇幼保健院信息化改造采购项目</w:t>
      </w:r>
      <w:bookmarkEnd w:id="311"/>
    </w:p>
    <w:p>
      <w:pPr>
        <w:pStyle w:val="3"/>
        <w:pageBreakBefore w:val="0"/>
        <w:kinsoku/>
        <w:wordWrap/>
        <w:overflowPunct/>
        <w:topLinePunct w:val="0"/>
        <w:autoSpaceDE/>
        <w:autoSpaceDN/>
        <w:bidi w:val="0"/>
        <w:adjustRightInd/>
        <w:snapToGrid w:val="0"/>
        <w:spacing w:before="0" w:after="0" w:line="360" w:lineRule="auto"/>
        <w:textAlignment w:val="auto"/>
        <w:rPr>
          <w:rFonts w:hint="eastAsia"/>
          <w:highlight w:val="none"/>
        </w:rPr>
      </w:pPr>
      <w:bookmarkStart w:id="315" w:name="_Toc25533"/>
      <w:r>
        <w:rPr>
          <w:rFonts w:hint="eastAsia"/>
          <w:highlight w:val="none"/>
          <w:lang w:val="en-US" w:eastAsia="zh-CN"/>
        </w:rPr>
        <w:t>2</w:t>
      </w:r>
      <w:r>
        <w:rPr>
          <w:rFonts w:hint="eastAsia"/>
          <w:highlight w:val="none"/>
        </w:rPr>
        <w:t>、</w:t>
      </w:r>
      <w:r>
        <w:rPr>
          <w:rFonts w:hint="eastAsia"/>
          <w:highlight w:val="none"/>
          <w:lang w:val="en-US" w:eastAsia="zh-CN"/>
        </w:rPr>
        <w:t>采购内容</w:t>
      </w:r>
      <w:r>
        <w:rPr>
          <w:rFonts w:hint="eastAsia"/>
          <w:highlight w:val="none"/>
        </w:rPr>
        <w:t>：</w:t>
      </w:r>
      <w:bookmarkEnd w:id="315"/>
    </w:p>
    <w:p>
      <w:pPr>
        <w:pStyle w:val="22"/>
        <w:spacing w:before="0" w:beforeAutospacing="0" w:after="0" w:afterAutospacing="0" w:line="440" w:lineRule="exact"/>
        <w:ind w:firstLine="480" w:firstLineChars="200"/>
        <w:rPr>
          <w:color w:val="auto"/>
          <w:highlight w:val="none"/>
        </w:rPr>
      </w:pPr>
      <w:bookmarkStart w:id="316" w:name="_Toc21883"/>
      <w:r>
        <w:rPr>
          <w:rFonts w:hint="eastAsia"/>
          <w:color w:val="auto"/>
          <w:highlight w:val="none"/>
          <w:lang w:eastAsia="zh-CN"/>
        </w:rPr>
        <w:t>对现有信息化系统进行升级改造，主要内容包括检验结果互认</w:t>
      </w:r>
      <w:r>
        <w:rPr>
          <w:rFonts w:hint="eastAsia"/>
          <w:color w:val="auto"/>
          <w:highlight w:val="none"/>
          <w:lang w:eastAsia="zh-CN"/>
        </w:rPr>
        <w:t>系统、抗菌药物管理系统、危急值管理系统、电子处方流转改造、公立医院绩效考核上报系统、超融合服务器、交换机、超融合软件、备用一体机、读卡器、PDA</w:t>
      </w:r>
      <w:r>
        <w:rPr>
          <w:rFonts w:hint="eastAsia"/>
          <w:color w:val="auto"/>
          <w:highlight w:val="none"/>
          <w:lang w:eastAsia="zh-CN"/>
        </w:rPr>
        <w:t>移动设备</w:t>
      </w:r>
      <w:r>
        <w:rPr>
          <w:rFonts w:hint="eastAsia"/>
          <w:color w:val="auto"/>
          <w:highlight w:val="none"/>
          <w:lang w:eastAsia="zh-CN"/>
        </w:rPr>
        <w:t>等进行升级改造</w:t>
      </w:r>
      <w:r>
        <w:rPr>
          <w:rFonts w:hint="eastAsia"/>
          <w:color w:val="auto"/>
          <w:highlight w:val="none"/>
        </w:rPr>
        <w:t>。</w:t>
      </w:r>
    </w:p>
    <w:p>
      <w:pPr>
        <w:pStyle w:val="3"/>
        <w:pageBreakBefore w:val="0"/>
        <w:kinsoku/>
        <w:wordWrap/>
        <w:overflowPunct/>
        <w:topLinePunct w:val="0"/>
        <w:autoSpaceDE/>
        <w:autoSpaceDN/>
        <w:bidi w:val="0"/>
        <w:adjustRightInd/>
        <w:snapToGrid w:val="0"/>
        <w:spacing w:before="0" w:after="0" w:line="360" w:lineRule="auto"/>
        <w:textAlignment w:val="auto"/>
        <w:rPr>
          <w:rFonts w:hint="eastAsia"/>
          <w:color w:val="auto"/>
          <w:highlight w:val="none"/>
          <w:lang w:val="en-US" w:eastAsia="zh-CN"/>
        </w:rPr>
      </w:pPr>
      <w:r>
        <w:rPr>
          <w:rFonts w:hint="eastAsia"/>
          <w:color w:val="auto"/>
          <w:highlight w:val="none"/>
          <w:lang w:val="en-US" w:eastAsia="zh-CN"/>
        </w:rPr>
        <w:t>3、商务要求：</w:t>
      </w:r>
      <w:bookmarkEnd w:id="316"/>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（1）合同履约期（供货安装期）：合同签订后 60 日历天</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（2）质量：达到现行国家、行业及地方相应规范、标准要求。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（3）付款方式</w:t>
      </w:r>
      <w:r>
        <w:rPr>
          <w:rFonts w:hint="eastAsia" w:cs="宋体" w:asciiTheme="minorEastAsia" w:hAnsiTheme="minorEastAsia" w:eastAsiaTheme="minorEastAsia"/>
          <w:color w:val="auto"/>
          <w:highlight w:val="none"/>
          <w:lang w:val="en-US" w:eastAsia="zh-CN"/>
        </w:rPr>
        <w:t>：签订合同付合同款的30%，验收调试合格付合同款的70%。</w:t>
      </w:r>
    </w:p>
    <w:p>
      <w:pPr>
        <w:pStyle w:val="3"/>
        <w:pageBreakBefore w:val="0"/>
        <w:kinsoku/>
        <w:wordWrap/>
        <w:overflowPunct/>
        <w:topLinePunct w:val="0"/>
        <w:autoSpaceDE/>
        <w:autoSpaceDN/>
        <w:bidi w:val="0"/>
        <w:adjustRightInd/>
        <w:snapToGrid w:val="0"/>
        <w:spacing w:before="0" w:after="0" w:line="360" w:lineRule="auto"/>
        <w:textAlignment w:val="auto"/>
        <w:rPr>
          <w:rFonts w:hint="default"/>
          <w:highlight w:val="none"/>
          <w:lang w:val="en-US" w:eastAsia="zh-CN"/>
        </w:rPr>
      </w:pPr>
      <w:bookmarkStart w:id="317" w:name="_Toc17588"/>
      <w:r>
        <w:rPr>
          <w:rFonts w:hint="eastAsia"/>
          <w:highlight w:val="none"/>
          <w:lang w:val="en-US" w:eastAsia="zh-CN"/>
        </w:rPr>
        <w:t>4</w:t>
      </w:r>
      <w:r>
        <w:rPr>
          <w:rFonts w:hint="eastAsia"/>
          <w:highlight w:val="none"/>
          <w:lang w:val="en-US" w:eastAsia="zh-CN"/>
        </w:rPr>
        <w:t>、产品清单</w:t>
      </w:r>
      <w:bookmarkEnd w:id="317"/>
    </w:p>
    <w:tbl>
      <w:tblPr>
        <w:tblStyle w:val="28"/>
        <w:tblW w:w="7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10"/>
        <w:gridCol w:w="850"/>
        <w:gridCol w:w="93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序号</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产品模块</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单位</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数量</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检验结果互认系统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2</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抗菌药物管理系统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3</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危急值管理系统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4</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电子处方流转改造</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5</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公立医院绩效考核上报系统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6</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食源性上报接入系统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7</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电子健康卡管平台系统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8</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医技预约系统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9</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体检系统</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套</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10</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超融合服务器</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3</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11</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万兆以太网交换机</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2</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12</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千兆以太网交换机</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13</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成品网线</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条</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20</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14</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光纤线</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对</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20</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15</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超融合软件</w:t>
            </w:r>
          </w:p>
        </w:tc>
        <w:tc>
          <w:tcPr>
            <w:tcW w:w="850" w:type="dxa"/>
            <w:vAlign w:val="center"/>
          </w:tcPr>
          <w:p>
            <w:pPr>
              <w:pStyle w:val="22"/>
              <w:keepNext w:val="0"/>
              <w:keepLines w:val="0"/>
              <w:suppressLineNumbers w:val="0"/>
              <w:spacing w:before="0" w:beforeAutospacing="0" w:after="0" w:afterAutospacing="0"/>
              <w:ind w:left="0" w:right="0"/>
              <w:jc w:val="center"/>
              <w:rPr>
                <w:rFonts w:hint="eastAsia" w:cs="宋体" w:asciiTheme="minorEastAsia" w:hAnsiTheme="minorEastAsia" w:eastAsiaTheme="minorEastAsia"/>
                <w:color w:val="auto"/>
                <w:highlight w:val="none"/>
                <w:vertAlign w:val="baseline"/>
                <w:lang w:val="en-US" w:eastAsia="zh-CN"/>
              </w:rPr>
            </w:pPr>
            <w:r>
              <w:rPr>
                <w:rFonts w:hint="eastAsia" w:eastAsiaTheme="minorEastAsia"/>
                <w:color w:val="auto"/>
                <w:highlight w:val="none"/>
                <w:lang w:eastAsia="zh-CN"/>
              </w:rPr>
              <w:t>套</w:t>
            </w:r>
          </w:p>
        </w:tc>
        <w:tc>
          <w:tcPr>
            <w:tcW w:w="936" w:type="dxa"/>
            <w:vAlign w:val="center"/>
          </w:tcPr>
          <w:p>
            <w:pPr>
              <w:pStyle w:val="22"/>
              <w:keepNext w:val="0"/>
              <w:keepLines w:val="0"/>
              <w:suppressLineNumbers w:val="0"/>
              <w:spacing w:before="0" w:beforeAutospacing="0" w:after="0" w:afterAutospacing="0"/>
              <w:ind w:left="0" w:right="0"/>
              <w:jc w:val="center"/>
              <w:rPr>
                <w:rFonts w:hint="eastAsia" w:cs="宋体" w:asciiTheme="minorEastAsia" w:hAnsiTheme="minorEastAsia" w:eastAsiaTheme="minorEastAsia"/>
                <w:color w:val="auto"/>
                <w:highlight w:val="none"/>
                <w:vertAlign w:val="baseline"/>
                <w:lang w:val="en-US" w:eastAsia="zh-CN"/>
              </w:rPr>
            </w:pPr>
            <w:r>
              <w:rPr>
                <w:rFonts w:hint="eastAsia" w:eastAsiaTheme="minorEastAsia"/>
                <w:color w:val="auto"/>
                <w:highlight w:val="no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16</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备份一体机</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17</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读卡器</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15</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18</w:t>
            </w:r>
          </w:p>
        </w:tc>
        <w:tc>
          <w:tcPr>
            <w:tcW w:w="321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PDA移动设备</w:t>
            </w:r>
          </w:p>
        </w:tc>
        <w:tc>
          <w:tcPr>
            <w:tcW w:w="85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台</w:t>
            </w:r>
          </w:p>
        </w:tc>
        <w:tc>
          <w:tcPr>
            <w:tcW w:w="936"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宋体" w:asciiTheme="minorEastAsia" w:hAnsiTheme="minorEastAsia" w:eastAsiaTheme="minorEastAsia"/>
                <w:color w:val="auto"/>
                <w:highlight w:val="none"/>
                <w:vertAlign w:val="baseline"/>
                <w:lang w:val="en-US" w:eastAsia="zh-CN"/>
              </w:rPr>
            </w:pPr>
            <w:r>
              <w:rPr>
                <w:rFonts w:hint="eastAsia" w:cs="宋体" w:asciiTheme="minorEastAsia" w:hAnsiTheme="minorEastAsia" w:eastAsiaTheme="minorEastAsia"/>
                <w:color w:val="auto"/>
                <w:highlight w:val="none"/>
                <w:vertAlign w:val="baseline"/>
                <w:lang w:val="en-US" w:eastAsia="zh-CN"/>
              </w:rPr>
              <w:t>13</w:t>
            </w:r>
          </w:p>
        </w:tc>
        <w:tc>
          <w:tcPr>
            <w:tcW w:w="159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宋体" w:asciiTheme="minorEastAsia" w:hAnsiTheme="minorEastAsia" w:eastAsiaTheme="minorEastAsia"/>
                <w:color w:val="auto"/>
                <w:highlight w:val="none"/>
                <w:vertAlign w:val="baseline"/>
                <w:lang w:val="en-US" w:eastAsia="zh-CN"/>
              </w:rPr>
            </w:pPr>
          </w:p>
        </w:tc>
      </w:tr>
    </w:tbl>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注：本招标项目必须要实质性满足技术要求和商务要求：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2" w:firstLineChars="175"/>
        <w:textAlignment w:val="auto"/>
        <w:rPr>
          <w:rFonts w:hint="eastAsia"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1.此次招标核心产品为：体检系统。</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2" w:firstLineChars="175"/>
        <w:textAlignment w:val="auto"/>
        <w:rPr>
          <w:rFonts w:hint="eastAsia"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2.投标人提供的货物必须是原装全新、高于或等于招标文件规定技术参数的产品。</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2" w:firstLineChars="175"/>
        <w:textAlignment w:val="auto"/>
        <w:rPr>
          <w:rFonts w:hint="eastAsia"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3.属于节能产品政府采购清单规定必须强制采购的, 必须采购当期节能产品政府采购清单内设备或产品；在价格、技术、服务等指标同等条件下，优先采购节能产品（开标时需提供投标人所投产品属于政府采购清单规定的节能产品的证明材料）。</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2" w:firstLineChars="175"/>
        <w:textAlignment w:val="auto"/>
        <w:rPr>
          <w:rFonts w:hint="eastAsia"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4.本项目标的物所属行业：其他未列明行业。</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2" w:firstLineChars="175"/>
        <w:textAlignment w:val="auto"/>
        <w:rPr>
          <w:rFonts w:hint="eastAsia"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lang w:val="en-US" w:eastAsia="zh-CN"/>
        </w:rPr>
        <w:t>5.本项目要求与医院现有系统做到无缝对接，投标人需在投标文件中提供无缝对接承诺函。</w:t>
      </w:r>
    </w:p>
    <w:p>
      <w:pPr>
        <w:pStyle w:val="3"/>
        <w:pageBreakBefore w:val="0"/>
        <w:kinsoku/>
        <w:wordWrap/>
        <w:overflowPunct/>
        <w:topLinePunct w:val="0"/>
        <w:autoSpaceDE/>
        <w:autoSpaceDN/>
        <w:bidi w:val="0"/>
        <w:adjustRightInd/>
        <w:snapToGrid w:val="0"/>
        <w:spacing w:after="0" w:line="360" w:lineRule="auto"/>
        <w:textAlignment w:val="auto"/>
        <w:rPr>
          <w:rFonts w:hint="default"/>
          <w:highlight w:val="none"/>
          <w:lang w:val="en-US" w:eastAsia="zh-CN"/>
        </w:rPr>
      </w:pPr>
      <w:bookmarkStart w:id="318" w:name="_Toc13084"/>
      <w:r>
        <w:rPr>
          <w:rFonts w:hint="eastAsia"/>
          <w:highlight w:val="none"/>
          <w:lang w:val="en-US" w:eastAsia="zh-CN"/>
        </w:rPr>
        <w:t>5、功能参数要求</w:t>
      </w:r>
      <w:bookmarkEnd w:id="318"/>
    </w:p>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zh-CN"/>
        </w:rPr>
      </w:pPr>
      <w:bookmarkStart w:id="319" w:name="_Toc22357"/>
      <w:r>
        <w:rPr>
          <w:rFonts w:hint="eastAsia" w:ascii="宋体" w:hAnsi="宋体" w:eastAsia="宋体" w:cs="宋体"/>
          <w:sz w:val="24"/>
          <w:szCs w:val="24"/>
          <w:highlight w:val="none"/>
          <w:lang w:val="en-US" w:eastAsia="zh-CN"/>
        </w:rPr>
        <w:t>（1）检验结果互认系统</w:t>
      </w:r>
      <w:bookmarkEnd w:id="319"/>
    </w:p>
    <w:tbl>
      <w:tblPr>
        <w:tblStyle w:val="27"/>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8" w:type="pct"/>
            <w:shd w:val="clear" w:color="auto" w:fill="D0CECE"/>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功能模块</w:t>
            </w:r>
          </w:p>
        </w:tc>
        <w:tc>
          <w:tcPr>
            <w:tcW w:w="4141" w:type="pct"/>
            <w:shd w:val="clear" w:color="auto" w:fill="D0CECE"/>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整体要求</w:t>
            </w: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与河南省检验检查结果互认共享平台对接，根据全省统一规划、部署的检查检验互认共享平台，充分运用云计算、人工智能、大数据分析等新技术，重构诊疗服务流程，实现对患者的检查检验结果进行全省域实时校验、重复提醒、快速调阅、互认确认等。通过与平台对接不断规范临床诊疗行为，进一步提高医疗机构的诊疗效率和医疗资源的共享利用率，避免不必要的重复检查检验，减少检查检验带来的重复等候、排队等，方便患者就医，提升群众就医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58" w:type="pct"/>
            <w:vMerge w:val="restar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业务流程</w:t>
            </w: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支持河南省检验检查结果互认有效期为近期 30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支持检查检验互认提醒包含医生接诊提醒和医生开具检查检验单提醒。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8" w:type="pct"/>
            <w:vMerge w:val="restar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医生接诊提醒</w:t>
            </w: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实现患者刷卡就诊时，医院HIS系统弹框提示调阅省平台报告，查询省平台是否存在有效的检验报告，若存在提示医生是否需调阅省平台检验报告，医生确定调阅后，显示省平台报告页面。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实现医生查看省平台检验报告，医生可以调阅当前患者30天内的检验报告进行查看。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实现医生互认操作，如果当前患者在省平台存在有效的检验报告，并且检验报告在有效期内，医生可以选择检验项目，单击“引用”按钮，即表示对此检验结果的认可。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实现医生互认报告引入病历，医生书写病历文书时，将互认的检验报告结果，引入到病历文书。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58" w:type="pct"/>
            <w:vMerge w:val="restar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医生开具检验单提醒</w:t>
            </w:r>
          </w:p>
        </w:tc>
        <w:tc>
          <w:tcPr>
            <w:tcW w:w="4141" w:type="pct"/>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实现医生开具检验单时，自动检测HIS系统检验项目与省平台的对照关系，如属于互认检验项目，则强制弹出页面，并强制医生进行互认选择。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实现医生互认报告引入病历，对于互认的检验报告，医生书写病历时，引入到病历文书。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pct"/>
            <w:vMerge w:val="restar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LIS对接</w:t>
            </w: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检验报告上传，加密上传报告数据。对接数据项包括：医院编码、患者姓名、证件类型、证件号码、性别、年龄、病历号、病区、床号、检验报告、院内报告ID、报告时间、申请科室、申请医生、项目编码、项目名称、实验室名称、报告单名称、执行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支持作废检验报告，作废已上传的报告。对接数据项包括：医院编码、院内报告ID、院内项目编码等。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8" w:type="pct"/>
            <w:vMerge w:val="restar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HIS对接</w:t>
            </w: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实现接口对接。</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支持医生开具检验单时调用列表数据；</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支持医生接诊时调用列表数据；</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支持检验报告详情调用；</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支持不引用原因调用；</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支持报告引用。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8" w:type="pct"/>
            <w:vMerge w:val="continue"/>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4141" w:type="pct"/>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实现页面调用。</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支持医生开具检验单时调用安全链接；</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支持医生开具检验单时调用医生行为；</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支持医生接诊时调用安全链接和医生行为。</w:t>
            </w:r>
          </w:p>
        </w:tc>
      </w:tr>
    </w:tbl>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en-US" w:eastAsia="zh-CN"/>
        </w:rPr>
      </w:pPr>
      <w:bookmarkStart w:id="320" w:name="_Toc29001"/>
      <w:r>
        <w:rPr>
          <w:rFonts w:hint="eastAsia" w:ascii="宋体" w:hAnsi="宋体" w:eastAsia="宋体" w:cs="宋体"/>
          <w:sz w:val="24"/>
          <w:szCs w:val="24"/>
          <w:highlight w:val="none"/>
          <w:lang w:val="en-US" w:eastAsia="zh-CN"/>
        </w:rPr>
        <w:t>（2）抗菌药物管理系统</w:t>
      </w:r>
      <w:bookmarkEnd w:id="320"/>
    </w:p>
    <w:tbl>
      <w:tblPr>
        <w:tblStyle w:val="27"/>
        <w:tblW w:w="8117" w:type="dxa"/>
        <w:jc w:val="center"/>
        <w:tblLayout w:type="fixed"/>
        <w:tblCellMar>
          <w:top w:w="0" w:type="dxa"/>
          <w:left w:w="108" w:type="dxa"/>
          <w:bottom w:w="0" w:type="dxa"/>
          <w:right w:w="108" w:type="dxa"/>
        </w:tblCellMar>
      </w:tblPr>
      <w:tblGrid>
        <w:gridCol w:w="1376"/>
        <w:gridCol w:w="6741"/>
      </w:tblGrid>
      <w:tr>
        <w:tblPrEx>
          <w:tblCellMar>
            <w:top w:w="0" w:type="dxa"/>
            <w:left w:w="108" w:type="dxa"/>
            <w:bottom w:w="0" w:type="dxa"/>
            <w:right w:w="108" w:type="dxa"/>
          </w:tblCellMar>
        </w:tblPrEx>
        <w:trPr>
          <w:trHeight w:val="462" w:hRule="atLeast"/>
          <w:jc w:val="center"/>
        </w:trPr>
        <w:tc>
          <w:tcPr>
            <w:tcW w:w="1376" w:type="dxa"/>
            <w:tcBorders>
              <w:top w:val="single" w:color="000000"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741" w:type="dxa"/>
            <w:tcBorders>
              <w:top w:val="single" w:color="000000"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CellMar>
            <w:top w:w="0" w:type="dxa"/>
            <w:left w:w="108" w:type="dxa"/>
            <w:bottom w:w="0" w:type="dxa"/>
            <w:right w:w="108" w:type="dxa"/>
          </w:tblCellMar>
        </w:tblPrEx>
        <w:trPr>
          <w:trHeight w:val="165" w:hRule="atLeast"/>
          <w:jc w:val="center"/>
        </w:trPr>
        <w:tc>
          <w:tcPr>
            <w:tcW w:w="1376" w:type="dxa"/>
            <w:tcBorders>
              <w:top w:val="single" w:color="auto" w:sz="4" w:space="0"/>
              <w:left w:val="single" w:color="000000" w:sz="4" w:space="0"/>
              <w:bottom w:val="single" w:color="auto" w:sz="4" w:space="0"/>
              <w:right w:val="single" w:color="000000" w:sz="4" w:space="0"/>
            </w:tcBorders>
            <w:noWrap w:val="0"/>
            <w:tcMar>
              <w:top w:w="17" w:type="dxa"/>
              <w:left w:w="108" w:type="dxa"/>
              <w:bottom w:w="17" w:type="dxa"/>
              <w:right w:w="108" w:type="dxa"/>
            </w:tcMar>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抗菌药物统计分析</w:t>
            </w:r>
          </w:p>
        </w:tc>
        <w:tc>
          <w:tcPr>
            <w:tcW w:w="6741" w:type="dxa"/>
            <w:tcBorders>
              <w:top w:val="single" w:color="auto" w:sz="4" w:space="0"/>
              <w:left w:val="single" w:color="000000" w:sz="4" w:space="0"/>
              <w:bottom w:val="single" w:color="auto" w:sz="4" w:space="0"/>
              <w:right w:val="single" w:color="000000" w:sz="4" w:space="0"/>
            </w:tcBorders>
            <w:noWrap w:val="0"/>
            <w:tcMar>
              <w:top w:w="17" w:type="dxa"/>
              <w:left w:w="108" w:type="dxa"/>
              <w:bottom w:w="17" w:type="dxa"/>
              <w:right w:w="108" w:type="dxa"/>
            </w:tcMar>
            <w:vAlign w:val="center"/>
          </w:tcPr>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用于统计抗菌药物的消耗明细，汇总信息，以及各科室抗菌药物使用强度、使用率、金额比例等信息，用于医院抗菌药物使用情况自查，及时准确的掌握医生，科室的抗菌药物使用情况；以及全院的抗菌药物使用情况，用于上报医院抗菌药物使用情况信息使用（具体如：抗菌药物临床应用专项整治活动自查表、抗菌药物使用强度、抗菌药物使用率、用于医疗机构上报的：合理用药指标等）。</w:t>
            </w:r>
          </w:p>
        </w:tc>
      </w:tr>
      <w:tr>
        <w:tblPrEx>
          <w:tblCellMar>
            <w:top w:w="0" w:type="dxa"/>
            <w:left w:w="108" w:type="dxa"/>
            <w:bottom w:w="0" w:type="dxa"/>
            <w:right w:w="108" w:type="dxa"/>
          </w:tblCellMar>
        </w:tblPrEx>
        <w:trPr>
          <w:trHeight w:val="1755" w:hRule="atLeast"/>
          <w:jc w:val="center"/>
        </w:trPr>
        <w:tc>
          <w:tcPr>
            <w:tcW w:w="1376" w:type="dxa"/>
            <w:tcBorders>
              <w:top w:val="single" w:color="auto"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抗菌药物三级医师</w:t>
            </w:r>
          </w:p>
        </w:tc>
        <w:tc>
          <w:tcPr>
            <w:tcW w:w="6741" w:type="dxa"/>
            <w:tcBorders>
              <w:top w:val="single" w:color="auto"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center"/>
          </w:tcPr>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在软件中可以为抗菌药物维护级别：非限制使用级、限制使用级与特殊使用级。</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按医师分配不同级别抗菌药物的开立权限；只有具有相应抗菌药物级别的权限，才能开立该级别的抗菌药物；在紧急情况，医师可以越级使用抗菌药物。但在越级使用抗菌药物时，必须开立申请单，详细记录用药指证，已便上级医师查阅或审批。</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严格控制特殊使用级抗菌药物使用。特殊使用级抗菌药物不得在门诊使用。住院上使用特殊用级抗菌药物时，必须开立会诊单。</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rPr>
              <w:tab/>
            </w:r>
            <w:r>
              <w:rPr>
                <w:rFonts w:hint="eastAsia" w:ascii="宋体" w:hAnsi="宋体" w:eastAsia="宋体" w:cs="宋体"/>
                <w:sz w:val="24"/>
                <w:szCs w:val="24"/>
                <w:highlight w:val="none"/>
              </w:rPr>
              <w:t>越级使用抗菌药物可根据医院分为三种模式控制。</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医师开立一次申请后，即可越级使用一次所申请抗菌药物的处方。此模式下越级开立抗菌药物只需要申请，不需要上级医师审批；事后可再补办越级使用抗菌药物的必要手续。申请留作记录，以便日后查阅。</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医师开立一次申请后，可在某一时间段内越级使用申请抗菌药物；比如申请后，上级没有没审批的情况下，一天之内都可开立该抗菌药物的处方；如果上级医师审批后，7天之内都可开立该抗菌药物的处方。过有效期之后，需要重新申请，才可继续越级使用。</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越级使用抗菌药物时，必须开立申请，上级医师审批后，开能越级使用；申请一次对应一次的处方。</w:t>
            </w:r>
          </w:p>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w:t>医院可根据自身情况，选择符合自己的控制模式；</w:t>
            </w:r>
          </w:p>
        </w:tc>
      </w:tr>
      <w:tr>
        <w:tblPrEx>
          <w:tblCellMar>
            <w:top w:w="0" w:type="dxa"/>
            <w:left w:w="108" w:type="dxa"/>
            <w:bottom w:w="0" w:type="dxa"/>
            <w:right w:w="108" w:type="dxa"/>
          </w:tblCellMar>
        </w:tblPrEx>
        <w:trPr>
          <w:trHeight w:val="20" w:hRule="atLeast"/>
          <w:jc w:val="center"/>
        </w:trPr>
        <w:tc>
          <w:tcPr>
            <w:tcW w:w="1376" w:type="dxa"/>
            <w:tcBorders>
              <w:top w:val="single" w:color="000000"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双十统计分析功能</w:t>
            </w:r>
          </w:p>
        </w:tc>
        <w:tc>
          <w:tcPr>
            <w:tcW w:w="6741" w:type="dxa"/>
            <w:tcBorders>
              <w:top w:val="single" w:color="000000" w:sz="4" w:space="0"/>
              <w:left w:val="single" w:color="000000" w:sz="4" w:space="0"/>
              <w:bottom w:val="single" w:color="000000" w:sz="4" w:space="0"/>
              <w:right w:val="single" w:color="000000" w:sz="4" w:space="0"/>
            </w:tcBorders>
            <w:noWrap w:val="0"/>
            <w:tcMar>
              <w:top w:w="17" w:type="dxa"/>
              <w:left w:w="108" w:type="dxa"/>
              <w:bottom w:w="17" w:type="dxa"/>
              <w:right w:w="108" w:type="dxa"/>
            </w:tcMar>
            <w:vAlign w:val="center"/>
          </w:tcPr>
          <w:p>
            <w:pPr>
              <w:keepNext w:val="0"/>
              <w:keepLines w:val="0"/>
              <w:pageBreakBefore w:val="0"/>
              <w:widowControl w:val="0"/>
              <w:suppressLineNumbers w:val="0"/>
              <w:kinsoku/>
              <w:wordWrap/>
              <w:topLinePunct w:val="0"/>
              <w:bidi w:val="0"/>
              <w:snapToGrid/>
              <w:spacing w:before="0" w:beforeAutospacing="0" w:after="0" w:afterAutospacing="0" w:line="240" w:lineRule="auto"/>
              <w:ind w:left="0" w:right="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能够统计使用量前十名的抗生素，以及每种抗生素使用前十名医生</w:t>
            </w:r>
            <w:r>
              <w:rPr>
                <w:rFonts w:hint="eastAsia" w:ascii="宋体" w:hAnsi="宋体" w:eastAsia="宋体" w:cs="宋体"/>
                <w:sz w:val="24"/>
                <w:szCs w:val="24"/>
                <w:highlight w:val="none"/>
                <w:lang w:val="en-US" w:eastAsia="zh-CN"/>
              </w:rPr>
              <w:t>双十统计具有双工号验证管理功能。</w:t>
            </w:r>
          </w:p>
        </w:tc>
      </w:tr>
    </w:tbl>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en-US" w:eastAsia="zh-CN"/>
        </w:rPr>
      </w:pPr>
      <w:bookmarkStart w:id="321" w:name="_Toc20675"/>
      <w:r>
        <w:rPr>
          <w:rFonts w:hint="eastAsia" w:ascii="宋体" w:hAnsi="宋体" w:eastAsia="宋体" w:cs="宋体"/>
          <w:sz w:val="24"/>
          <w:szCs w:val="24"/>
          <w:highlight w:val="none"/>
          <w:lang w:val="en-US" w:eastAsia="zh-CN"/>
        </w:rPr>
        <w:t>（3）危急值管理系统</w:t>
      </w:r>
      <w:bookmarkEnd w:id="321"/>
    </w:p>
    <w:tbl>
      <w:tblPr>
        <w:tblStyle w:val="27"/>
        <w:tblW w:w="81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6"/>
        <w:gridCol w:w="6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356" w:type="dxa"/>
            <w:tcBorders>
              <w:tl2br w:val="nil"/>
              <w:tr2bl w:val="nil"/>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833" w:type="dxa"/>
            <w:tcBorders>
              <w:tl2br w:val="nil"/>
              <w:tr2bl w:val="nil"/>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356" w:type="dxa"/>
            <w:tcBorders>
              <w:tl2br w:val="nil"/>
              <w:tr2bl w:val="nil"/>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检验危急值管理</w:t>
            </w:r>
          </w:p>
        </w:tc>
        <w:tc>
          <w:tcPr>
            <w:tcW w:w="68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可以依照病人年龄，性别，标本类型，科室，临床诊断设定不同的危急值的结果范围。 一旦接收到仪器发送过来的危急值，LIS会先在检验科内部自动提醒，通过接口在护士站、医生站自动弹窗提醒。</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支持自定义设定临床超时未确认检验科自动提醒时间，设置完成后当临床有未确认危急值，检验科可弹窗进行提醒有危急值尚未进行确认。</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所有危急值流程数据都会被记录在案，可统计报表。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356"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影像危急值管理</w:t>
            </w:r>
          </w:p>
        </w:tc>
        <w:tc>
          <w:tcPr>
            <w:tcW w:w="6833"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实现影像科室与临床科室危急值项目及范围值字典统一管理。</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影像系统通过报告内容自动生成危急值数据，自动弹框提醒影像诊断师，并通过接口在医生站和护士站弹框提醒。</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支持自定义设定临床超时未确认影像科危急值自动提醒时间，设置完成后当临床有未确认危急值，影像科可弹窗进行提醒有危急值尚未进行确认。</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临床医生在接收到影像科室危急值提醒后，需做出相应的解决方案，数据自动回传给影像科。</w:t>
            </w:r>
          </w:p>
        </w:tc>
      </w:tr>
    </w:tbl>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en-US" w:eastAsia="zh-CN"/>
        </w:rPr>
      </w:pPr>
      <w:bookmarkStart w:id="322" w:name="_Toc9926"/>
      <w:r>
        <w:rPr>
          <w:rFonts w:hint="eastAsia" w:ascii="宋体" w:hAnsi="宋体" w:eastAsia="宋体" w:cs="宋体"/>
          <w:sz w:val="24"/>
          <w:szCs w:val="24"/>
          <w:highlight w:val="none"/>
          <w:lang w:val="en-US" w:eastAsia="zh-CN"/>
        </w:rPr>
        <w:t>（4）电子处方流转改造</w:t>
      </w:r>
      <w:bookmarkEnd w:id="322"/>
    </w:p>
    <w:tbl>
      <w:tblPr>
        <w:tblStyle w:val="66"/>
        <w:tblW w:w="8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topLinePunct w:val="0"/>
              <w:bidi w:val="0"/>
              <w:snapToGrid/>
              <w:spacing w:after="0" w:line="240" w:lineRule="auto"/>
              <w:ind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76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topLinePunct w:val="0"/>
              <w:bidi w:val="0"/>
              <w:snapToGrid/>
              <w:spacing w:after="0" w:line="240" w:lineRule="auto"/>
              <w:ind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处方流转电子凭证应用</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患者因医保电子凭证未激活，无法开具电子处方时，能提供院内医保电子凭证激活引导流程和服务。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医保信息业务编码标准</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定点医疗机构代码、医保药品代码、医保医师药师代码、医保病种代码、医保疾病诊断代码等诊疗信息，按国家医保新编码标准正确传输。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处方医嘱信息的规范性</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定点医疗机构上传的电子处方中，对药品的用法用量、发药单位、用药总量单位(包装单位)、规格、使用频次，用药开始时间及周期等医嘱信息，符合相关主管部门的政策要求和院内的医疗规范、严谨性，能保障医嘱信息准确无误的传递，确保患者用药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处方接入规范标准</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按医保电子处方中心技术规范，直接对接医保电子处方中心，不存在经过定点机构自身信息系统以外的系统进行中转、存储和业务中间处理参保人处方数据等情况，不存在将接入权限、密钥等信息授权或传递给定点机构自身信息系统以外的系统来调用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处方医疗类别场景</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1.按医保标准的医疗类别编码进行业务信息交互；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2.开方场景能支持普通门诊及门慢特病门诊。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处方流转医院管理要求</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定点医疗机构信息系统能对本院进行处方流转开方的医保医师和药品目录，进行管理和区分、维护。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处方药品医院审批标志使用</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处方开具时能准确的使用医院审批标志(hospapprflag),配合医保药品目录的限制使用标志(1mtusedflag)使用，能根据医保要求，合理使用医保药品目录和医保基金报销政策，保障参保人利益。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处方合规规范性</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1.电子处方上附加定点医疗机构的医保电子签名(使用全国统一的医保信息平台已下发的定点机构国密数字证书);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2.电子处方上有医保医师、药师签名；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3.电子签名后的处方文件能通过电子处方中心的真实性验签。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处方服务流程完整性</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1.支持定点医疗机构医保医师和医保药师能顺畅的为患者提供电子处方开具及处方审核服务；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2.医保医师能够根据业务需要，通过HIS系统实现对处方进行撤销；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3.院内医保药师能及时对待上传的电子处方进行审核，并将结果反馈至医师；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4.定点医疗机构能为患者提供处方开具后的状态查询及院内医保药师审核状态的提醒服务，并为患者进行流程指引。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处方流转自主选择性</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1.患者可自主选择要取药的药店；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2.定点医疗机构不存在引导患者到指定药店购药的行为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处方流转互联网+医疗</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1.支持按照医保电子凭证线上身份核验规范进行接入；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2.支持定点医疗机构开展互联网+医疗服务的场景，须按照线上线下一致的原则，依托其实体定点医疗机构及其信息系统对接医保平台实现电子处方服务。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应用技术服务</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满足国家医保局下发的《电子处方流转中心两定机构接入标准规范》（V1.2.0）及后续版本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安全技术服务</w:t>
            </w:r>
          </w:p>
        </w:tc>
        <w:tc>
          <w:tcPr>
            <w:tcW w:w="6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beforeAutospacing="0" w:after="0" w:afterAutospacing="0" w:line="240" w:lineRule="auto"/>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满足医院电子处方数据信息抽取、共享等安全技术规范</w:t>
            </w:r>
          </w:p>
        </w:tc>
      </w:tr>
    </w:tbl>
    <w:p>
      <w:pPr>
        <w:pageBreakBefore w:val="0"/>
        <w:kinsoku/>
        <w:wordWrap/>
        <w:topLinePunct w:val="0"/>
        <w:bidi w:val="0"/>
        <w:snapToGrid/>
        <w:spacing w:after="0" w:line="240" w:lineRule="auto"/>
        <w:ind w:firstLine="0" w:firstLineChars="0"/>
        <w:rPr>
          <w:rFonts w:hint="eastAsia" w:ascii="宋体" w:hAnsi="宋体" w:eastAsia="宋体" w:cs="宋体"/>
          <w:sz w:val="24"/>
          <w:szCs w:val="24"/>
          <w:highlight w:val="none"/>
          <w:lang w:val="en-US" w:eastAsia="zh-CN"/>
        </w:rPr>
      </w:pPr>
    </w:p>
    <w:p>
      <w:pPr>
        <w:pStyle w:val="3"/>
        <w:pageBreakBefore w:val="0"/>
        <w:kinsoku/>
        <w:wordWrap/>
        <w:topLinePunct w:val="0"/>
        <w:bidi w:val="0"/>
        <w:snapToGrid/>
        <w:spacing w:before="0" w:after="0" w:line="240" w:lineRule="auto"/>
        <w:ind w:firstLine="0" w:firstLineChars="0"/>
        <w:rPr>
          <w:rFonts w:hint="eastAsia" w:ascii="宋体" w:hAnsi="宋体" w:eastAsia="宋体" w:cs="宋体"/>
          <w:color w:val="auto"/>
          <w:sz w:val="24"/>
          <w:szCs w:val="24"/>
          <w:highlight w:val="none"/>
          <w:lang w:val="en-US" w:eastAsia="zh-CN"/>
        </w:rPr>
      </w:pPr>
      <w:bookmarkStart w:id="323" w:name="_Toc4629"/>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lang w:val="en-US" w:eastAsia="zh-CN"/>
        </w:rPr>
        <w:t>公立医院绩效考核上报系统</w:t>
      </w:r>
      <w:bookmarkEnd w:id="32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color w:val="auto"/>
                <w:sz w:val="24"/>
                <w:szCs w:val="24"/>
                <w:highlight w:val="none"/>
              </w:rPr>
              <w:t>功能模块</w:t>
            </w:r>
          </w:p>
        </w:tc>
        <w:tc>
          <w:tcPr>
            <w:tcW w:w="6966" w:type="dxa"/>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color w:val="auto"/>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公立医院绩效考核上报系统</w:t>
            </w:r>
          </w:p>
        </w:tc>
        <w:tc>
          <w:tcPr>
            <w:tcW w:w="6966" w:type="dxa"/>
          </w:tcPr>
          <w:p>
            <w:pPr>
              <w:keepNext w:val="0"/>
              <w:keepLines w:val="0"/>
              <w:pageBreakBefore w:val="0"/>
              <w:suppressLineNumbers w:val="0"/>
              <w:kinsoku/>
              <w:wordWrap/>
              <w:topLinePunct w:val="0"/>
              <w:bidi w:val="0"/>
              <w:snapToGrid/>
              <w:spacing w:before="0" w:beforeAutospacing="0" w:after="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国家最新技术标准，软硬件需提供国家规定的免费质保，整体项目验收通过开始计算质保期；质保期内，软件需提供免费升级、免费修改、免费提供外部接口对接服务，外部接口对接费用含在内，如需要招标方协调的，招标方可给予协调，以期最大限度降低接口费用。</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技术参数需满足www.hqms.org.cn二级公立医院绩效考核系统平台信息采集与上报规范</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技术参数需满足www.hqms.org.cn医院质量监测系统平台信息采集与上报规范</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技术参数需满足www.ncis.cn国家医疗质量管理与控制信息系统平台采集与上报规范</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采集系统对接接口标准</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——国家病案管理质控中心住院病案首页数据采集质控标准</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——国家卫生健康委医院质量监测系统（HQMS）接口标准</w:t>
            </w:r>
          </w:p>
          <w:p>
            <w:pPr>
              <w:keepNext w:val="0"/>
              <w:keepLines w:val="0"/>
              <w:pageBreakBefore w:val="0"/>
              <w:suppressLineNumbers w:val="0"/>
              <w:kinsoku/>
              <w:wordWrap/>
              <w:topLinePunct w:val="0"/>
              <w:bidi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bCs/>
                <w:color w:val="auto"/>
                <w:kern w:val="28"/>
                <w:sz w:val="24"/>
                <w:szCs w:val="24"/>
                <w:highlight w:val="none"/>
              </w:rPr>
              <w:t>——</w:t>
            </w:r>
            <w:r>
              <w:rPr>
                <w:rFonts w:hint="eastAsia" w:ascii="宋体" w:hAnsi="宋体" w:eastAsia="宋体" w:cs="宋体"/>
                <w:bCs/>
                <w:color w:val="auto"/>
                <w:kern w:val="28"/>
                <w:sz w:val="24"/>
                <w:szCs w:val="24"/>
                <w:highlight w:val="none"/>
                <w:lang w:val="en-US" w:eastAsia="zh-CN"/>
              </w:rPr>
              <w:t>国家卫生健康委医政医管局医疗质量与评价（NCIS）相关接口标准规范</w:t>
            </w:r>
          </w:p>
        </w:tc>
      </w:tr>
    </w:tbl>
    <w:p>
      <w:pPr>
        <w:pStyle w:val="10"/>
        <w:pageBreakBefore w:val="0"/>
        <w:kinsoku/>
        <w:wordWrap/>
        <w:topLinePunct w:val="0"/>
        <w:bidi w:val="0"/>
        <w:snapToGrid/>
        <w:spacing w:after="0" w:line="240" w:lineRule="auto"/>
        <w:ind w:firstLine="0" w:firstLineChars="0"/>
        <w:rPr>
          <w:rFonts w:hint="eastAsia" w:ascii="宋体" w:hAnsi="宋体" w:eastAsia="宋体" w:cs="宋体"/>
          <w:bCs/>
          <w:color w:val="auto"/>
          <w:kern w:val="28"/>
          <w:sz w:val="24"/>
          <w:szCs w:val="24"/>
          <w:highlight w:val="none"/>
          <w:lang w:val="en-US" w:eastAsia="zh-CN"/>
        </w:rPr>
      </w:pPr>
      <w:bookmarkStart w:id="324" w:name="_Toc515393984"/>
    </w:p>
    <w:bookmarkEnd w:id="324"/>
    <w:p>
      <w:pPr>
        <w:pStyle w:val="3"/>
        <w:pageBreakBefore w:val="0"/>
        <w:numPr>
          <w:ilvl w:val="0"/>
          <w:numId w:val="3"/>
        </w:numPr>
        <w:kinsoku/>
        <w:wordWrap/>
        <w:topLinePunct w:val="0"/>
        <w:bidi w:val="0"/>
        <w:snapToGrid/>
        <w:spacing w:before="0" w:after="0" w:line="240" w:lineRule="auto"/>
        <w:ind w:firstLine="0" w:firstLineChars="0"/>
        <w:rPr>
          <w:rFonts w:hint="eastAsia" w:ascii="宋体" w:hAnsi="宋体" w:eastAsia="宋体" w:cs="宋体"/>
          <w:color w:val="auto"/>
          <w:sz w:val="24"/>
          <w:szCs w:val="24"/>
          <w:highlight w:val="none"/>
          <w:lang w:val="en-US" w:eastAsia="zh-CN"/>
        </w:rPr>
      </w:pPr>
      <w:bookmarkStart w:id="325" w:name="_Toc26641"/>
      <w:r>
        <w:rPr>
          <w:rFonts w:hint="eastAsia" w:ascii="宋体" w:hAnsi="宋体" w:eastAsia="宋体" w:cs="宋体"/>
          <w:color w:val="auto"/>
          <w:sz w:val="24"/>
          <w:szCs w:val="24"/>
          <w:highlight w:val="none"/>
          <w:lang w:val="en-US" w:eastAsia="zh-CN"/>
        </w:rPr>
        <w:t>食源性上报接入系统</w:t>
      </w:r>
      <w:bookmarkEnd w:id="32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6939" w:type="dxa"/>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pPr>
              <w:keepNext w:val="0"/>
              <w:keepLines w:val="0"/>
              <w:numPr>
                <w:ilvl w:val="0"/>
                <w:numId w:val="0"/>
              </w:numPr>
              <w:suppressLineNumbers w:val="0"/>
              <w:spacing w:before="0" w:beforeAutospacing="0" w:after="0" w:afterAutospacing="0"/>
              <w:ind w:left="0" w:right="0"/>
              <w:rPr>
                <w:rFonts w:hint="eastAsia"/>
                <w:color w:val="auto"/>
                <w:highlight w:val="none"/>
                <w:vertAlign w:val="baseline"/>
                <w:lang w:val="en-US" w:eastAsia="zh-CN"/>
              </w:rPr>
            </w:pPr>
            <w:r>
              <w:rPr>
                <w:rFonts w:hint="eastAsia" w:ascii="宋体" w:hAnsi="宋体" w:eastAsia="宋体" w:cs="宋体"/>
                <w:color w:val="auto"/>
                <w:sz w:val="24"/>
                <w:szCs w:val="24"/>
                <w:highlight w:val="none"/>
                <w:lang w:val="en-US" w:eastAsia="zh-CN"/>
              </w:rPr>
              <w:t>食源性上报接入</w:t>
            </w:r>
          </w:p>
        </w:tc>
        <w:tc>
          <w:tcPr>
            <w:tcW w:w="6939" w:type="dxa"/>
          </w:tcPr>
          <w:p>
            <w:pPr>
              <w:keepNext w:val="0"/>
              <w:keepLines w:val="0"/>
              <w:numPr>
                <w:ilvl w:val="0"/>
                <w:numId w:val="0"/>
              </w:numPr>
              <w:suppressLineNumbers w:val="0"/>
              <w:spacing w:before="0" w:beforeAutospacing="0" w:after="0" w:afterAutospacing="0"/>
              <w:ind w:left="0" w:right="0"/>
              <w:rPr>
                <w:rFonts w:hint="eastAsia"/>
                <w:color w:val="auto"/>
                <w:highlight w:val="none"/>
                <w:vertAlign w:val="baseline"/>
                <w:lang w:val="en-US" w:eastAsia="zh-CN"/>
              </w:rPr>
            </w:pPr>
            <w:r>
              <w:rPr>
                <w:rFonts w:hint="eastAsia" w:ascii="宋体" w:hAnsi="宋体" w:eastAsia="宋体" w:cs="宋体"/>
                <w:color w:val="auto"/>
                <w:sz w:val="24"/>
                <w:szCs w:val="24"/>
                <w:highlight w:val="none"/>
              </w:rPr>
              <w:t>在医院的HIS系统根据诊断触发调用医院前置机部署FBD</w:t>
            </w:r>
            <w:r>
              <w:rPr>
                <w:rFonts w:hint="eastAsia" w:ascii="宋体" w:hAnsi="宋体" w:eastAsia="宋体" w:cs="宋体"/>
                <w:color w:val="auto"/>
                <w:sz w:val="24"/>
                <w:szCs w:val="24"/>
                <w:highlight w:val="none"/>
                <w:lang w:val="zh-CN"/>
              </w:rPr>
              <w:t>表单组件</w:t>
            </w:r>
            <w:r>
              <w:rPr>
                <w:rFonts w:hint="eastAsia" w:ascii="宋体" w:hAnsi="宋体" w:eastAsia="宋体" w:cs="宋体"/>
                <w:color w:val="auto"/>
                <w:sz w:val="24"/>
                <w:szCs w:val="24"/>
                <w:highlight w:val="none"/>
              </w:rPr>
              <w:t>的嵌入式微服务页面（医生填报），由临床医生在该录入页面录入食源性疾病信息，科室医生可访问医院客户端（公卫科审核上报）审核病例信息，点击上报，上传病例数据到省级（国家）食源性疾病监测系统完成上报工作。</w:t>
            </w:r>
          </w:p>
        </w:tc>
      </w:tr>
    </w:tbl>
    <w:p>
      <w:pPr>
        <w:pageBreakBefore w:val="0"/>
        <w:kinsoku/>
        <w:wordWrap/>
        <w:topLinePunct w:val="0"/>
        <w:bidi w:val="0"/>
        <w:spacing w:line="240" w:lineRule="auto"/>
        <w:rPr>
          <w:rFonts w:hint="eastAsia" w:ascii="宋体" w:hAnsi="宋体" w:eastAsia="宋体" w:cs="宋体"/>
          <w:color w:val="000000"/>
          <w:sz w:val="24"/>
          <w:szCs w:val="24"/>
          <w:highlight w:val="none"/>
        </w:rPr>
      </w:pPr>
    </w:p>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en-US" w:eastAsia="zh-CN"/>
        </w:rPr>
      </w:pPr>
      <w:bookmarkStart w:id="326" w:name="_Toc16015"/>
      <w:r>
        <w:rPr>
          <w:rFonts w:hint="eastAsia" w:ascii="宋体" w:hAnsi="宋体" w:eastAsia="宋体" w:cs="宋体"/>
          <w:sz w:val="24"/>
          <w:szCs w:val="24"/>
          <w:highlight w:val="none"/>
          <w:lang w:val="en-US" w:eastAsia="zh-CN"/>
        </w:rPr>
        <w:t>（7）电子健康卡管平台系统</w:t>
      </w:r>
      <w:bookmarkEnd w:id="326"/>
    </w:p>
    <w:tbl>
      <w:tblPr>
        <w:tblStyle w:val="66"/>
        <w:tblW w:w="7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6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4" w:type="dxa"/>
            <w:noWrap w:val="0"/>
            <w:vAlign w:val="top"/>
          </w:tcPr>
          <w:p>
            <w:pPr>
              <w:pageBreakBefore w:val="0"/>
              <w:kinsoku/>
              <w:wordWrap/>
              <w:topLinePunct w:val="0"/>
              <w:bidi w:val="0"/>
              <w:snapToGrid/>
              <w:spacing w:after="0" w:line="240" w:lineRule="auto"/>
              <w:ind w:firstLine="0" w:firstLineChars="0"/>
              <w:jc w:val="center"/>
              <w:rPr>
                <w:rFonts w:hint="eastAsia" w:ascii="宋体" w:hAnsi="宋体" w:eastAsia="宋体" w:cs="宋体"/>
                <w:b/>
                <w:kern w:val="2"/>
                <w:sz w:val="24"/>
                <w:szCs w:val="24"/>
                <w:highlight w:val="none"/>
                <w:lang w:val="en-US" w:eastAsia="en-US" w:bidi="ar-SA"/>
              </w:rPr>
            </w:pPr>
            <w:r>
              <w:rPr>
                <w:rFonts w:hint="eastAsia" w:ascii="宋体" w:hAnsi="宋体" w:eastAsia="宋体" w:cs="宋体"/>
                <w:b/>
                <w:sz w:val="24"/>
                <w:szCs w:val="24"/>
                <w:highlight w:val="none"/>
              </w:rPr>
              <w:t>功能模块</w:t>
            </w:r>
          </w:p>
        </w:tc>
        <w:tc>
          <w:tcPr>
            <w:tcW w:w="6733" w:type="dxa"/>
            <w:noWrap w:val="0"/>
            <w:vAlign w:val="top"/>
          </w:tcPr>
          <w:p>
            <w:pPr>
              <w:pageBreakBefore w:val="0"/>
              <w:kinsoku/>
              <w:wordWrap/>
              <w:topLinePunct w:val="0"/>
              <w:bidi w:val="0"/>
              <w:snapToGrid/>
              <w:spacing w:after="0" w:line="240" w:lineRule="auto"/>
              <w:ind w:firstLine="0" w:firstLineChars="0"/>
              <w:jc w:val="center"/>
              <w:rPr>
                <w:rFonts w:hint="eastAsia" w:ascii="宋体" w:hAnsi="宋体" w:eastAsia="宋体" w:cs="宋体"/>
                <w:b/>
                <w:kern w:val="2"/>
                <w:sz w:val="24"/>
                <w:szCs w:val="24"/>
                <w:highlight w:val="none"/>
                <w:lang w:val="en-US" w:eastAsia="en-US" w:bidi="ar-SA"/>
              </w:rPr>
            </w:pPr>
            <w:r>
              <w:rPr>
                <w:rFonts w:hint="eastAsia" w:ascii="宋体" w:hAnsi="宋体" w:eastAsia="宋体" w:cs="宋体"/>
                <w:b/>
                <w:sz w:val="24"/>
                <w:szCs w:val="24"/>
                <w:highlight w:val="none"/>
              </w:rPr>
              <w:t>主要技术参数要求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4" w:type="dxa"/>
            <w:noWrap w:val="0"/>
            <w:vAlign w:val="center"/>
          </w:tcPr>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区域卫生信息</w:t>
            </w:r>
          </w:p>
        </w:tc>
        <w:tc>
          <w:tcPr>
            <w:tcW w:w="6733" w:type="dxa"/>
            <w:noWrap w:val="0"/>
            <w:vAlign w:val="center"/>
          </w:tcPr>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按照焦作市健康平台接口，完成建档，挂号，诊疗，清单等上传接入</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en-US"/>
              </w:rPr>
              <w:t>居民健康卡数据接入</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en-US"/>
              </w:rPr>
              <w:t>区域内业务应用的的数据接入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4" w:type="dxa"/>
            <w:noWrap w:val="0"/>
            <w:vAlign w:val="center"/>
          </w:tcPr>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其他</w:t>
            </w:r>
          </w:p>
        </w:tc>
        <w:tc>
          <w:tcPr>
            <w:tcW w:w="6733" w:type="dxa"/>
            <w:noWrap w:val="0"/>
            <w:vAlign w:val="center"/>
          </w:tcPr>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en-US"/>
              </w:rPr>
              <w:t>满足全民健康信息平台接入系统的要求</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topLinePunct w:val="0"/>
              <w:bidi w:val="0"/>
              <w:snapToGrid/>
              <w:spacing w:after="0" w:line="240" w:lineRule="auto"/>
              <w:ind w:firstLine="0" w:firstLineChars="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en-US"/>
              </w:rPr>
              <w:t>实现与院内信息无缝对接、互联互通。</w:t>
            </w:r>
          </w:p>
        </w:tc>
      </w:tr>
    </w:tbl>
    <w:p>
      <w:pPr>
        <w:pStyle w:val="3"/>
        <w:pageBreakBefore w:val="0"/>
        <w:kinsoku/>
        <w:wordWrap/>
        <w:topLinePunct w:val="0"/>
        <w:bidi w:val="0"/>
        <w:snapToGrid/>
        <w:spacing w:before="0" w:after="0" w:line="240" w:lineRule="auto"/>
        <w:ind w:firstLine="0" w:firstLineChars="0"/>
        <w:rPr>
          <w:rFonts w:hint="eastAsia" w:ascii="宋体" w:hAnsi="宋体" w:eastAsia="宋体" w:cs="宋体"/>
          <w:sz w:val="24"/>
          <w:szCs w:val="24"/>
          <w:highlight w:val="none"/>
          <w:lang w:val="en-US" w:eastAsia="zh-CN"/>
        </w:rPr>
      </w:pPr>
      <w:bookmarkStart w:id="327" w:name="_Toc4403"/>
      <w:r>
        <w:rPr>
          <w:rFonts w:hint="eastAsia" w:ascii="宋体" w:hAnsi="宋体" w:eastAsia="宋体" w:cs="宋体"/>
          <w:sz w:val="24"/>
          <w:szCs w:val="24"/>
          <w:highlight w:val="none"/>
          <w:lang w:val="en-US" w:eastAsia="zh-CN"/>
        </w:rPr>
        <w:t>（8）医技预约系统</w:t>
      </w:r>
      <w:bookmarkEnd w:id="327"/>
    </w:p>
    <w:tbl>
      <w:tblPr>
        <w:tblStyle w:val="2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19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9" w:type="dxa"/>
            <w:gridSpan w:val="2"/>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207" w:type="dxa"/>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restart"/>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医技管理员</w:t>
            </w: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号源管理</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支持检查/检验资源号源池统一管理。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支持超声、核磁、放射、腔镜、心电、脑电、检验、病理等检查检验预约。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支持按预约资源设置每天最大预约量，支持分时段号源设置，每天可约时间粒度（最小粒度到分钟）。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支持按号源按规则发布，系统根据规则自动生成号源。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支持按不同的时令设置号源。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支持号源时段一键自动生成及自定义。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支持按天显示号源预约情况。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支持单独控制每天各时段号源，支持号源临时增加、减少。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支持设置现场预留号。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支持按预约渠道、按预约资源、按天、按周、按时间段设置共享号源和独占号源。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支持按预约渠道（按科室或门诊、住院、自助机、预约中心、窗口、分诊台、第三方等）设置号源可约数量。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支持按预约渠道、按预约资源设置号源可约时间段。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支持按节假日自动生成号源可约限制。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支持按天、按周、按班次设置是否生成预约号源。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号源查询按照诊室查看该诊室下号源总量、已约号源量及各时段预约情况，并能查看具体就诊人信息。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排班管理</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支持设定时间范围、上班规则批量的设置医师/技师排班，也可逐个设置。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支持医技科室排班查询及修改。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支持排班按医师、按诊室展现方式。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支持设置排班规则，系统自动生成排班。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预约规则引擎</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支持根据申请单检查项目自动匹配对应设备（诊室）。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支持根据多个检查项目自动推荐最优检查次序。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支持检查项目与历史检查项目互斥。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支持爽约根据预设规则自动进入爽约名单。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支持根据预设规则限制提前预约时间。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支持根据预设规则限制允许预约时间。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支持根据改约规则限制改约时间范围。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支持排班与号源自动匹配生成可约号源。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支持按照预设规则限制渠道预约数量。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支持按照检查分组预约。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支持按照预设规则匹配组合项目占用号源。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支持检查项目注意事项提醒。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支持医技自动预约，医生开单后系统自动预约。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支持根据科室、检查类型、患者来院设置自动预约。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支持根据对检查项目进行的分类限制设备上可以做的检查项目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支持根据日期、周期限制可约的检查项目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支持24小时全预约和仅上班时间预约等模式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支持检查项目独立设置权重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支持空腹项目自动预约到上午。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支持按项目自动预约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支持根据项目平均检查时长自动推荐诊室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支持项目预设优先级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支持按项目、按检查类型设置是否可约。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支持项目互斥规则自动适配预约时间。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支持设备停号自动发送消息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检验项目的检索、新增、删除、编辑、HIS同步、启停用等管理功能。可维护检查时长、金额、类型、优先级、空腹等为医技中等待时长的计算、互斥规则维护、提醒规则维护、职能预约计算等提供基础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支持检查检验项目个明细维护，提供检索、新增、删除、编辑等管理功能。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支持按项目设置可约时间。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支持按项目设置诊前、诊中、诊后提醒。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支持对检查检验项目类型的检索、新增、删除、编辑、启停用等管理功能。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支持对检查项目互斥规则的管理，提供增加、删除、编辑、启停用等管理功能。互斥规则健全、完善，直接决定了医技预约平台能否合理统筹安排医技的预约。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系统设置</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支持爽约规则自定义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支持预约规则自定义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支持签到规则自定义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支持支付规则自定义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支持改约限制自定义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支持相应的操作节点开关配置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决策分析</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支持根据系统所产生的数据，为院领导、管理员提供分析数据，为管理决策提供帮助。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支持预约统计分析。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支持技师工作量统计。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restart"/>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医技预约中心</w:t>
            </w:r>
          </w:p>
        </w:tc>
        <w:tc>
          <w:tcPr>
            <w:tcW w:w="1193" w:type="dxa"/>
            <w:vMerge w:val="restart"/>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医技预约</w:t>
            </w: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支持分时段预约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支持电话、窗口、预约中心、分诊台预约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支持查看申请单详细信息。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支持预约查询、预约状态查询等操作的功能模块。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支持根据检查申请单自动自动计算并分配最合适的检查设备。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支持改约、取消预约。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支持按预约规则限制判断。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支持无卡预约占号。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支持查询患者就诊记录。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36" w:type="dxa"/>
            <w:vMerge w:val="continue"/>
            <w:noWrap/>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1193" w:type="dxa"/>
            <w:vMerge w:val="continue"/>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207" w:type="dxa"/>
            <w:noWrap w:val="0"/>
            <w:vAlign w:val="top"/>
          </w:tcPr>
          <w:p>
            <w:pPr>
              <w:keepNext w:val="0"/>
              <w:keepLines w:val="0"/>
              <w:pageBreakBefore w:val="0"/>
              <w:widowControl/>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支持预约列表导出、打印。</w:t>
            </w:r>
          </w:p>
        </w:tc>
      </w:tr>
    </w:tbl>
    <w:p>
      <w:pPr>
        <w:pageBreakBefore w:val="0"/>
        <w:kinsoku/>
        <w:wordWrap/>
        <w:topLinePunct w:val="0"/>
        <w:bidi w:val="0"/>
        <w:snapToGrid/>
        <w:spacing w:after="0" w:line="240" w:lineRule="auto"/>
        <w:ind w:firstLine="0" w:firstLineChars="0"/>
        <w:rPr>
          <w:rFonts w:hint="eastAsia" w:ascii="宋体" w:hAnsi="宋体" w:eastAsia="宋体" w:cs="宋体"/>
          <w:sz w:val="24"/>
          <w:szCs w:val="24"/>
          <w:highlight w:val="none"/>
          <w:lang w:val="en-US" w:eastAsia="zh-CN"/>
        </w:rPr>
      </w:pPr>
    </w:p>
    <w:p>
      <w:pPr>
        <w:pStyle w:val="3"/>
        <w:pageBreakBefore w:val="0"/>
        <w:kinsoku/>
        <w:wordWrap/>
        <w:topLinePunct w:val="0"/>
        <w:bidi w:val="0"/>
        <w:spacing w:before="0" w:line="240" w:lineRule="auto"/>
        <w:rPr>
          <w:rFonts w:hint="eastAsia" w:ascii="宋体" w:hAnsi="宋体" w:eastAsia="宋体" w:cs="宋体"/>
          <w:sz w:val="24"/>
          <w:szCs w:val="24"/>
          <w:highlight w:val="none"/>
        </w:rPr>
      </w:pPr>
      <w:bookmarkStart w:id="328" w:name="_Toc14497"/>
      <w:r>
        <w:rPr>
          <w:rFonts w:hint="eastAsia" w:ascii="宋体" w:hAnsi="宋体" w:eastAsia="宋体" w:cs="宋体"/>
          <w:sz w:val="24"/>
          <w:szCs w:val="24"/>
          <w:highlight w:val="none"/>
          <w:lang w:val="en-US" w:eastAsia="zh-CN"/>
        </w:rPr>
        <w:t>（9）体检系统</w:t>
      </w:r>
      <w:bookmarkEnd w:id="328"/>
    </w:p>
    <w:tbl>
      <w:tblPr>
        <w:tblStyle w:val="27"/>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03"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636"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6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体检</w:t>
            </w:r>
            <w:r>
              <w:rPr>
                <w:rFonts w:hint="eastAsia" w:ascii="宋体" w:hAnsi="宋体" w:eastAsia="宋体" w:cs="宋体"/>
                <w:bCs/>
                <w:kern w:val="0"/>
                <w:sz w:val="24"/>
                <w:szCs w:val="24"/>
                <w:highlight w:val="none"/>
              </w:rPr>
              <w:t>登记</w:t>
            </w:r>
          </w:p>
        </w:tc>
        <w:tc>
          <w:tcPr>
            <w:tcW w:w="6636"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登记台</w:t>
            </w:r>
            <w:r>
              <w:rPr>
                <w:rFonts w:hint="eastAsia" w:ascii="宋体" w:hAnsi="宋体" w:eastAsia="宋体" w:cs="宋体"/>
                <w:sz w:val="24"/>
                <w:szCs w:val="24"/>
                <w:highlight w:val="none"/>
              </w:rPr>
              <w:t>体检登记，打印体检指引单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LIS条码等。</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体检项目可按体检套餐和单个体检项目选择。</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体检套餐选择自动验证性别是否匹配，保存项目时自动验证</w:t>
            </w:r>
            <w:r>
              <w:rPr>
                <w:rFonts w:hint="eastAsia" w:ascii="宋体" w:hAnsi="宋体" w:eastAsia="宋体" w:cs="宋体"/>
                <w:sz w:val="24"/>
                <w:szCs w:val="24"/>
                <w:highlight w:val="none"/>
              </w:rPr>
              <w:t>男女项目</w:t>
            </w:r>
            <w:r>
              <w:rPr>
                <w:rFonts w:hint="eastAsia" w:ascii="宋体" w:hAnsi="宋体" w:eastAsia="宋体" w:cs="宋体"/>
                <w:sz w:val="24"/>
                <w:szCs w:val="24"/>
                <w:highlight w:val="none"/>
                <w:lang w:val="en-US" w:eastAsia="zh-CN"/>
              </w:rPr>
              <w:t>。</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支持身份证读取信息（支持多种读卡器：德卡、华大、神思、华视），并自动填入体检登记界面。</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手工登录信息时，支持出生日期自动计算年龄。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照片管理</w:t>
            </w:r>
          </w:p>
        </w:tc>
        <w:tc>
          <w:tcPr>
            <w:tcW w:w="6636"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体检登记时支持照相功能。</w:t>
            </w:r>
          </w:p>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照片支持删除、重拍、重新选择。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体检折扣</w:t>
            </w:r>
          </w:p>
        </w:tc>
        <w:tc>
          <w:tcPr>
            <w:tcW w:w="6636" w:type="dxa"/>
            <w:noWrap w:val="0"/>
            <w:vAlign w:val="center"/>
          </w:tcPr>
          <w:p>
            <w:pPr>
              <w:pStyle w:val="2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1、支持按套餐整体</w:t>
            </w:r>
            <w:r>
              <w:rPr>
                <w:rFonts w:hint="eastAsia" w:ascii="宋体" w:hAnsi="宋体" w:eastAsia="宋体" w:cs="宋体"/>
                <w:b w:val="0"/>
                <w:bCs w:val="0"/>
                <w:color w:val="auto"/>
                <w:kern w:val="2"/>
                <w:sz w:val="24"/>
                <w:szCs w:val="24"/>
                <w:highlight w:val="none"/>
                <w:lang w:val="en-US" w:eastAsia="zh-CN" w:bidi="ar-SA"/>
              </w:rPr>
              <w:t>折扣。</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2、项目折扣可设置最低折扣值。</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3、整体折扣后自动拆分计算项目收费金额。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6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rPr>
              <w:t>项目变更</w:t>
            </w:r>
          </w:p>
        </w:tc>
        <w:tc>
          <w:tcPr>
            <w:tcW w:w="6636"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项目未收费之前可删除、可增加其他项目。可从新选择套餐。</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弃检</w:t>
            </w:r>
            <w:r>
              <w:rPr>
                <w:rFonts w:hint="eastAsia" w:ascii="宋体" w:hAnsi="宋体" w:eastAsia="宋体" w:cs="宋体"/>
                <w:bCs/>
                <w:kern w:val="0"/>
                <w:sz w:val="24"/>
                <w:szCs w:val="24"/>
                <w:highlight w:val="none"/>
                <w:lang w:val="en-US" w:eastAsia="zh-CN"/>
              </w:rPr>
              <w:t>项目可选择项目删除，所有项目</w:t>
            </w:r>
            <w:r>
              <w:rPr>
                <w:rFonts w:hint="eastAsia" w:ascii="宋体" w:hAnsi="宋体" w:eastAsia="宋体" w:cs="宋体"/>
                <w:bCs/>
                <w:kern w:val="0"/>
                <w:sz w:val="24"/>
                <w:szCs w:val="24"/>
                <w:highlight w:val="none"/>
              </w:rPr>
              <w:t>弃检</w:t>
            </w:r>
            <w:r>
              <w:rPr>
                <w:rFonts w:hint="eastAsia" w:ascii="宋体" w:hAnsi="宋体" w:eastAsia="宋体" w:cs="宋体"/>
                <w:bCs/>
                <w:kern w:val="0"/>
                <w:sz w:val="24"/>
                <w:szCs w:val="24"/>
                <w:highlight w:val="none"/>
                <w:lang w:val="en-US" w:eastAsia="zh-CN"/>
              </w:rPr>
              <w:t>可删除人员</w:t>
            </w:r>
            <w:r>
              <w:rPr>
                <w:rFonts w:hint="eastAsia" w:ascii="宋体" w:hAnsi="宋体" w:eastAsia="宋体" w:cs="宋体"/>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16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bCs/>
                <w:kern w:val="0"/>
                <w:sz w:val="24"/>
                <w:szCs w:val="24"/>
                <w:highlight w:val="none"/>
                <w:lang w:val="en-US" w:eastAsia="zh-CN"/>
              </w:rPr>
              <w:t>单位体检</w:t>
            </w:r>
          </w:p>
        </w:tc>
        <w:tc>
          <w:tcPr>
            <w:tcW w:w="6636"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可提前维护体检单位，录入单位基本信息。</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支持单位体检分组、区分套餐使用的，男子和女子套餐或单位特殊情况区分套餐。一个分组对应一个体检套餐。</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支持批量登记，根据EXCL模板填入单位人员信息可以进行批量导入进系统。</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单位人员到院后进行正式登记打印出指引单和条码分发对应人员进行体检。可批量全部登记也可进行单个人登记。</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登记后的人员支持单个项目调整或批量调整。</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支持批量调整单位体检部门信息、人员类别、民族。</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支持按分组调整，调整单位体检患者切换单位分组。</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单位人员信息修改，支持修改人员基本信息，分组信息。</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宋体" w:hAnsi="宋体" w:eastAsia="宋体" w:cs="宋体"/>
                <w:bCs/>
                <w:kern w:val="0"/>
                <w:sz w:val="24"/>
                <w:szCs w:val="24"/>
                <w:highlight w:val="none"/>
              </w:rPr>
            </w:pPr>
            <w:r>
              <w:rPr>
                <w:rFonts w:hint="eastAsia" w:ascii="宋体" w:hAnsi="宋体" w:eastAsia="宋体" w:cs="宋体"/>
                <w:sz w:val="24"/>
                <w:szCs w:val="24"/>
                <w:highlight w:val="none"/>
                <w:lang w:val="en-US" w:eastAsia="zh-CN"/>
              </w:rPr>
              <w:t>批量导入单位信息错误后可批量修改单位信息。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拒检</w:t>
            </w:r>
            <w:r>
              <w:rPr>
                <w:rFonts w:hint="eastAsia" w:ascii="宋体" w:hAnsi="宋体" w:eastAsia="宋体" w:cs="宋体"/>
                <w:sz w:val="24"/>
                <w:szCs w:val="24"/>
                <w:highlight w:val="none"/>
                <w:lang w:val="en-US" w:eastAsia="zh-CN"/>
              </w:rPr>
              <w:t>登记</w:t>
            </w:r>
          </w:p>
        </w:tc>
        <w:tc>
          <w:tcPr>
            <w:tcW w:w="6636"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1、录入单位人员患者</w:t>
            </w:r>
            <w:r>
              <w:rPr>
                <w:rFonts w:hint="eastAsia" w:ascii="宋体" w:hAnsi="宋体" w:eastAsia="宋体" w:cs="宋体"/>
                <w:sz w:val="24"/>
                <w:szCs w:val="24"/>
                <w:highlight w:val="none"/>
              </w:rPr>
              <w:t>拒检</w:t>
            </w:r>
            <w:r>
              <w:rPr>
                <w:rFonts w:hint="eastAsia" w:ascii="宋体" w:hAnsi="宋体" w:eastAsia="宋体" w:cs="宋体"/>
                <w:sz w:val="24"/>
                <w:szCs w:val="24"/>
                <w:highlight w:val="none"/>
                <w:lang w:val="en-US" w:eastAsia="zh-CN"/>
              </w:rPr>
              <w:t>项目，保留</w:t>
            </w:r>
            <w:r>
              <w:rPr>
                <w:rFonts w:hint="eastAsia" w:ascii="宋体" w:hAnsi="宋体" w:eastAsia="宋体" w:cs="宋体"/>
                <w:sz w:val="24"/>
                <w:szCs w:val="24"/>
                <w:highlight w:val="none"/>
              </w:rPr>
              <w:t>拒检</w:t>
            </w:r>
            <w:r>
              <w:rPr>
                <w:rFonts w:hint="eastAsia" w:ascii="宋体" w:hAnsi="宋体" w:eastAsia="宋体" w:cs="宋体"/>
                <w:sz w:val="24"/>
                <w:szCs w:val="24"/>
                <w:highlight w:val="none"/>
                <w:lang w:val="en-US" w:eastAsia="zh-CN"/>
              </w:rPr>
              <w:t>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医生诊台</w:t>
            </w:r>
          </w:p>
        </w:tc>
        <w:tc>
          <w:tcPr>
            <w:tcW w:w="6636" w:type="dxa"/>
            <w:noWrap w:val="0"/>
            <w:vAlign w:val="center"/>
          </w:tcPr>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支持科室检查结果录入，体检小结录入。</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可录入选择诊断信息、根据体检科室分类查看选择。</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可查看历次检查结果，供本次体检做参考。</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支持手工导入PACS结果。</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可查看PACS仿真报告，支持打印。</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保存后的结果支持结果修改和结果删除。</w:t>
            </w:r>
          </w:p>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支持结果之间历年对比功能。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检验项目管理</w:t>
            </w:r>
          </w:p>
        </w:tc>
        <w:tc>
          <w:tcPr>
            <w:tcW w:w="6636" w:type="dxa"/>
            <w:noWrap w:val="0"/>
            <w:vAlign w:val="center"/>
          </w:tcPr>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检验项目结果支持手动录入。</w:t>
            </w:r>
          </w:p>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根据结果自动生成检验异常记录。</w:t>
            </w:r>
          </w:p>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保存后的结果支持结果修改和结果删除。</w:t>
            </w:r>
          </w:p>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支持结果之间历年对比功能。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总检管理</w:t>
            </w:r>
          </w:p>
        </w:tc>
        <w:tc>
          <w:tcPr>
            <w:tcW w:w="663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1、各个科室检查完毕后，总检时可根据科室医生检查结论自动生成体检综述。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2、综述内容按体检项目自动排序，防治建议顺序对应综述时顺序。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3、支持体检综述、防治建议手动修改调整。</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4、手动修改建议时可调取建议模板。</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5、未检项目增加提醒</w:t>
            </w:r>
            <w:r>
              <w:rPr>
                <w:rFonts w:hint="eastAsia" w:ascii="宋体" w:hAnsi="宋体" w:eastAsia="宋体" w:cs="宋体"/>
                <w:sz w:val="24"/>
                <w:szCs w:val="24"/>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5、可录入科普说明</w:t>
            </w:r>
            <w:r>
              <w:rPr>
                <w:rFonts w:hint="eastAsia" w:ascii="宋体" w:hAnsi="宋体" w:eastAsia="宋体" w:cs="宋体"/>
                <w:sz w:val="24"/>
                <w:szCs w:val="24"/>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7、支持诊断修改，删除、增加诊断。增加诊断时可根据科室分类选择。</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8、支持总检界面快速查看影响报告、明细结果。</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9、支持总检界面查看历次综述信息。</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10、根据导入的PACS诊断结论，自动生成体检结论词。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11、支持总检界面快速查看体检报告。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报告管理</w:t>
            </w:r>
          </w:p>
        </w:tc>
        <w:tc>
          <w:tcPr>
            <w:tcW w:w="6636" w:type="dxa"/>
            <w:noWrap w:val="0"/>
            <w:vAlign w:val="center"/>
          </w:tcPr>
          <w:p>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支持多条件查询（姓名、体检编号、性别、年龄），快速查询打印体检报告。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报告设置：系统支持体检报告多条件查询管理批量快速打印。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2、报告打印支持预览体检报告，可查看仿真报告后在打印。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3、体检报告支持选择多个批量打印。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4、体检发放管理，保留领取人、发放人、发放日期记录。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5、报告模板可个性化调整设计，如导检单、健康体检报告及条码。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6、体检报告支持PDF生成，供电子报告调阅。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体检报表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管理</w:t>
            </w:r>
          </w:p>
        </w:tc>
        <w:tc>
          <w:tcPr>
            <w:tcW w:w="6636" w:type="dxa"/>
            <w:noWrap w:val="0"/>
            <w:vAlign w:val="center"/>
          </w:tcPr>
          <w:p>
            <w:pPr>
              <w:keepNext w:val="0"/>
              <w:keepLines w:val="0"/>
              <w:pageBreakBefore w:val="0"/>
              <w:numPr>
                <w:ilvl w:val="0"/>
                <w:numId w:val="1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阳性结果汇总表、阳性结果人员清单。体检异常结果汇总、明细统计分析。</w:t>
            </w:r>
          </w:p>
          <w:p>
            <w:pPr>
              <w:keepNext w:val="0"/>
              <w:keepLines w:val="0"/>
              <w:pageBreakBefore w:val="0"/>
              <w:numPr>
                <w:ilvl w:val="0"/>
                <w:numId w:val="1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体检人数统计:按时间统计体检总人数、各年龄段人数、男女人数、比例等。</w:t>
            </w:r>
          </w:p>
          <w:p>
            <w:pPr>
              <w:keepNext w:val="0"/>
              <w:keepLines w:val="0"/>
              <w:pageBreakBefore w:val="0"/>
              <w:numPr>
                <w:ilvl w:val="0"/>
                <w:numId w:val="1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体检正常清单、项目超标统计。统计体检人员清单、按项目查询超标人数。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回收指引</w:t>
            </w:r>
          </w:p>
        </w:tc>
        <w:tc>
          <w:tcPr>
            <w:tcW w:w="6636" w:type="dxa"/>
            <w:noWrap w:val="0"/>
            <w:vAlign w:val="center"/>
          </w:tcPr>
          <w:p>
            <w:pPr>
              <w:keepNext w:val="0"/>
              <w:keepLines w:val="0"/>
              <w:pageBreakBefore w:val="0"/>
              <w:numPr>
                <w:ilvl w:val="0"/>
                <w:numId w:val="12"/>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回收时保留回收人、回收日期</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查询统计</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tc>
        <w:tc>
          <w:tcPr>
            <w:tcW w:w="6636" w:type="dxa"/>
            <w:noWrap w:val="0"/>
            <w:vAlign w:val="center"/>
          </w:tcPr>
          <w:p>
            <w:pPr>
              <w:keepNext w:val="0"/>
              <w:keepLines w:val="0"/>
              <w:pageBreakBefore w:val="0"/>
              <w:numPr>
                <w:ilvl w:val="0"/>
                <w:numId w:val="13"/>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多方式统计工作量：登记人员、操作人员、诊断医师、总检医师。</w:t>
            </w:r>
          </w:p>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lang w:val="en-US"/>
              </w:rPr>
            </w:pPr>
            <w:r>
              <w:rPr>
                <w:rFonts w:hint="eastAsia" w:ascii="宋体" w:hAnsi="宋体" w:eastAsia="宋体" w:cs="宋体"/>
                <w:b w:val="0"/>
                <w:bCs w:val="0"/>
                <w:sz w:val="24"/>
                <w:szCs w:val="24"/>
                <w:highlight w:val="none"/>
                <w:lang w:val="en-US" w:eastAsia="zh-CN"/>
              </w:rPr>
              <w:t>2、按项目、套餐统计体检金额，人数。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字典维护</w:t>
            </w:r>
          </w:p>
        </w:tc>
        <w:tc>
          <w:tcPr>
            <w:tcW w:w="6636" w:type="dxa"/>
            <w:noWrap w:val="0"/>
            <w:vAlign w:val="center"/>
          </w:tcPr>
          <w:p>
            <w:pPr>
              <w:keepNext w:val="0"/>
              <w:keepLines w:val="0"/>
              <w:pageBreakBefore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维护体检科室、体检类型，体检项目、组合项目、套餐维护。</w:t>
            </w:r>
          </w:p>
          <w:p>
            <w:pPr>
              <w:keepNext w:val="0"/>
              <w:keepLines w:val="0"/>
              <w:pageBreakBefore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维护体检人员、分配体检人员操作权限</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系统日志</w:t>
            </w:r>
          </w:p>
        </w:tc>
        <w:tc>
          <w:tcPr>
            <w:tcW w:w="663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1、保留操作痕迹，查看系统操作日志。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检验LIS</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接口</w:t>
            </w:r>
          </w:p>
        </w:tc>
        <w:tc>
          <w:tcPr>
            <w:tcW w:w="6636"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1、支持与</w:t>
            </w:r>
            <w:r>
              <w:rPr>
                <w:rFonts w:hint="eastAsia" w:ascii="宋体" w:hAnsi="宋体" w:eastAsia="宋体" w:cs="宋体"/>
                <w:sz w:val="24"/>
                <w:szCs w:val="24"/>
                <w:highlight w:val="none"/>
              </w:rPr>
              <w:t>检验LIS</w:t>
            </w:r>
            <w:r>
              <w:rPr>
                <w:rFonts w:hint="eastAsia" w:ascii="宋体" w:hAnsi="宋体" w:eastAsia="宋体" w:cs="宋体"/>
                <w:sz w:val="24"/>
                <w:szCs w:val="24"/>
                <w:highlight w:val="none"/>
                <w:lang w:val="en-US" w:eastAsia="zh-CN"/>
              </w:rPr>
              <w:t>系统对接，上传检验条码信息。LIS系统扫码获取体检</w:t>
            </w:r>
            <w:r>
              <w:rPr>
                <w:rFonts w:hint="eastAsia" w:ascii="宋体" w:hAnsi="宋体" w:eastAsia="宋体" w:cs="宋体"/>
                <w:b w:val="0"/>
                <w:bCs w:val="0"/>
                <w:sz w:val="24"/>
                <w:szCs w:val="24"/>
                <w:highlight w:val="none"/>
                <w:lang w:val="en-US" w:eastAsia="zh-CN"/>
              </w:rPr>
              <w:t>检验项目。</w:t>
            </w:r>
          </w:p>
          <w:p>
            <w:pPr>
              <w:pStyle w:val="2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2、支持体检项目与LIS项目对照。</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3、支持LIS结果导入体检系统。</w:t>
            </w:r>
          </w:p>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4、支持LIS异常结果自动生成体检小结</w:t>
            </w:r>
            <w:r>
              <w:rPr>
                <w:rFonts w:hint="eastAsia" w:ascii="宋体" w:hAnsi="宋体" w:eastAsia="宋体" w:cs="宋体"/>
                <w:b w:val="0"/>
                <w:bCs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0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影像PACS</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接口</w:t>
            </w:r>
          </w:p>
        </w:tc>
        <w:tc>
          <w:tcPr>
            <w:tcW w:w="6636" w:type="dxa"/>
            <w:noWrap w:val="0"/>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1、支持与</w:t>
            </w:r>
            <w:r>
              <w:rPr>
                <w:rFonts w:hint="eastAsia" w:ascii="宋体" w:hAnsi="宋体" w:eastAsia="宋体" w:cs="宋体"/>
                <w:sz w:val="24"/>
                <w:szCs w:val="24"/>
                <w:highlight w:val="none"/>
              </w:rPr>
              <w:t>PACS</w:t>
            </w:r>
            <w:r>
              <w:rPr>
                <w:rFonts w:hint="eastAsia" w:ascii="宋体" w:hAnsi="宋体" w:eastAsia="宋体" w:cs="宋体"/>
                <w:sz w:val="24"/>
                <w:szCs w:val="24"/>
                <w:highlight w:val="none"/>
                <w:lang w:val="en-US" w:eastAsia="zh-CN"/>
              </w:rPr>
              <w:t>系统对接，</w:t>
            </w:r>
            <w:r>
              <w:rPr>
                <w:rFonts w:hint="eastAsia" w:ascii="宋体" w:hAnsi="宋体" w:eastAsia="宋体" w:cs="宋体"/>
                <w:sz w:val="24"/>
                <w:szCs w:val="24"/>
                <w:highlight w:val="none"/>
              </w:rPr>
              <w:t>PACS</w:t>
            </w:r>
            <w:r>
              <w:rPr>
                <w:rFonts w:hint="eastAsia" w:ascii="宋体" w:hAnsi="宋体" w:eastAsia="宋体" w:cs="宋体"/>
                <w:sz w:val="24"/>
                <w:szCs w:val="24"/>
                <w:highlight w:val="none"/>
                <w:lang w:val="en-US" w:eastAsia="zh-CN"/>
              </w:rPr>
              <w:t>系统根据体检编号获取体检检查项目</w:t>
            </w:r>
            <w:r>
              <w:rPr>
                <w:rFonts w:hint="eastAsia" w:ascii="宋体" w:hAnsi="宋体" w:eastAsia="宋体" w:cs="宋体"/>
                <w:b w:val="0"/>
                <w:bCs w:val="0"/>
                <w:sz w:val="24"/>
                <w:szCs w:val="24"/>
                <w:highlight w:val="none"/>
                <w:lang w:val="en-US" w:eastAsia="zh-CN"/>
              </w:rPr>
              <w:t>。2、支持体检项目与PACS项目对照。</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2、支持PACS结果导入体检系统。</w:t>
            </w:r>
          </w:p>
        </w:tc>
      </w:tr>
    </w:tbl>
    <w:p>
      <w:pPr>
        <w:pageBreakBefore w:val="0"/>
        <w:kinsoku/>
        <w:wordWrap/>
        <w:topLinePunct w:val="0"/>
        <w:bidi w:val="0"/>
        <w:spacing w:line="240" w:lineRule="auto"/>
        <w:ind w:left="0" w:leftChars="0" w:firstLine="0" w:firstLineChars="0"/>
        <w:rPr>
          <w:rFonts w:hint="eastAsia" w:ascii="宋体" w:hAnsi="宋体" w:eastAsia="宋体" w:cs="宋体"/>
          <w:sz w:val="24"/>
          <w:szCs w:val="24"/>
          <w:highlight w:val="none"/>
        </w:rPr>
      </w:pPr>
    </w:p>
    <w:p>
      <w:pPr>
        <w:pStyle w:val="3"/>
        <w:pageBreakBefore w:val="0"/>
        <w:kinsoku/>
        <w:wordWrap/>
        <w:topLinePunct w:val="0"/>
        <w:bidi w:val="0"/>
        <w:spacing w:before="0" w:line="240" w:lineRule="auto"/>
        <w:rPr>
          <w:rFonts w:hint="eastAsia" w:ascii="宋体" w:hAnsi="宋体" w:eastAsia="宋体" w:cs="宋体"/>
          <w:sz w:val="24"/>
          <w:szCs w:val="24"/>
          <w:highlight w:val="none"/>
          <w:lang w:eastAsia="zh-CN"/>
        </w:rPr>
      </w:pPr>
      <w:bookmarkStart w:id="329" w:name="_Toc16183"/>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eastAsia="zh-CN"/>
        </w:rPr>
        <w:t>超融合服务器</w:t>
      </w:r>
      <w:bookmarkEnd w:id="329"/>
    </w:p>
    <w:tbl>
      <w:tblPr>
        <w:tblStyle w:val="27"/>
        <w:tblW w:w="4862" w:type="pct"/>
        <w:jc w:val="center"/>
        <w:tblLayout w:type="autofit"/>
        <w:tblCellMar>
          <w:top w:w="0" w:type="dxa"/>
          <w:left w:w="108" w:type="dxa"/>
          <w:bottom w:w="0" w:type="dxa"/>
          <w:right w:w="108" w:type="dxa"/>
        </w:tblCellMar>
      </w:tblPr>
      <w:tblGrid>
        <w:gridCol w:w="1259"/>
        <w:gridCol w:w="7023"/>
      </w:tblGrid>
      <w:tr>
        <w:tblPrEx>
          <w:tblCellMar>
            <w:top w:w="0" w:type="dxa"/>
            <w:left w:w="108" w:type="dxa"/>
            <w:bottom w:w="0" w:type="dxa"/>
            <w:right w:w="108" w:type="dxa"/>
          </w:tblCellMar>
        </w:tblPrEx>
        <w:trPr>
          <w:trHeight w:val="249" w:hRule="atLeast"/>
          <w:jc w:val="center"/>
        </w:trPr>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4239" w:type="pct"/>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总体要求</w:t>
            </w:r>
          </w:p>
        </w:tc>
        <w:tc>
          <w:tcPr>
            <w:tcW w:w="4239" w:type="pct"/>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2U机架式服务器，标配原厂导轨。</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处理器</w:t>
            </w:r>
          </w:p>
        </w:tc>
        <w:tc>
          <w:tcPr>
            <w:tcW w:w="4239" w:type="pct"/>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配置≥2 颗Intel至强可扩展处理器， 每颗≥Silver 4316主频≥2.3GHz，核心≥20核，线程数量≥40线程，缓存≥30MB)处理器</w:t>
            </w:r>
          </w:p>
        </w:tc>
      </w:tr>
      <w:tr>
        <w:tblPrEx>
          <w:tblCellMar>
            <w:top w:w="0" w:type="dxa"/>
            <w:left w:w="108" w:type="dxa"/>
            <w:bottom w:w="0" w:type="dxa"/>
            <w:right w:w="108" w:type="dxa"/>
          </w:tblCellMar>
        </w:tblPrEx>
        <w:trPr>
          <w:trHeight w:val="912"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4239" w:type="pct"/>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cs="宋体"/>
                <w:sz w:val="24"/>
                <w:highlight w:val="none"/>
              </w:rPr>
              <w:t>配置≥512GB DDR4 2933MHZ内存，32根DDR4内存，可支持内存容量12TB。</w:t>
            </w:r>
          </w:p>
        </w:tc>
      </w:tr>
      <w:tr>
        <w:tblPrEx>
          <w:tblCellMar>
            <w:top w:w="0" w:type="dxa"/>
            <w:left w:w="108" w:type="dxa"/>
            <w:bottom w:w="0" w:type="dxa"/>
            <w:right w:w="108" w:type="dxa"/>
          </w:tblCellMar>
        </w:tblPrEx>
        <w:trPr>
          <w:trHeight w:val="329" w:hRule="atLeast"/>
          <w:jc w:val="center"/>
        </w:trPr>
        <w:tc>
          <w:tcPr>
            <w:tcW w:w="76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w:t>
            </w:r>
          </w:p>
        </w:tc>
        <w:tc>
          <w:tcPr>
            <w:tcW w:w="7023"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配置系统盘：≥2*480GB SSD，缓存盘：≥2*1.92T NVME SSD，数据盘：≥3*8T SATA机械硬盘</w:t>
            </w:r>
          </w:p>
        </w:tc>
      </w:tr>
      <w:tr>
        <w:tblPrEx>
          <w:tblCellMar>
            <w:top w:w="0" w:type="dxa"/>
            <w:left w:w="108" w:type="dxa"/>
            <w:bottom w:w="0" w:type="dxa"/>
            <w:right w:w="108" w:type="dxa"/>
          </w:tblCellMar>
        </w:tblPrEx>
        <w:trPr>
          <w:trHeight w:val="249" w:hRule="atLeast"/>
          <w:jc w:val="center"/>
        </w:trPr>
        <w:tc>
          <w:tcPr>
            <w:tcW w:w="760"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cs="宋体"/>
                <w:sz w:val="24"/>
                <w:highlight w:val="none"/>
              </w:rPr>
              <w:t xml:space="preserve">配置≥8个热插拔硬盘槽位，最大可扩展≥41个硬盘位； </w:t>
            </w:r>
          </w:p>
        </w:tc>
      </w:tr>
      <w:tr>
        <w:tblPrEx>
          <w:tblCellMar>
            <w:top w:w="0" w:type="dxa"/>
            <w:left w:w="108" w:type="dxa"/>
            <w:bottom w:w="0" w:type="dxa"/>
            <w:right w:w="108" w:type="dxa"/>
          </w:tblCellMar>
        </w:tblPrEx>
        <w:trPr>
          <w:trHeight w:val="249" w:hRule="atLeast"/>
          <w:jc w:val="center"/>
        </w:trPr>
        <w:tc>
          <w:tcPr>
            <w:tcW w:w="760" w:type="pct"/>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阵列卡</w:t>
            </w:r>
          </w:p>
        </w:tc>
        <w:tc>
          <w:tcPr>
            <w:tcW w:w="4239" w:type="pct"/>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rPr>
              <w:t>SAS阵列卡，≥2GB缓存，带电池掉电保护</w:t>
            </w:r>
          </w:p>
        </w:tc>
      </w:tr>
      <w:tr>
        <w:tblPrEx>
          <w:tblCellMar>
            <w:top w:w="0" w:type="dxa"/>
            <w:left w:w="108" w:type="dxa"/>
            <w:bottom w:w="0" w:type="dxa"/>
            <w:right w:w="108" w:type="dxa"/>
          </w:tblCellMar>
        </w:tblPrEx>
        <w:trPr>
          <w:trHeight w:val="249" w:hRule="atLeast"/>
          <w:jc w:val="center"/>
        </w:trPr>
        <w:tc>
          <w:tcPr>
            <w:tcW w:w="7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扩展插槽</w:t>
            </w:r>
          </w:p>
        </w:tc>
        <w:tc>
          <w:tcPr>
            <w:tcW w:w="42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支持提供≥1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个PCIE4.0插槽</w:t>
            </w:r>
          </w:p>
        </w:tc>
      </w:tr>
      <w:tr>
        <w:tblPrEx>
          <w:tblCellMar>
            <w:top w:w="0" w:type="dxa"/>
            <w:left w:w="108" w:type="dxa"/>
            <w:bottom w:w="0" w:type="dxa"/>
            <w:right w:w="108" w:type="dxa"/>
          </w:tblCellMar>
        </w:tblPrEx>
        <w:trPr>
          <w:trHeight w:val="249" w:hRule="atLeast"/>
          <w:jc w:val="center"/>
        </w:trPr>
        <w:tc>
          <w:tcPr>
            <w:tcW w:w="7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GPU</w:t>
            </w:r>
          </w:p>
        </w:tc>
        <w:tc>
          <w:tcPr>
            <w:tcW w:w="7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rPr>
              <w:t>支持≥3个双宽GPU，或≥10个单宽GPU卡。</w:t>
            </w:r>
          </w:p>
        </w:tc>
      </w:tr>
      <w:tr>
        <w:tblPrEx>
          <w:tblCellMar>
            <w:top w:w="0" w:type="dxa"/>
            <w:left w:w="108" w:type="dxa"/>
            <w:bottom w:w="0" w:type="dxa"/>
            <w:right w:w="108" w:type="dxa"/>
          </w:tblCellMar>
        </w:tblPrEx>
        <w:trPr>
          <w:trHeight w:val="249" w:hRule="atLeast"/>
          <w:jc w:val="center"/>
        </w:trPr>
        <w:tc>
          <w:tcPr>
            <w:tcW w:w="7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配置≥4个千兆电口，≥4个万兆光口，≥4个万兆光模块</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提供≥6个USB接口，≥2个VGA接口</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电源和风扇</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配置≥800W热插拔电源, ≥2块，实现电源冗余；实现内部风扇冗余</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 xml:space="preserve">支持最高5-45°C标准工作温度，支持3D图形化的机箱内部温度拓扑图显示 </w:t>
            </w:r>
          </w:p>
        </w:tc>
      </w:tr>
      <w:tr>
        <w:tblPrEx>
          <w:tblCellMar>
            <w:top w:w="0" w:type="dxa"/>
            <w:left w:w="108" w:type="dxa"/>
            <w:bottom w:w="0" w:type="dxa"/>
            <w:right w:w="108" w:type="dxa"/>
          </w:tblCellMar>
        </w:tblPrEx>
        <w:trPr>
          <w:trHeight w:val="355" w:hRule="atLeast"/>
          <w:jc w:val="center"/>
        </w:trPr>
        <w:tc>
          <w:tcPr>
            <w:tcW w:w="760" w:type="pc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可管理性</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r>
      <w:tr>
        <w:tblPrEx>
          <w:tblCellMar>
            <w:top w:w="0" w:type="dxa"/>
            <w:left w:w="108" w:type="dxa"/>
            <w:bottom w:w="0" w:type="dxa"/>
            <w:right w:w="108" w:type="dxa"/>
          </w:tblCellMar>
        </w:tblPrEx>
        <w:trPr>
          <w:trHeight w:val="20" w:hRule="atLeast"/>
          <w:jc w:val="center"/>
        </w:trPr>
        <w:tc>
          <w:tcPr>
            <w:tcW w:w="7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702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sz w:val="24"/>
                <w:highlight w:val="none"/>
              </w:rPr>
              <w:t xml:space="preserve">提供≥3年原厂服务 </w:t>
            </w:r>
          </w:p>
        </w:tc>
      </w:tr>
    </w:tbl>
    <w:p>
      <w:pPr>
        <w:pStyle w:val="3"/>
        <w:pageBreakBefore w:val="0"/>
        <w:kinsoku/>
        <w:wordWrap/>
        <w:topLinePunct w:val="0"/>
        <w:bidi w:val="0"/>
        <w:spacing w:before="0" w:line="240" w:lineRule="auto"/>
        <w:rPr>
          <w:rFonts w:hint="eastAsia" w:ascii="宋体" w:hAnsi="宋体" w:eastAsia="宋体" w:cs="宋体"/>
          <w:color w:val="auto"/>
          <w:sz w:val="24"/>
          <w:szCs w:val="24"/>
          <w:highlight w:val="none"/>
        </w:rPr>
      </w:pPr>
      <w:bookmarkStart w:id="330" w:name="_Toc2560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“万兆以太网交换机”</w:t>
      </w:r>
      <w:bookmarkEnd w:id="330"/>
    </w:p>
    <w:tbl>
      <w:tblPr>
        <w:tblStyle w:val="27"/>
        <w:tblW w:w="8168" w:type="dxa"/>
        <w:jc w:val="center"/>
        <w:tblLayout w:type="fixed"/>
        <w:tblCellMar>
          <w:top w:w="0" w:type="dxa"/>
          <w:left w:w="108" w:type="dxa"/>
          <w:bottom w:w="0" w:type="dxa"/>
          <w:right w:w="108" w:type="dxa"/>
        </w:tblCellMar>
      </w:tblPr>
      <w:tblGrid>
        <w:gridCol w:w="1202"/>
        <w:gridCol w:w="6966"/>
      </w:tblGrid>
      <w:tr>
        <w:tblPrEx>
          <w:tblCellMar>
            <w:top w:w="0" w:type="dxa"/>
            <w:left w:w="108" w:type="dxa"/>
            <w:bottom w:w="0" w:type="dxa"/>
            <w:right w:w="108" w:type="dxa"/>
          </w:tblCellMar>
        </w:tblPrEx>
        <w:trPr>
          <w:trHeight w:val="255" w:hRule="atLeast"/>
          <w:jc w:val="center"/>
        </w:trPr>
        <w:tc>
          <w:tcPr>
            <w:tcW w:w="120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6966" w:type="dxa"/>
            <w:tcBorders>
              <w:top w:val="single" w:color="auto" w:sz="4" w:space="0"/>
              <w:left w:val="nil"/>
              <w:bottom w:val="single" w:color="auto" w:sz="4" w:space="0"/>
              <w:right w:val="single" w:color="auto" w:sz="4" w:space="0"/>
            </w:tcBorders>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CellMar>
            <w:top w:w="0" w:type="dxa"/>
            <w:left w:w="108" w:type="dxa"/>
            <w:bottom w:w="0" w:type="dxa"/>
            <w:right w:w="108" w:type="dxa"/>
          </w:tblCellMar>
        </w:tblPrEx>
        <w:trPr>
          <w:trHeight w:val="255"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交换容量</w:t>
            </w:r>
          </w:p>
        </w:tc>
        <w:tc>
          <w:tcPr>
            <w:tcW w:w="6966"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≥2.56Tbps/23.04Tbps</w:t>
            </w:r>
          </w:p>
        </w:tc>
      </w:tr>
      <w:tr>
        <w:tblPrEx>
          <w:tblCellMar>
            <w:top w:w="0" w:type="dxa"/>
            <w:left w:w="108" w:type="dxa"/>
            <w:bottom w:w="0" w:type="dxa"/>
            <w:right w:w="108" w:type="dxa"/>
          </w:tblCellMar>
        </w:tblPrEx>
        <w:trPr>
          <w:trHeight w:val="255"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转发性能</w:t>
            </w:r>
          </w:p>
        </w:tc>
        <w:tc>
          <w:tcPr>
            <w:tcW w:w="6966"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0Mpps</w:t>
            </w:r>
          </w:p>
        </w:tc>
      </w:tr>
      <w:tr>
        <w:tblPrEx>
          <w:tblCellMar>
            <w:top w:w="0" w:type="dxa"/>
            <w:left w:w="108" w:type="dxa"/>
            <w:bottom w:w="0" w:type="dxa"/>
            <w:right w:w="108" w:type="dxa"/>
          </w:tblCellMar>
        </w:tblPrEx>
        <w:trPr>
          <w:trHeight w:val="255"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端口形态：≥24个1/10G SFP Plus端口，≥2个QSFP Plus端口</w:t>
            </w:r>
          </w:p>
        </w:tc>
      </w:tr>
      <w:tr>
        <w:tblPrEx>
          <w:tblCellMar>
            <w:top w:w="0" w:type="dxa"/>
            <w:left w:w="108" w:type="dxa"/>
            <w:bottom w:w="0" w:type="dxa"/>
            <w:right w:w="108" w:type="dxa"/>
          </w:tblCellMar>
        </w:tblPrEx>
        <w:trPr>
          <w:trHeight w:val="255"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双电源、10个万兆多模模块，配置级联线缆</w:t>
            </w:r>
          </w:p>
        </w:tc>
      </w:tr>
      <w:tr>
        <w:tblPrEx>
          <w:tblCellMar>
            <w:top w:w="0" w:type="dxa"/>
            <w:left w:w="108" w:type="dxa"/>
            <w:bottom w:w="0" w:type="dxa"/>
            <w:right w:w="108" w:type="dxa"/>
          </w:tblCellMar>
        </w:tblPrEx>
        <w:trPr>
          <w:trHeight w:val="255" w:hRule="atLeast"/>
          <w:jc w:val="center"/>
        </w:trPr>
        <w:tc>
          <w:tcPr>
            <w:tcW w:w="120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支持IRF2智能弹性架构</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支持分布式设备管理，分布式链路聚合，分布式弹性路由</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支持通过标准以太网接口进行堆叠</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支持本地堆叠和远程堆叠</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支持基于LACP、BFD、ARP的MAD堆叠分裂检测机制</w:t>
            </w:r>
          </w:p>
        </w:tc>
      </w:tr>
      <w:tr>
        <w:tblPrEx>
          <w:tblCellMar>
            <w:top w:w="0" w:type="dxa"/>
            <w:left w:w="108" w:type="dxa"/>
            <w:bottom w:w="0" w:type="dxa"/>
            <w:right w:w="108" w:type="dxa"/>
          </w:tblCellMar>
        </w:tblPrEx>
        <w:trPr>
          <w:trHeight w:val="255"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VLAN特性</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支持VxLAN二/三层网关，支持EVPN</w:t>
            </w:r>
          </w:p>
        </w:tc>
      </w:tr>
      <w:tr>
        <w:tblPrEx>
          <w:tblCellMar>
            <w:top w:w="0" w:type="dxa"/>
            <w:left w:w="108" w:type="dxa"/>
            <w:bottom w:w="0" w:type="dxa"/>
            <w:right w:w="108" w:type="dxa"/>
          </w:tblCellMar>
        </w:tblPrEx>
        <w:trPr>
          <w:trHeight w:val="255" w:hRule="atLeast"/>
          <w:jc w:val="center"/>
        </w:trPr>
        <w:tc>
          <w:tcPr>
            <w:tcW w:w="120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链路聚合</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支持10GE端口聚合</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支持静态聚合、动态聚合</w:t>
            </w:r>
          </w:p>
        </w:tc>
      </w:tr>
      <w:tr>
        <w:tblPrEx>
          <w:tblCellMar>
            <w:top w:w="0" w:type="dxa"/>
            <w:left w:w="108" w:type="dxa"/>
            <w:bottom w:w="0" w:type="dxa"/>
            <w:right w:w="108" w:type="dxa"/>
          </w:tblCellMar>
        </w:tblPrEx>
        <w:trPr>
          <w:trHeight w:val="255" w:hRule="atLeast"/>
          <w:jc w:val="center"/>
        </w:trPr>
        <w:tc>
          <w:tcPr>
            <w:tcW w:w="120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镜像功能</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支持流镜像</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支持N:4端口镜像</w:t>
            </w:r>
          </w:p>
        </w:tc>
      </w:tr>
      <w:tr>
        <w:tblPrEx>
          <w:tblCellMar>
            <w:top w:w="0" w:type="dxa"/>
            <w:left w:w="108" w:type="dxa"/>
            <w:bottom w:w="0" w:type="dxa"/>
            <w:right w:w="108" w:type="dxa"/>
          </w:tblCellMar>
        </w:tblPrEx>
        <w:trPr>
          <w:trHeight w:val="255" w:hRule="atLeast"/>
          <w:jc w:val="center"/>
        </w:trPr>
        <w:tc>
          <w:tcPr>
            <w:tcW w:w="12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支持本地和远程端口镜像</w:t>
            </w:r>
          </w:p>
        </w:tc>
      </w:tr>
      <w:tr>
        <w:tblPrEx>
          <w:tblCellMar>
            <w:top w:w="0" w:type="dxa"/>
            <w:left w:w="108" w:type="dxa"/>
            <w:bottom w:w="0" w:type="dxa"/>
            <w:right w:w="108" w:type="dxa"/>
          </w:tblCellMar>
        </w:tblPrEx>
        <w:trPr>
          <w:trHeight w:val="90" w:hRule="atLeast"/>
          <w:jc w:val="center"/>
        </w:trPr>
        <w:tc>
          <w:tcPr>
            <w:tcW w:w="1202"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路由协议</w:t>
            </w:r>
          </w:p>
        </w:tc>
        <w:tc>
          <w:tcPr>
            <w:tcW w:w="696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持IPv4静态路由、RIP V1/V2、OSPF、BGP、ISIS；支持IPv6静态路由、RIPng、OSPFv3、BGP4+，支持IPv4和IPv6环境下的策略路由</w:t>
            </w:r>
          </w:p>
        </w:tc>
      </w:tr>
      <w:tr>
        <w:tblPrEx>
          <w:tblCellMar>
            <w:top w:w="0" w:type="dxa"/>
            <w:left w:w="108" w:type="dxa"/>
            <w:bottom w:w="0" w:type="dxa"/>
            <w:right w:w="108" w:type="dxa"/>
          </w:tblCellMar>
        </w:tblPrEx>
        <w:trPr>
          <w:trHeight w:val="255" w:hRule="atLeast"/>
          <w:jc w:val="center"/>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绿色节能</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符合IEEE 802.3az（EEE）节能标准</w:t>
            </w:r>
          </w:p>
        </w:tc>
      </w:tr>
      <w:tr>
        <w:tblPrEx>
          <w:tblCellMar>
            <w:top w:w="0" w:type="dxa"/>
            <w:left w:w="108" w:type="dxa"/>
            <w:bottom w:w="0" w:type="dxa"/>
            <w:right w:w="108" w:type="dxa"/>
          </w:tblCellMar>
        </w:tblPrEx>
        <w:trPr>
          <w:trHeight w:val="255"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端口定时down功能（Schedule job）</w:t>
            </w:r>
          </w:p>
        </w:tc>
      </w:tr>
      <w:tr>
        <w:tblPrEx>
          <w:tblCellMar>
            <w:top w:w="0" w:type="dxa"/>
            <w:left w:w="108" w:type="dxa"/>
            <w:bottom w:w="0" w:type="dxa"/>
            <w:right w:w="108" w:type="dxa"/>
          </w:tblCellMar>
        </w:tblPrEx>
        <w:trPr>
          <w:trHeight w:val="90"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支持端口休眠，关闭没有应用的端口，节省能源</w:t>
            </w:r>
          </w:p>
        </w:tc>
      </w:tr>
      <w:tr>
        <w:tblPrEx>
          <w:tblCellMar>
            <w:top w:w="0" w:type="dxa"/>
            <w:left w:w="108" w:type="dxa"/>
            <w:bottom w:w="0" w:type="dxa"/>
            <w:right w:w="108" w:type="dxa"/>
          </w:tblCellMar>
        </w:tblPrEx>
        <w:trPr>
          <w:trHeight w:val="90"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支持智能风扇调速</w:t>
            </w:r>
          </w:p>
        </w:tc>
      </w:tr>
    </w:tbl>
    <w:p>
      <w:pPr>
        <w:pageBreakBefore w:val="0"/>
        <w:kinsoku/>
        <w:wordWrap/>
        <w:topLinePunct w:val="0"/>
        <w:bidi w:val="0"/>
        <w:spacing w:line="240" w:lineRule="auto"/>
        <w:jc w:val="left"/>
        <w:rPr>
          <w:rFonts w:hint="eastAsia" w:ascii="宋体" w:hAnsi="宋体" w:eastAsia="宋体" w:cs="宋体"/>
          <w:b/>
          <w:sz w:val="24"/>
          <w:szCs w:val="24"/>
          <w:highlight w:val="none"/>
        </w:rPr>
      </w:pPr>
    </w:p>
    <w:p>
      <w:pPr>
        <w:pStyle w:val="3"/>
        <w:pageBreakBefore w:val="0"/>
        <w:kinsoku/>
        <w:wordWrap/>
        <w:topLinePunct w:val="0"/>
        <w:bidi w:val="0"/>
        <w:spacing w:before="0" w:line="240" w:lineRule="auto"/>
        <w:rPr>
          <w:rFonts w:hint="eastAsia" w:ascii="宋体" w:hAnsi="宋体" w:eastAsia="宋体" w:cs="宋体"/>
          <w:b w:val="0"/>
          <w:color w:val="auto"/>
          <w:sz w:val="24"/>
          <w:szCs w:val="24"/>
          <w:highlight w:val="none"/>
        </w:rPr>
      </w:pPr>
      <w:bookmarkStart w:id="331" w:name="_Toc3237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“千兆以太网交换机”</w:t>
      </w:r>
      <w:bookmarkEnd w:id="331"/>
    </w:p>
    <w:tbl>
      <w:tblPr>
        <w:tblStyle w:val="27"/>
        <w:tblW w:w="8108" w:type="dxa"/>
        <w:jc w:val="center"/>
        <w:tblLayout w:type="fixed"/>
        <w:tblCellMar>
          <w:top w:w="0" w:type="dxa"/>
          <w:left w:w="108" w:type="dxa"/>
          <w:bottom w:w="0" w:type="dxa"/>
          <w:right w:w="108" w:type="dxa"/>
        </w:tblCellMar>
      </w:tblPr>
      <w:tblGrid>
        <w:gridCol w:w="1241"/>
        <w:gridCol w:w="6867"/>
      </w:tblGrid>
      <w:tr>
        <w:tblPrEx>
          <w:tblCellMar>
            <w:top w:w="0" w:type="dxa"/>
            <w:left w:w="108" w:type="dxa"/>
            <w:bottom w:w="0" w:type="dxa"/>
            <w:right w:w="108" w:type="dxa"/>
          </w:tblCellMar>
        </w:tblPrEx>
        <w:trPr>
          <w:trHeight w:val="255" w:hRule="atLeast"/>
          <w:jc w:val="center"/>
        </w:trPr>
        <w:tc>
          <w:tcPr>
            <w:tcW w:w="124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6867" w:type="dxa"/>
            <w:tcBorders>
              <w:top w:val="single" w:color="auto" w:sz="4" w:space="0"/>
              <w:left w:val="nil"/>
              <w:bottom w:val="single" w:color="auto" w:sz="4" w:space="0"/>
              <w:right w:val="single" w:color="auto" w:sz="4" w:space="0"/>
            </w:tcBorders>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CellMar>
            <w:top w:w="0" w:type="dxa"/>
            <w:left w:w="108" w:type="dxa"/>
            <w:bottom w:w="0" w:type="dxa"/>
            <w:right w:w="108" w:type="dxa"/>
          </w:tblCellMar>
        </w:tblPrEx>
        <w:trPr>
          <w:trHeight w:val="255" w:hRule="atLeast"/>
          <w:jc w:val="center"/>
        </w:trPr>
        <w:tc>
          <w:tcPr>
            <w:tcW w:w="12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端口类型</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≥24个10/100/1000M以太网电口</w:t>
            </w:r>
          </w:p>
        </w:tc>
      </w:tr>
      <w:tr>
        <w:tblPrEx>
          <w:tblCellMar>
            <w:top w:w="0" w:type="dxa"/>
            <w:left w:w="108" w:type="dxa"/>
            <w:bottom w:w="0" w:type="dxa"/>
            <w:right w:w="108" w:type="dxa"/>
          </w:tblCellMar>
        </w:tblPrEx>
        <w:trPr>
          <w:trHeight w:val="255" w:hRule="atLeast"/>
          <w:jc w:val="center"/>
        </w:trPr>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≥2个10G/1G SFP+光端口；≥4个100/1000 SFP光端口</w:t>
            </w:r>
          </w:p>
        </w:tc>
      </w:tr>
      <w:tr>
        <w:tblPrEx>
          <w:tblCellMar>
            <w:top w:w="0" w:type="dxa"/>
            <w:left w:w="108" w:type="dxa"/>
            <w:bottom w:w="0" w:type="dxa"/>
            <w:right w:w="108" w:type="dxa"/>
          </w:tblCellMar>
        </w:tblPrEx>
        <w:trPr>
          <w:trHeight w:val="255" w:hRule="atLeast"/>
          <w:jc w:val="center"/>
        </w:trPr>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配置2个万兆光模块</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交换容量</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≥336Gbps/3.36Tbps</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包转发速率</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Mpps</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VLAN</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支持基于端口的VLAN（4K）</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链路聚合</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支持LACP</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路由功能</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支持IPv4静态路由、RIP V1/V2、OSPF、IS-IS、BGP4；支持IPv6静态路由、RIPng、OSPF v3、IS-IS v6、BGP4+ </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组播</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支持组播</w:t>
            </w:r>
          </w:p>
        </w:tc>
      </w:tr>
      <w:tr>
        <w:tblPrEx>
          <w:tblCellMar>
            <w:top w:w="0" w:type="dxa"/>
            <w:left w:w="108" w:type="dxa"/>
            <w:bottom w:w="0" w:type="dxa"/>
            <w:right w:w="108" w:type="dxa"/>
          </w:tblCellMar>
        </w:tblPrEx>
        <w:trPr>
          <w:trHeight w:val="255" w:hRule="atLeast"/>
          <w:jc w:val="center"/>
        </w:trPr>
        <w:tc>
          <w:tcPr>
            <w:tcW w:w="1241"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端口镜像</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实配支持本地端口镜像和远程跨设备的端口镜像</w:t>
            </w:r>
          </w:p>
        </w:tc>
      </w:tr>
      <w:tr>
        <w:tblPrEx>
          <w:tblCellMar>
            <w:top w:w="0" w:type="dxa"/>
            <w:left w:w="108" w:type="dxa"/>
            <w:bottom w:w="0" w:type="dxa"/>
            <w:right w:w="108" w:type="dxa"/>
          </w:tblCellMar>
        </w:tblPrEx>
        <w:trPr>
          <w:trHeight w:val="255" w:hRule="atLeast"/>
          <w:jc w:val="center"/>
        </w:trPr>
        <w:tc>
          <w:tcPr>
            <w:tcW w:w="12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虚拟化</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支持完善的堆叠分裂检测机制，堆叠分裂后能自动完成MAC和IP地址的重配置，无需手动干预</w:t>
            </w:r>
          </w:p>
        </w:tc>
      </w:tr>
      <w:tr>
        <w:tblPrEx>
          <w:tblCellMar>
            <w:top w:w="0" w:type="dxa"/>
            <w:left w:w="108" w:type="dxa"/>
            <w:bottom w:w="0" w:type="dxa"/>
            <w:right w:w="108" w:type="dxa"/>
          </w:tblCellMar>
        </w:tblPrEx>
        <w:trPr>
          <w:trHeight w:val="255" w:hRule="atLeast"/>
          <w:jc w:val="center"/>
        </w:trPr>
        <w:tc>
          <w:tcPr>
            <w:tcW w:w="12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最大堆叠数≥9台</w:t>
            </w:r>
          </w:p>
        </w:tc>
      </w:tr>
      <w:tr>
        <w:tblPrEx>
          <w:tblCellMar>
            <w:top w:w="0" w:type="dxa"/>
            <w:left w:w="108" w:type="dxa"/>
            <w:bottom w:w="0" w:type="dxa"/>
            <w:right w:w="108" w:type="dxa"/>
          </w:tblCellMar>
        </w:tblPrEx>
        <w:trPr>
          <w:trHeight w:val="316" w:hRule="atLeast"/>
          <w:jc w:val="center"/>
        </w:trPr>
        <w:tc>
          <w:tcPr>
            <w:tcW w:w="12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可靠性</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支持RRPP（快速环网保护协议），环网故障恢复时间不超过50ms</w:t>
            </w:r>
          </w:p>
        </w:tc>
      </w:tr>
      <w:tr>
        <w:tblPrEx>
          <w:tblCellMar>
            <w:top w:w="0" w:type="dxa"/>
            <w:left w:w="108" w:type="dxa"/>
            <w:bottom w:w="0" w:type="dxa"/>
            <w:right w:w="108" w:type="dxa"/>
          </w:tblCellMar>
        </w:tblPrEx>
        <w:trPr>
          <w:trHeight w:val="255" w:hRule="atLeast"/>
          <w:jc w:val="center"/>
        </w:trPr>
        <w:tc>
          <w:tcPr>
            <w:tcW w:w="12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支持Smartlink，收敛时间≤50ms</w:t>
            </w:r>
          </w:p>
        </w:tc>
      </w:tr>
      <w:tr>
        <w:tblPrEx>
          <w:tblCellMar>
            <w:top w:w="0" w:type="dxa"/>
            <w:left w:w="108" w:type="dxa"/>
            <w:bottom w:w="0" w:type="dxa"/>
            <w:right w:w="108" w:type="dxa"/>
          </w:tblCellMar>
        </w:tblPrEx>
        <w:trPr>
          <w:trHeight w:val="255" w:hRule="atLeast"/>
          <w:jc w:val="center"/>
        </w:trPr>
        <w:tc>
          <w:tcPr>
            <w:tcW w:w="12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支持RSTP功能：收敛时间≤50ms</w:t>
            </w:r>
          </w:p>
        </w:tc>
      </w:tr>
      <w:tr>
        <w:tblPrEx>
          <w:tblCellMar>
            <w:top w:w="0" w:type="dxa"/>
            <w:left w:w="108" w:type="dxa"/>
            <w:bottom w:w="0" w:type="dxa"/>
            <w:right w:w="108" w:type="dxa"/>
          </w:tblCellMar>
        </w:tblPrEx>
        <w:trPr>
          <w:trHeight w:val="255" w:hRule="atLeast"/>
          <w:jc w:val="center"/>
        </w:trPr>
        <w:tc>
          <w:tcPr>
            <w:tcW w:w="12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支持MSTP功能：收敛时间≤50ms</w:t>
            </w:r>
          </w:p>
        </w:tc>
      </w:tr>
      <w:tr>
        <w:tblPrEx>
          <w:tblCellMar>
            <w:top w:w="0" w:type="dxa"/>
            <w:left w:w="108" w:type="dxa"/>
            <w:bottom w:w="0" w:type="dxa"/>
            <w:right w:w="108" w:type="dxa"/>
          </w:tblCellMar>
        </w:tblPrEx>
        <w:trPr>
          <w:trHeight w:val="255" w:hRule="atLeast"/>
          <w:jc w:val="center"/>
        </w:trPr>
        <w:tc>
          <w:tcPr>
            <w:tcW w:w="12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支持MAC认证</w:t>
            </w:r>
          </w:p>
        </w:tc>
      </w:tr>
      <w:tr>
        <w:tblPrEx>
          <w:tblCellMar>
            <w:top w:w="0" w:type="dxa"/>
            <w:left w:w="108" w:type="dxa"/>
            <w:bottom w:w="0" w:type="dxa"/>
            <w:right w:w="108" w:type="dxa"/>
          </w:tblCellMar>
        </w:tblPrEx>
        <w:trPr>
          <w:trHeight w:val="255" w:hRule="atLeast"/>
          <w:jc w:val="center"/>
        </w:trPr>
        <w:tc>
          <w:tcPr>
            <w:tcW w:w="12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支持IP+MAC+端口绑定</w:t>
            </w:r>
          </w:p>
        </w:tc>
      </w:tr>
      <w:tr>
        <w:tblPrEx>
          <w:tblCellMar>
            <w:top w:w="0" w:type="dxa"/>
            <w:left w:w="108" w:type="dxa"/>
            <w:bottom w:w="0" w:type="dxa"/>
            <w:right w:w="108" w:type="dxa"/>
          </w:tblCellMar>
        </w:tblPrEx>
        <w:trPr>
          <w:trHeight w:val="255" w:hRule="atLeast"/>
          <w:jc w:val="center"/>
        </w:trPr>
        <w:tc>
          <w:tcPr>
            <w:tcW w:w="1241" w:type="dxa"/>
            <w:vMerge w:val="restart"/>
            <w:tcBorders>
              <w:top w:val="nil"/>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绿色节能</w:t>
            </w: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符合IEEE 802.3az（EEE）节能标准</w:t>
            </w:r>
          </w:p>
        </w:tc>
      </w:tr>
      <w:tr>
        <w:tblPrEx>
          <w:tblCellMar>
            <w:top w:w="0" w:type="dxa"/>
            <w:left w:w="108" w:type="dxa"/>
            <w:bottom w:w="0" w:type="dxa"/>
            <w:right w:w="108" w:type="dxa"/>
          </w:tblCellMar>
        </w:tblPrEx>
        <w:trPr>
          <w:trHeight w:val="255" w:hRule="atLeast"/>
          <w:jc w:val="center"/>
        </w:trPr>
        <w:tc>
          <w:tcPr>
            <w:tcW w:w="124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端口定时down功能（Schedule job）</w:t>
            </w:r>
          </w:p>
        </w:tc>
      </w:tr>
      <w:tr>
        <w:tblPrEx>
          <w:tblCellMar>
            <w:top w:w="0" w:type="dxa"/>
            <w:left w:w="108" w:type="dxa"/>
            <w:bottom w:w="0" w:type="dxa"/>
            <w:right w:w="108" w:type="dxa"/>
          </w:tblCellMar>
        </w:tblPrEx>
        <w:trPr>
          <w:trHeight w:val="255" w:hRule="atLeast"/>
          <w:jc w:val="center"/>
        </w:trPr>
        <w:tc>
          <w:tcPr>
            <w:tcW w:w="124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67"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支持端口休眠，关闭没有应用的端口，节省能源 </w:t>
            </w:r>
          </w:p>
        </w:tc>
      </w:tr>
    </w:tbl>
    <w:p>
      <w:pPr>
        <w:pStyle w:val="3"/>
        <w:pageBreakBefore w:val="0"/>
        <w:kinsoku/>
        <w:wordWrap/>
        <w:topLinePunct w:val="0"/>
        <w:bidi w:val="0"/>
        <w:spacing w:before="0" w:line="240" w:lineRule="auto"/>
        <w:rPr>
          <w:rFonts w:hint="eastAsia" w:ascii="宋体" w:hAnsi="宋体" w:eastAsia="宋体" w:cs="宋体"/>
          <w:color w:val="auto"/>
          <w:sz w:val="24"/>
          <w:szCs w:val="24"/>
          <w:highlight w:val="none"/>
        </w:rPr>
      </w:pPr>
      <w:bookmarkStart w:id="332" w:name="_Toc1569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成品</w:t>
      </w:r>
      <w:r>
        <w:rPr>
          <w:rFonts w:hint="eastAsia" w:ascii="宋体" w:hAnsi="宋体" w:eastAsia="宋体" w:cs="宋体"/>
          <w:color w:val="auto"/>
          <w:sz w:val="24"/>
          <w:szCs w:val="24"/>
          <w:highlight w:val="none"/>
        </w:rPr>
        <w:t>网线</w:t>
      </w:r>
      <w:bookmarkEnd w:id="332"/>
    </w:p>
    <w:tbl>
      <w:tblPr>
        <w:tblStyle w:val="27"/>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67" w:type="dxa"/>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897" w:type="dxa"/>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89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≥千兆高速超五类非屏蔽8芯双绞线线缆，需是成品网线，长度可以根据医院具体实施情况调整</w:t>
            </w:r>
          </w:p>
        </w:tc>
      </w:tr>
    </w:tbl>
    <w:p>
      <w:pPr>
        <w:pStyle w:val="3"/>
        <w:pageBreakBefore w:val="0"/>
        <w:kinsoku/>
        <w:wordWrap/>
        <w:topLinePunct w:val="0"/>
        <w:bidi w:val="0"/>
        <w:spacing w:before="0" w:line="240" w:lineRule="auto"/>
        <w:rPr>
          <w:rFonts w:hint="eastAsia" w:ascii="宋体" w:hAnsi="宋体" w:eastAsia="宋体" w:cs="宋体"/>
          <w:color w:val="auto"/>
          <w:sz w:val="24"/>
          <w:szCs w:val="24"/>
          <w:highlight w:val="none"/>
        </w:rPr>
      </w:pPr>
      <w:bookmarkStart w:id="333" w:name="_Toc718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光纤线</w:t>
      </w:r>
      <w:bookmarkEnd w:id="333"/>
    </w:p>
    <w:tbl>
      <w:tblPr>
        <w:tblStyle w:val="27"/>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76" w:type="dxa"/>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759" w:type="dxa"/>
            <w:noWrap/>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76"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759"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≥多模万兆光纤跳线LC-LC OM3双芯光纤，长度可以根据医院具体实施情况调整</w:t>
            </w:r>
          </w:p>
        </w:tc>
      </w:tr>
    </w:tbl>
    <w:p>
      <w:pPr>
        <w:pStyle w:val="3"/>
        <w:pageBreakBefore w:val="0"/>
        <w:kinsoku/>
        <w:wordWrap/>
        <w:topLinePunct w:val="0"/>
        <w:bidi w:val="0"/>
        <w:spacing w:before="0" w:line="240" w:lineRule="auto"/>
        <w:rPr>
          <w:rFonts w:hint="eastAsia" w:ascii="宋体" w:hAnsi="宋体" w:eastAsia="宋体" w:cs="宋体"/>
          <w:color w:val="auto"/>
          <w:sz w:val="24"/>
          <w:szCs w:val="24"/>
          <w:highlight w:val="none"/>
          <w:lang w:eastAsia="zh-CN"/>
        </w:rPr>
      </w:pPr>
      <w:bookmarkStart w:id="334" w:name="_Toc720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超融合软件</w:t>
      </w:r>
      <w:bookmarkEnd w:id="334"/>
    </w:p>
    <w:tbl>
      <w:tblPr>
        <w:tblStyle w:val="27"/>
        <w:tblW w:w="8293" w:type="dxa"/>
        <w:tblInd w:w="0" w:type="dxa"/>
        <w:tblLayout w:type="autofit"/>
        <w:tblCellMar>
          <w:top w:w="0" w:type="dxa"/>
          <w:left w:w="108" w:type="dxa"/>
          <w:bottom w:w="0" w:type="dxa"/>
          <w:right w:w="108" w:type="dxa"/>
        </w:tblCellMar>
      </w:tblPr>
      <w:tblGrid>
        <w:gridCol w:w="1420"/>
        <w:gridCol w:w="6873"/>
      </w:tblGrid>
      <w:tr>
        <w:tblPrEx>
          <w:tblCellMar>
            <w:top w:w="0" w:type="dxa"/>
            <w:left w:w="108" w:type="dxa"/>
            <w:bottom w:w="0" w:type="dxa"/>
            <w:right w:w="108" w:type="dxa"/>
          </w:tblCellMar>
        </w:tblPrEx>
        <w:trPr>
          <w:trHeight w:val="288" w:hRule="atLeast"/>
        </w:trPr>
        <w:tc>
          <w:tcPr>
            <w:tcW w:w="14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功能模块</w:t>
            </w:r>
          </w:p>
        </w:tc>
        <w:tc>
          <w:tcPr>
            <w:tcW w:w="6873" w:type="dxa"/>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主要技术参数要求</w:t>
            </w:r>
          </w:p>
        </w:tc>
      </w:tr>
      <w:tr>
        <w:tblPrEx>
          <w:tblCellMar>
            <w:top w:w="0" w:type="dxa"/>
            <w:left w:w="108" w:type="dxa"/>
            <w:bottom w:w="0" w:type="dxa"/>
            <w:right w:w="108" w:type="dxa"/>
          </w:tblCellMar>
        </w:tblPrEx>
        <w:trPr>
          <w:trHeight w:val="576" w:hRule="atLeast"/>
        </w:trPr>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超融合管理平台</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1.资源管理要求：通过超融合管理平台即可实现对计算、存储、网络等资源进行统一管理，所有功能无需界面跳转即可实现全部操作，真正融合、简化管理。</w:t>
            </w:r>
          </w:p>
        </w:tc>
      </w:tr>
      <w:tr>
        <w:tblPrEx>
          <w:tblCellMar>
            <w:top w:w="0" w:type="dxa"/>
            <w:left w:w="108" w:type="dxa"/>
            <w:bottom w:w="0" w:type="dxa"/>
            <w:right w:w="108" w:type="dxa"/>
          </w:tblCellMar>
        </w:tblPrEx>
        <w:trPr>
          <w:trHeight w:val="2016"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统一运维要求：针对超融合整体软硬件故障问题，提供统一的可视的监控管理中心，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现实可视、可控、可管，简化运维。</w:t>
            </w:r>
          </w:p>
        </w:tc>
      </w:tr>
      <w:tr>
        <w:tblPrEx>
          <w:tblCellMar>
            <w:top w:w="0" w:type="dxa"/>
            <w:left w:w="108" w:type="dxa"/>
            <w:bottom w:w="0" w:type="dxa"/>
            <w:right w:w="108" w:type="dxa"/>
          </w:tblCellMar>
        </w:tblPrEx>
        <w:trPr>
          <w:trHeight w:val="144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源扩容要求：后期客户可以依据资源的使用情况，按需选择扩容计算存储型融合节点、计算虚拟化型节点即无需配置数据盘及相应存储虚拟化功能授权、存储虚拟化型节点即无需配置计算虚拟化相应功能授权，满足后期按业务对资源的需求进行灵活扩容，并节省采购成本。</w:t>
            </w:r>
          </w:p>
        </w:tc>
      </w:tr>
      <w:tr>
        <w:tblPrEx>
          <w:tblCellMar>
            <w:top w:w="0" w:type="dxa"/>
            <w:left w:w="108" w:type="dxa"/>
            <w:bottom w:w="0" w:type="dxa"/>
            <w:right w:w="108" w:type="dxa"/>
          </w:tblCellMar>
        </w:tblPrEx>
        <w:trPr>
          <w:trHeight w:val="144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4.集群规模要求：集群节点数≥2节点，并支持超融合节点数为2节点时，最少扩容节点数为1，扩容时要求原有集群业务不停机，以满足依不同业务分区分域 部署需求，最小化配置集群规模，以降低初始投入，并满足资源无缝、按需扩展。</w:t>
            </w:r>
          </w:p>
        </w:tc>
      </w:tr>
      <w:tr>
        <w:tblPrEx>
          <w:tblCellMar>
            <w:top w:w="0" w:type="dxa"/>
            <w:left w:w="108" w:type="dxa"/>
            <w:bottom w:w="0" w:type="dxa"/>
            <w:right w:w="108" w:type="dxa"/>
          </w:tblCellMar>
        </w:tblPrEx>
        <w:trPr>
          <w:trHeight w:val="98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5.业务迁移要求：超融合管理平台集成融合在线的p2v、v2v迁移工具，支持业界主流的操作系统、虚拟化平台、公有云。包括但不限于VMware、微软、华为、H3C 、阿里云、紫光云、深信服等厂商平台的迁移，提升被迁移业务平台的普适性、提升业务迁移的便捷性，降低业务迁移的工作量。</w:t>
            </w:r>
          </w:p>
        </w:tc>
      </w:tr>
      <w:tr>
        <w:tblPrEx>
          <w:tblCellMar>
            <w:top w:w="0" w:type="dxa"/>
            <w:left w:w="108" w:type="dxa"/>
            <w:bottom w:w="0" w:type="dxa"/>
            <w:right w:w="108" w:type="dxa"/>
          </w:tblCellMar>
        </w:tblPrEx>
        <w:trPr>
          <w:trHeight w:val="1099"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平台安全要求：超融合管理平台需支持无代理杀毒功能，降低资源开销，同时现实对Hypervisor层及主流Windows和Linux操作系统主机进行整体的安全防护，管理平台集成并提供统一的防病毒配置界面以提升便捷性，支持不少于2种业界主流防病毒软件供用户按需灵活选择。</w:t>
            </w:r>
          </w:p>
        </w:tc>
      </w:tr>
      <w:tr>
        <w:tblPrEx>
          <w:tblCellMar>
            <w:top w:w="0" w:type="dxa"/>
            <w:left w:w="108" w:type="dxa"/>
            <w:bottom w:w="0" w:type="dxa"/>
            <w:right w:w="108" w:type="dxa"/>
          </w:tblCellMar>
        </w:tblPrEx>
        <w:trPr>
          <w:trHeight w:val="1171"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容量故障预测：支持资源容量预测服务，内置时间序列模型，管理平台自动化实现数据检索预测，为提供用户易用的数据预测服务，服务支持呈现实时的CPU、内存和存储容量资源使用数据信息展示，并给出基于AI机器学习算法预测分析得到的预警时间点的提示，支持通过硬盘状态检测与预警技术，提供硬盘故障预测，提供资源扩容规划、硬盘故障预警的智能工具，提升业务整体可靠性。</w:t>
            </w:r>
          </w:p>
        </w:tc>
      </w:tr>
      <w:tr>
        <w:tblPrEx>
          <w:tblCellMar>
            <w:top w:w="0" w:type="dxa"/>
            <w:left w:w="108" w:type="dxa"/>
            <w:bottom w:w="0" w:type="dxa"/>
            <w:right w:w="108" w:type="dxa"/>
          </w:tblCellMar>
        </w:tblPrEx>
        <w:trPr>
          <w:trHeight w:val="576"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  SSD寿命展示：支持实时展示SSD固态硬盘寿命信息，以百分比展示SSD固态硬盘剩余寿命，作为及时更换硬盘提供信息支撑，保证业务的可连续性，</w:t>
            </w:r>
          </w:p>
        </w:tc>
      </w:tr>
      <w:tr>
        <w:tblPrEx>
          <w:tblCellMar>
            <w:top w:w="0" w:type="dxa"/>
            <w:left w:w="108" w:type="dxa"/>
            <w:bottom w:w="0" w:type="dxa"/>
            <w:right w:w="108" w:type="dxa"/>
          </w:tblCellMar>
        </w:tblPrEx>
        <w:trPr>
          <w:trHeight w:val="864"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  拓扑管理要求：支持对整个平台虚拟设备实现统一的管理，虚拟化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p>
        </w:tc>
      </w:tr>
      <w:tr>
        <w:tblPrEx>
          <w:tblCellMar>
            <w:top w:w="0" w:type="dxa"/>
            <w:left w:w="108" w:type="dxa"/>
            <w:bottom w:w="0" w:type="dxa"/>
            <w:right w:w="108" w:type="dxa"/>
          </w:tblCellMar>
        </w:tblPrEx>
        <w:trPr>
          <w:trHeight w:val="557"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p>
        </w:tc>
        <w:tc>
          <w:tcPr>
            <w:tcW w:w="68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 自动部署要求：管理平台对于新上线节点设备可基于链路层协议、被管理节点自动发现，自动分配其IP地址，降低管理难度。</w:t>
            </w:r>
          </w:p>
        </w:tc>
      </w:tr>
      <w:tr>
        <w:tblPrEx>
          <w:tblCellMar>
            <w:top w:w="0" w:type="dxa"/>
            <w:left w:w="108" w:type="dxa"/>
            <w:bottom w:w="0" w:type="dxa"/>
            <w:right w:w="108" w:type="dxa"/>
          </w:tblCellMar>
        </w:tblPrEx>
        <w:trPr>
          <w:trHeight w:val="576" w:hRule="atLeast"/>
        </w:trPr>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计算虚拟化</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1、品牌要求：虚拟化软件非OEM或贴牌产品，禁止借用第三方软件的整合，以保证功能的可靠性和安全性；</w:t>
            </w:r>
          </w:p>
        </w:tc>
      </w:tr>
      <w:tr>
        <w:tblPrEx>
          <w:tblCellMar>
            <w:top w:w="0" w:type="dxa"/>
            <w:left w:w="108" w:type="dxa"/>
            <w:bottom w:w="0" w:type="dxa"/>
            <w:right w:w="108" w:type="dxa"/>
          </w:tblCellMar>
        </w:tblPrEx>
        <w:trPr>
          <w:trHeight w:val="864"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2、兼容性要求：支持现有市场上主要国内外操作系统，包括Windows、CentOS、Fedora、RedHat、SUSE、Ubuntu、FreeBSD、MacOS、中标红旗、中标麒麟、中标普华、深度、一铭、凝思等， </w:t>
            </w:r>
          </w:p>
        </w:tc>
      </w:tr>
      <w:tr>
        <w:tblPrEx>
          <w:tblCellMar>
            <w:top w:w="0" w:type="dxa"/>
            <w:left w:w="108" w:type="dxa"/>
            <w:bottom w:w="0" w:type="dxa"/>
            <w:right w:w="108" w:type="dxa"/>
          </w:tblCellMar>
        </w:tblPrEx>
        <w:trPr>
          <w:trHeight w:val="2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3、基本功能要求：</w:t>
            </w:r>
          </w:p>
        </w:tc>
      </w:tr>
      <w:tr>
        <w:tblPrEx>
          <w:tblCellMar>
            <w:top w:w="0" w:type="dxa"/>
            <w:left w:w="108" w:type="dxa"/>
            <w:bottom w:w="0" w:type="dxa"/>
            <w:right w:w="108" w:type="dxa"/>
          </w:tblCellMar>
        </w:tblPrEx>
        <w:trPr>
          <w:trHeight w:val="576"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3.1、提供虚拟机启动、暂停、恢复、休眠、重启、关闭、克隆、迁移、删除、快照等功能的批量操作</w:t>
            </w:r>
          </w:p>
        </w:tc>
      </w:tr>
      <w:tr>
        <w:tblPrEx>
          <w:tblCellMar>
            <w:top w:w="0" w:type="dxa"/>
            <w:left w:w="108" w:type="dxa"/>
            <w:bottom w:w="0" w:type="dxa"/>
            <w:right w:w="108" w:type="dxa"/>
          </w:tblCellMar>
        </w:tblPrEx>
        <w:trPr>
          <w:trHeight w:val="2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3.2、提供集群HA（高可用），DRS（动态资源调度）等功能配置</w:t>
            </w:r>
          </w:p>
        </w:tc>
      </w:tr>
      <w:tr>
        <w:tblPrEx>
          <w:tblCellMar>
            <w:top w:w="0" w:type="dxa"/>
            <w:left w:w="108" w:type="dxa"/>
            <w:bottom w:w="0" w:type="dxa"/>
            <w:right w:w="108" w:type="dxa"/>
          </w:tblCellMar>
        </w:tblPrEx>
        <w:trPr>
          <w:trHeight w:val="576"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3.3、支持虚拟机的入方向、出方向、出入方向安全访问控制功能，可基于IP、MAC、端口号、时间段等设置访问规则</w:t>
            </w:r>
          </w:p>
        </w:tc>
      </w:tr>
      <w:tr>
        <w:tblPrEx>
          <w:tblCellMar>
            <w:top w:w="0" w:type="dxa"/>
            <w:left w:w="108" w:type="dxa"/>
            <w:bottom w:w="0" w:type="dxa"/>
            <w:right w:w="108" w:type="dxa"/>
          </w:tblCellMar>
        </w:tblPrEx>
        <w:trPr>
          <w:trHeight w:val="507"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4、审计回溯要求：支持虚拟机迁移历史记录功能，记录中包含迁移的操作员、迁移方式、源主机、目的主机、开始时间、迁移耗时等信息，便于对虚拟机的迁移路径进行回溯。</w:t>
            </w:r>
          </w:p>
        </w:tc>
      </w:tr>
      <w:tr>
        <w:tblPrEx>
          <w:tblCellMar>
            <w:top w:w="0" w:type="dxa"/>
            <w:left w:w="108" w:type="dxa"/>
            <w:bottom w:w="0" w:type="dxa"/>
            <w:right w:w="108" w:type="dxa"/>
          </w:tblCellMar>
        </w:tblPrEx>
        <w:trPr>
          <w:trHeight w:val="1177"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运维管理要求：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w:t>
            </w:r>
          </w:p>
        </w:tc>
      </w:tr>
      <w:tr>
        <w:tblPrEx>
          <w:tblCellMar>
            <w:top w:w="0" w:type="dxa"/>
            <w:left w:w="108" w:type="dxa"/>
            <w:bottom w:w="0" w:type="dxa"/>
            <w:right w:w="108" w:type="dxa"/>
          </w:tblCellMar>
        </w:tblPrEx>
        <w:trPr>
          <w:trHeight w:val="1176" w:hRule="atLeast"/>
        </w:trPr>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存储虚拟化</w:t>
            </w:r>
          </w:p>
        </w:tc>
        <w:tc>
          <w:tcPr>
            <w:tcW w:w="6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tc>
      </w:tr>
      <w:tr>
        <w:tblPrEx>
          <w:tblCellMar>
            <w:top w:w="0" w:type="dxa"/>
            <w:left w:w="108" w:type="dxa"/>
            <w:bottom w:w="0" w:type="dxa"/>
            <w:right w:w="108" w:type="dxa"/>
          </w:tblCellMar>
        </w:tblPrEx>
        <w:trPr>
          <w:trHeight w:val="1164"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2、能力要求：同一节点同时提供服务器虚拟化及分式布块、对象、文件种存储功能，3个节点集群即可同时提供虚拟化、分布式块、对象、文件存储服务。为了确保性能其中对象和文件服务须在宿主机上提供。</w:t>
            </w:r>
          </w:p>
        </w:tc>
      </w:tr>
      <w:tr>
        <w:tblPrEx>
          <w:tblCellMar>
            <w:top w:w="0" w:type="dxa"/>
            <w:left w:w="108" w:type="dxa"/>
            <w:bottom w:w="0" w:type="dxa"/>
            <w:right w:w="108" w:type="dxa"/>
          </w:tblCellMar>
        </w:tblPrEx>
        <w:trPr>
          <w:trHeight w:val="30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3、功能要求：</w:t>
            </w:r>
          </w:p>
        </w:tc>
      </w:tr>
      <w:tr>
        <w:tblPrEx>
          <w:tblCellMar>
            <w:top w:w="0" w:type="dxa"/>
            <w:left w:w="108" w:type="dxa"/>
            <w:bottom w:w="0" w:type="dxa"/>
            <w:right w:w="108" w:type="dxa"/>
          </w:tblCellMar>
        </w:tblPrEx>
        <w:trPr>
          <w:trHeight w:val="5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3.1支持厚配置，可以根据业务需求分配固定的物理存储空间、支持精简配置，可以根据应用实际写需要时才分配相应的物理存储空间</w:t>
            </w:r>
          </w:p>
        </w:tc>
      </w:tr>
      <w:tr>
        <w:tblPrEx>
          <w:tblCellMar>
            <w:top w:w="0" w:type="dxa"/>
            <w:left w:w="108" w:type="dxa"/>
            <w:bottom w:w="0" w:type="dxa"/>
            <w:right w:w="108" w:type="dxa"/>
          </w:tblCellMar>
        </w:tblPrEx>
        <w:trPr>
          <w:trHeight w:val="30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3.2、支持卷快照，支持可写快照、定时快照，一致性组快照;支持链式卷克隆、完整克隆。</w:t>
            </w:r>
          </w:p>
        </w:tc>
      </w:tr>
      <w:tr>
        <w:tblPrEx>
          <w:tblCellMar>
            <w:top w:w="0" w:type="dxa"/>
            <w:left w:w="108" w:type="dxa"/>
            <w:bottom w:w="0" w:type="dxa"/>
            <w:right w:w="108" w:type="dxa"/>
          </w:tblCellMar>
        </w:tblPrEx>
        <w:trPr>
          <w:trHeight w:val="30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3.3、支持卷拷贝、卷迁移，如从低性能资源池迁移至高性能池</w:t>
            </w:r>
          </w:p>
        </w:tc>
      </w:tr>
      <w:tr>
        <w:tblPrEx>
          <w:tblCellMar>
            <w:top w:w="0" w:type="dxa"/>
            <w:left w:w="108" w:type="dxa"/>
            <w:bottom w:w="0" w:type="dxa"/>
            <w:right w:w="108" w:type="dxa"/>
          </w:tblCellMar>
        </w:tblPrEx>
        <w:trPr>
          <w:trHeight w:val="5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3.4、支持含跨主机、跨机柜、跨机房三种故障隔离能力。如故障域为机柜时，能够实现整机柜故障，数据不丢失，业务不中断。</w:t>
            </w:r>
          </w:p>
        </w:tc>
      </w:tr>
      <w:tr>
        <w:tblPrEx>
          <w:tblCellMar>
            <w:top w:w="0" w:type="dxa"/>
            <w:left w:w="108" w:type="dxa"/>
            <w:bottom w:w="0" w:type="dxa"/>
            <w:right w:w="108" w:type="dxa"/>
          </w:tblCellMar>
        </w:tblPrEx>
        <w:trPr>
          <w:trHeight w:val="5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3.5、支持卷的IOPS和带宽可同时设置，同时生效；支持按容量对卷的IOPS和带宽同时设置，同时生效</w:t>
            </w:r>
          </w:p>
        </w:tc>
      </w:tr>
      <w:tr>
        <w:tblPrEx>
          <w:tblCellMar>
            <w:top w:w="0" w:type="dxa"/>
            <w:left w:w="108" w:type="dxa"/>
            <w:bottom w:w="0" w:type="dxa"/>
            <w:right w:w="108" w:type="dxa"/>
          </w:tblCellMar>
        </w:tblPrEx>
        <w:trPr>
          <w:trHeight w:val="58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4、副本机制要求：支持多副本保护机制，可选择2~5副本，支持依据业务数据重要性进行灵活设置副本数量机制。</w:t>
            </w:r>
          </w:p>
        </w:tc>
      </w:tr>
      <w:tr>
        <w:tblPrEx>
          <w:tblCellMar>
            <w:top w:w="0" w:type="dxa"/>
            <w:left w:w="108" w:type="dxa"/>
            <w:bottom w:w="0" w:type="dxa"/>
            <w:right w:w="108" w:type="dxa"/>
          </w:tblCellMar>
        </w:tblPrEx>
        <w:trPr>
          <w:trHeight w:val="60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5、数据自动重建要求：磁盘或者节点故障之后无需人工干预，数据在集群内硬盘的剩余空间中自动重构，每T数据重构时间不大于3分钟。</w:t>
            </w:r>
          </w:p>
        </w:tc>
      </w:tr>
      <w:tr>
        <w:tblPrEx>
          <w:tblCellMar>
            <w:top w:w="0" w:type="dxa"/>
            <w:left w:w="108" w:type="dxa"/>
            <w:bottom w:w="0" w:type="dxa"/>
            <w:right w:w="108" w:type="dxa"/>
          </w:tblCellMar>
        </w:tblPrEx>
        <w:trPr>
          <w:trHeight w:val="110"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资保障需求：支持使用一键鼠标按钮分析后端存储上的无效镜像文件，并提供一键清理和释放存储空间能力；支持使用一键鼠标按钮快速查看、启动、删除、批量启动和批量删除长时间未使用且处于关闭状态的虚拟机，进行资源利用率统计，提升资源利用率及运维效率。</w:t>
            </w:r>
          </w:p>
        </w:tc>
      </w:tr>
      <w:tr>
        <w:tblPrEx>
          <w:tblCellMar>
            <w:top w:w="0" w:type="dxa"/>
            <w:left w:w="108" w:type="dxa"/>
            <w:bottom w:w="0" w:type="dxa"/>
            <w:right w:w="108" w:type="dxa"/>
          </w:tblCellMar>
        </w:tblPrEx>
        <w:trPr>
          <w:trHeight w:val="586" w:hRule="atLeast"/>
        </w:trPr>
        <w:tc>
          <w:tcPr>
            <w:tcW w:w="142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配置要求</w:t>
            </w:r>
          </w:p>
        </w:tc>
        <w:tc>
          <w:tcPr>
            <w:tcW w:w="6873"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要求超融合平台配置云管理平台授权≥</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颗CPU、虚拟化软件授权≥</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颗CPU；配置“虚拟化服务器”所需分布式存储软件授权≥</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颗CPU；配置≥3年的软件版本升级服务和技术支持服务</w:t>
            </w:r>
          </w:p>
        </w:tc>
      </w:tr>
    </w:tbl>
    <w:p>
      <w:pPr>
        <w:pageBreakBefore w:val="0"/>
        <w:kinsoku/>
        <w:wordWrap/>
        <w:topLinePunct w:val="0"/>
        <w:bidi w:val="0"/>
        <w:spacing w:line="240" w:lineRule="auto"/>
        <w:rPr>
          <w:rFonts w:hint="eastAsia" w:ascii="宋体" w:hAnsi="宋体" w:eastAsia="宋体" w:cs="宋体"/>
          <w:color w:val="auto"/>
          <w:sz w:val="24"/>
          <w:szCs w:val="24"/>
          <w:highlight w:val="none"/>
        </w:rPr>
      </w:pPr>
    </w:p>
    <w:p>
      <w:pPr>
        <w:pStyle w:val="3"/>
        <w:pageBreakBefore w:val="0"/>
        <w:kinsoku/>
        <w:wordWrap/>
        <w:topLinePunct w:val="0"/>
        <w:bidi w:val="0"/>
        <w:spacing w:before="0" w:line="240" w:lineRule="auto"/>
        <w:rPr>
          <w:rFonts w:hint="eastAsia" w:ascii="宋体" w:hAnsi="宋体" w:eastAsia="宋体" w:cs="宋体"/>
          <w:color w:val="auto"/>
          <w:sz w:val="24"/>
          <w:szCs w:val="24"/>
          <w:highlight w:val="none"/>
        </w:rPr>
      </w:pPr>
      <w:bookmarkStart w:id="335" w:name="_Toc1543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数据备份一体机</w:t>
      </w:r>
      <w:bookmarkEnd w:id="335"/>
    </w:p>
    <w:tbl>
      <w:tblPr>
        <w:tblStyle w:val="27"/>
        <w:tblW w:w="8352" w:type="dxa"/>
        <w:jc w:val="center"/>
        <w:tblLayout w:type="fixed"/>
        <w:tblCellMar>
          <w:top w:w="0" w:type="dxa"/>
          <w:left w:w="108" w:type="dxa"/>
          <w:bottom w:w="0" w:type="dxa"/>
          <w:right w:w="108" w:type="dxa"/>
        </w:tblCellMar>
      </w:tblPr>
      <w:tblGrid>
        <w:gridCol w:w="1383"/>
        <w:gridCol w:w="6969"/>
      </w:tblGrid>
      <w:tr>
        <w:tblPrEx>
          <w:tblCellMar>
            <w:top w:w="0" w:type="dxa"/>
            <w:left w:w="108" w:type="dxa"/>
            <w:bottom w:w="0" w:type="dxa"/>
            <w:right w:w="108" w:type="dxa"/>
          </w:tblCellMar>
        </w:tblPrEx>
        <w:trPr>
          <w:trHeight w:val="27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6969" w:type="dxa"/>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CellMar>
            <w:top w:w="0" w:type="dxa"/>
            <w:left w:w="108" w:type="dxa"/>
            <w:bottom w:w="0" w:type="dxa"/>
            <w:right w:w="108" w:type="dxa"/>
          </w:tblCellMar>
        </w:tblPrEx>
        <w:trPr>
          <w:trHeight w:val="323"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配置≥2*10核处理器</w:t>
            </w:r>
          </w:p>
        </w:tc>
      </w:tr>
      <w:tr>
        <w:tblPrEx>
          <w:tblCellMar>
            <w:top w:w="0" w:type="dxa"/>
            <w:left w:w="108" w:type="dxa"/>
            <w:bottom w:w="0" w:type="dxa"/>
            <w:right w:w="108" w:type="dxa"/>
          </w:tblCellMar>
        </w:tblPrEx>
        <w:trPr>
          <w:trHeight w:val="257"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配置≥REG ECC 128GB以上内存</w:t>
            </w:r>
          </w:p>
        </w:tc>
      </w:tr>
      <w:tr>
        <w:tblPrEx>
          <w:tblCellMar>
            <w:top w:w="0" w:type="dxa"/>
            <w:left w:w="108" w:type="dxa"/>
            <w:bottom w:w="0" w:type="dxa"/>
            <w:right w:w="108" w:type="dxa"/>
          </w:tblCellMar>
        </w:tblPrEx>
        <w:trPr>
          <w:trHeight w:val="233"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配置≥10Gb 2个,1Gb 2个</w:t>
            </w:r>
          </w:p>
        </w:tc>
      </w:tr>
      <w:tr>
        <w:tblPrEx>
          <w:tblCellMar>
            <w:top w:w="0" w:type="dxa"/>
            <w:left w:w="108" w:type="dxa"/>
            <w:bottom w:w="0" w:type="dxa"/>
            <w:right w:w="108" w:type="dxa"/>
          </w:tblCellMar>
        </w:tblPrEx>
        <w:trPr>
          <w:trHeight w:val="195" w:hRule="atLeast"/>
          <w:jc w:val="center"/>
        </w:trPr>
        <w:tc>
          <w:tcPr>
            <w:tcW w:w="13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存储空间</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配置≥32TB裸容量，可达72TB裸容量</w:t>
            </w:r>
          </w:p>
        </w:tc>
      </w:tr>
      <w:tr>
        <w:tblPrEx>
          <w:tblCellMar>
            <w:top w:w="0" w:type="dxa"/>
            <w:left w:w="108" w:type="dxa"/>
            <w:bottom w:w="0" w:type="dxa"/>
            <w:right w:w="108" w:type="dxa"/>
          </w:tblCellMar>
        </w:tblPrEx>
        <w:trPr>
          <w:trHeight w:val="299"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配置≥2块SSD硬盘作为系统盘</w:t>
            </w:r>
          </w:p>
        </w:tc>
      </w:tr>
      <w:tr>
        <w:tblPrEx>
          <w:tblCellMar>
            <w:top w:w="0" w:type="dxa"/>
            <w:left w:w="108" w:type="dxa"/>
            <w:bottom w:w="0" w:type="dxa"/>
            <w:right w:w="108" w:type="dxa"/>
          </w:tblCellMar>
        </w:tblPrEx>
        <w:trPr>
          <w:trHeight w:val="224"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RAID方式</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配置RAID 6以保证数据安全</w:t>
            </w:r>
          </w:p>
        </w:tc>
      </w:tr>
      <w:tr>
        <w:tblPrEx>
          <w:tblCellMar>
            <w:top w:w="0" w:type="dxa"/>
            <w:left w:w="108" w:type="dxa"/>
            <w:bottom w:w="0" w:type="dxa"/>
            <w:right w:w="108" w:type="dxa"/>
          </w:tblCellMar>
        </w:tblPrEx>
        <w:trPr>
          <w:trHeight w:val="108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备份软件的平台支持</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支持主流UNIX、Linux和Windows与OpenVMS、Mac OS X Server、Novell、Sun Solaris (SPARC)、Sun Solaris  (x86 and x64)、HP-UX (Itanium &amp; PA-RISC)、AIX、SCO OpenServer、RHEL、SLES、CentOS、Debian、Ubuntu、Scientific Linux</w:t>
            </w:r>
          </w:p>
        </w:tc>
      </w:tr>
      <w:tr>
        <w:tblPrEx>
          <w:tblCellMar>
            <w:top w:w="0" w:type="dxa"/>
            <w:left w:w="108" w:type="dxa"/>
            <w:bottom w:w="0" w:type="dxa"/>
            <w:right w:w="108" w:type="dxa"/>
          </w:tblCellMar>
        </w:tblPrEx>
        <w:trPr>
          <w:trHeight w:val="795"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数据库支持</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支持SAP HANA、SAP R3、SAP MAXDB、MYSQL、PostgreSQL、Oracle、Sybase、DB2、SQL Server、Informix、Exchange、Domino等数据库；对以上数据库的集成备份，无需借助第三方工具或定制脚本。</w:t>
            </w:r>
          </w:p>
        </w:tc>
      </w:tr>
      <w:tr>
        <w:tblPrEx>
          <w:tblCellMar>
            <w:top w:w="0" w:type="dxa"/>
            <w:left w:w="108" w:type="dxa"/>
            <w:bottom w:w="0" w:type="dxa"/>
            <w:right w:w="108" w:type="dxa"/>
          </w:tblCellMar>
        </w:tblPrEx>
        <w:trPr>
          <w:trHeight w:val="51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客户端</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无限制标准客户端与企业客户端的许可，并提供客户端推送安装功能，降低认为误操作或者实施成本。</w:t>
            </w:r>
          </w:p>
        </w:tc>
      </w:tr>
      <w:tr>
        <w:tblPrEx>
          <w:tblCellMar>
            <w:top w:w="0" w:type="dxa"/>
            <w:left w:w="108" w:type="dxa"/>
            <w:bottom w:w="0" w:type="dxa"/>
            <w:right w:w="108" w:type="dxa"/>
          </w:tblCellMar>
        </w:tblPrEx>
        <w:trPr>
          <w:trHeight w:val="525"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集群支持</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支持HPMC/ServiceGuard、Microsoft Cluster Server、Veritas Cluster Server集群管理软件</w:t>
            </w:r>
          </w:p>
        </w:tc>
      </w:tr>
      <w:tr>
        <w:tblPrEx>
          <w:tblCellMar>
            <w:top w:w="0" w:type="dxa"/>
            <w:left w:w="108" w:type="dxa"/>
            <w:bottom w:w="0" w:type="dxa"/>
            <w:right w:w="108" w:type="dxa"/>
          </w:tblCellMar>
        </w:tblPrEx>
        <w:trPr>
          <w:trHeight w:val="5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系统灾难恢复功能</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提供系统灾难恢复能力，可以在发生灾难后将整个系统（包括操作系统、驱动程序、应用系统）快速恢复到最近备份时间点配置</w:t>
            </w:r>
          </w:p>
        </w:tc>
      </w:tr>
      <w:tr>
        <w:tblPrEx>
          <w:tblCellMar>
            <w:top w:w="0" w:type="dxa"/>
            <w:left w:w="108" w:type="dxa"/>
            <w:bottom w:w="0" w:type="dxa"/>
            <w:right w:w="108" w:type="dxa"/>
          </w:tblCellMar>
        </w:tblPrEx>
        <w:trPr>
          <w:trHeight w:val="5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操作系统一键恢复</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支持X86平台服务器的操作系统一键恢复功能</w:t>
            </w:r>
          </w:p>
        </w:tc>
      </w:tr>
      <w:tr>
        <w:tblPrEx>
          <w:tblCellMar>
            <w:top w:w="0" w:type="dxa"/>
            <w:left w:w="108" w:type="dxa"/>
            <w:bottom w:w="0" w:type="dxa"/>
            <w:right w:w="108" w:type="dxa"/>
          </w:tblCellMar>
        </w:tblPrEx>
        <w:trPr>
          <w:trHeight w:val="5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操作管理界面</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提供中文管理界面，提供方便灵活的全图形化工具来完成备份、恢复、定制、监控等操作，无需编写任何脚本即可完成数据库的备份和恢复操作。</w:t>
            </w:r>
          </w:p>
        </w:tc>
      </w:tr>
      <w:tr>
        <w:tblPrEx>
          <w:tblCellMar>
            <w:top w:w="0" w:type="dxa"/>
            <w:left w:w="108" w:type="dxa"/>
            <w:bottom w:w="0" w:type="dxa"/>
            <w:right w:w="108" w:type="dxa"/>
          </w:tblCellMar>
        </w:tblPrEx>
        <w:trPr>
          <w:trHeight w:val="1065"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Oracle支持</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对Oracle数据库进行备份和恢复时提供全图形化操作,尤其针对oracle数据库恢复时，无需手工编写RMAN脚本或者在客户端中执行RMAN恢复命令。统一通过恢复的GUI界面，完成恢复，并支持开启oracle数据库。支持Oracle CDB与PDB模式备份，提供功能截图加盖制造商印章。</w:t>
            </w:r>
          </w:p>
        </w:tc>
      </w:tr>
      <w:tr>
        <w:tblPrEx>
          <w:tblCellMar>
            <w:top w:w="0" w:type="dxa"/>
            <w:left w:w="108" w:type="dxa"/>
            <w:bottom w:w="0" w:type="dxa"/>
            <w:right w:w="108" w:type="dxa"/>
          </w:tblCellMar>
        </w:tblPrEx>
        <w:trPr>
          <w:trHeight w:val="270"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SAP数据库备份</w:t>
            </w:r>
          </w:p>
        </w:tc>
        <w:tc>
          <w:tcPr>
            <w:tcW w:w="696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支持SAP R/3，SAP MAXDB，SAP HANA在线备份。</w:t>
            </w:r>
          </w:p>
        </w:tc>
      </w:tr>
      <w:tr>
        <w:tblPrEx>
          <w:tblCellMar>
            <w:top w:w="0" w:type="dxa"/>
            <w:left w:w="108" w:type="dxa"/>
            <w:bottom w:w="0" w:type="dxa"/>
            <w:right w:w="108" w:type="dxa"/>
          </w:tblCellMar>
        </w:tblPrEx>
        <w:trPr>
          <w:trHeight w:val="270"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支持SAP HANA图形化备份与恢复，无需编写脚本</w:t>
            </w:r>
          </w:p>
        </w:tc>
      </w:tr>
      <w:tr>
        <w:tblPrEx>
          <w:tblCellMar>
            <w:top w:w="0" w:type="dxa"/>
            <w:left w:w="108" w:type="dxa"/>
            <w:bottom w:w="0" w:type="dxa"/>
            <w:right w:w="108" w:type="dxa"/>
          </w:tblCellMar>
        </w:tblPrEx>
        <w:trPr>
          <w:trHeight w:val="270"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支持SAP HANA按照计划任务，执行全备份、增量、差异备份。</w:t>
            </w:r>
          </w:p>
        </w:tc>
      </w:tr>
      <w:tr>
        <w:tblPrEx>
          <w:tblCellMar>
            <w:top w:w="0" w:type="dxa"/>
            <w:left w:w="108" w:type="dxa"/>
            <w:bottom w:w="0" w:type="dxa"/>
            <w:right w:w="108" w:type="dxa"/>
          </w:tblCellMar>
        </w:tblPrEx>
        <w:trPr>
          <w:trHeight w:val="270" w:hRule="atLeast"/>
          <w:jc w:val="center"/>
        </w:trPr>
        <w:tc>
          <w:tcPr>
            <w:tcW w:w="13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MYSQL备份</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支持MYSQL图形化备份与恢复，无需编辑脚本</w:t>
            </w:r>
          </w:p>
        </w:tc>
      </w:tr>
      <w:tr>
        <w:tblPrEx>
          <w:tblCellMar>
            <w:top w:w="0" w:type="dxa"/>
            <w:left w:w="108" w:type="dxa"/>
            <w:bottom w:w="0" w:type="dxa"/>
            <w:right w:w="108" w:type="dxa"/>
          </w:tblCellMar>
        </w:tblPrEx>
        <w:trPr>
          <w:trHeight w:val="270"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并支持一台MYSQL主机多个实例架构的备份</w:t>
            </w:r>
          </w:p>
        </w:tc>
      </w:tr>
      <w:tr>
        <w:tblPrEx>
          <w:tblCellMar>
            <w:top w:w="0" w:type="dxa"/>
            <w:left w:w="108" w:type="dxa"/>
            <w:bottom w:w="0" w:type="dxa"/>
            <w:right w:w="108" w:type="dxa"/>
          </w:tblCellMar>
        </w:tblPrEx>
        <w:trPr>
          <w:trHeight w:val="525"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PostgreSQL备份</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支持PostgresSQL数据库图形化备份与恢复，无需编辑脚本</w:t>
            </w:r>
          </w:p>
        </w:tc>
      </w:tr>
      <w:tr>
        <w:tblPrEx>
          <w:tblCellMar>
            <w:top w:w="0" w:type="dxa"/>
            <w:left w:w="108" w:type="dxa"/>
            <w:bottom w:w="0" w:type="dxa"/>
            <w:right w:w="108" w:type="dxa"/>
          </w:tblCellMar>
        </w:tblPrEx>
        <w:trPr>
          <w:trHeight w:val="78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存储快照备份</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支持HP/EMC/Netapp存储厂家的磁盘阵列快照技术备份，实现server-free架构，直接通过存储阵列的快照进行备份，降低生产系统的资源消耗。无需编辑快照脚本，支持图形化操作。</w:t>
            </w:r>
          </w:p>
        </w:tc>
      </w:tr>
      <w:tr>
        <w:tblPrEx>
          <w:tblCellMar>
            <w:top w:w="0" w:type="dxa"/>
            <w:left w:w="108" w:type="dxa"/>
            <w:bottom w:w="0" w:type="dxa"/>
            <w:right w:w="108" w:type="dxa"/>
          </w:tblCellMar>
        </w:tblPrEx>
        <w:trPr>
          <w:trHeight w:val="525" w:hRule="atLeast"/>
          <w:jc w:val="center"/>
        </w:trPr>
        <w:tc>
          <w:tcPr>
            <w:tcW w:w="138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即时恢复支持</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支持Windows/linux/hp-ux平台下的File/SQL/ORACLE/EXCHANGE/SAP/数据库的快照技术备份。</w:t>
            </w:r>
          </w:p>
        </w:tc>
      </w:tr>
      <w:tr>
        <w:tblPrEx>
          <w:tblCellMar>
            <w:top w:w="0" w:type="dxa"/>
            <w:left w:w="108" w:type="dxa"/>
            <w:bottom w:w="0" w:type="dxa"/>
            <w:right w:w="108" w:type="dxa"/>
          </w:tblCellMar>
        </w:tblPrEx>
        <w:trPr>
          <w:trHeight w:val="525"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支持file文件与SQL、Oracle、Exchange、SAP数据库，与VMware的即时恢复。提高数据恢复时的效率。</w:t>
            </w:r>
          </w:p>
        </w:tc>
      </w:tr>
      <w:tr>
        <w:tblPrEx>
          <w:tblCellMar>
            <w:top w:w="0" w:type="dxa"/>
            <w:left w:w="108" w:type="dxa"/>
            <w:bottom w:w="0" w:type="dxa"/>
            <w:right w:w="108" w:type="dxa"/>
          </w:tblCellMar>
        </w:tblPrEx>
        <w:trPr>
          <w:trHeight w:val="414"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无需编辑快照脚本，支持图形化操作。</w:t>
            </w:r>
          </w:p>
        </w:tc>
      </w:tr>
      <w:tr>
        <w:tblPrEx>
          <w:tblCellMar>
            <w:top w:w="0" w:type="dxa"/>
            <w:left w:w="108" w:type="dxa"/>
            <w:bottom w:w="0" w:type="dxa"/>
            <w:right w:w="108" w:type="dxa"/>
          </w:tblCellMar>
        </w:tblPrEx>
        <w:trPr>
          <w:trHeight w:val="376" w:hRule="atLeast"/>
          <w:jc w:val="center"/>
        </w:trPr>
        <w:tc>
          <w:tcPr>
            <w:tcW w:w="138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支持海量小文件的加速备份恢复</w:t>
            </w:r>
          </w:p>
        </w:tc>
      </w:tr>
      <w:tr>
        <w:tblPrEx>
          <w:tblCellMar>
            <w:top w:w="0" w:type="dxa"/>
            <w:left w:w="108" w:type="dxa"/>
            <w:bottom w:w="0" w:type="dxa"/>
            <w:right w:w="108" w:type="dxa"/>
          </w:tblCellMar>
        </w:tblPrEx>
        <w:trPr>
          <w:trHeight w:val="312"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备份设备支持</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支持近5年内主流类型的高中低端存储设备、磁带库设备和虚拟带库设备等</w:t>
            </w:r>
          </w:p>
        </w:tc>
      </w:tr>
      <w:tr>
        <w:tblPrEx>
          <w:tblCellMar>
            <w:top w:w="0" w:type="dxa"/>
            <w:left w:w="108" w:type="dxa"/>
            <w:bottom w:w="0" w:type="dxa"/>
            <w:right w:w="108" w:type="dxa"/>
          </w:tblCellMar>
        </w:tblPrEx>
        <w:trPr>
          <w:trHeight w:val="457"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备份策略支持</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支持灵活备份策略的定制，支持备份策略的暂停功能。</w:t>
            </w:r>
          </w:p>
        </w:tc>
      </w:tr>
      <w:tr>
        <w:tblPrEx>
          <w:tblCellMar>
            <w:top w:w="0" w:type="dxa"/>
            <w:left w:w="108" w:type="dxa"/>
            <w:bottom w:w="0" w:type="dxa"/>
            <w:right w:w="108" w:type="dxa"/>
          </w:tblCellMar>
        </w:tblPrEx>
        <w:trPr>
          <w:trHeight w:val="51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备份计划任务冲突检查</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支持备份策略的计划任务冲突检查，与备份策略的优先级执行功能。</w:t>
            </w:r>
          </w:p>
        </w:tc>
      </w:tr>
      <w:tr>
        <w:tblPrEx>
          <w:tblCellMar>
            <w:top w:w="0" w:type="dxa"/>
            <w:left w:w="108" w:type="dxa"/>
            <w:bottom w:w="0" w:type="dxa"/>
            <w:right w:w="108" w:type="dxa"/>
          </w:tblCellMar>
        </w:tblPrEx>
        <w:trPr>
          <w:trHeight w:val="540"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虚拟化支持</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支持VMware/Hyper-v/Citrix/KVM/虚拟化平台，并支持Oracle VM/Solaris Zones、VMware OpenStack cloud。</w:t>
            </w:r>
          </w:p>
        </w:tc>
      </w:tr>
      <w:tr>
        <w:tblPrEx>
          <w:tblCellMar>
            <w:top w:w="0" w:type="dxa"/>
            <w:left w:w="108" w:type="dxa"/>
            <w:bottom w:w="0" w:type="dxa"/>
            <w:right w:w="108" w:type="dxa"/>
          </w:tblCellMar>
        </w:tblPrEx>
        <w:trPr>
          <w:trHeight w:val="54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支持VMWare的CBT块改变跟中，实现虚拟机的备份，并通过LAN、LAN-Free、Server-Free方式备份。支持VM的颗粒化备份与恢复。</w:t>
            </w:r>
          </w:p>
        </w:tc>
      </w:tr>
      <w:tr>
        <w:tblPrEx>
          <w:tblCellMar>
            <w:top w:w="0" w:type="dxa"/>
            <w:left w:w="108" w:type="dxa"/>
            <w:bottom w:w="0" w:type="dxa"/>
            <w:right w:w="108" w:type="dxa"/>
          </w:tblCellMar>
        </w:tblPrEx>
        <w:trPr>
          <w:trHeight w:val="525"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同一界面中支持vmware虚拟机的快速挂起、与迁移功能，无需命令行，支持图形界面的虚拟机即时恢复，提供功能截图加盖制造商印章。</w:t>
            </w:r>
          </w:p>
        </w:tc>
      </w:tr>
      <w:tr>
        <w:tblPrEx>
          <w:tblCellMar>
            <w:top w:w="0" w:type="dxa"/>
            <w:left w:w="108" w:type="dxa"/>
            <w:bottom w:w="0" w:type="dxa"/>
            <w:right w:w="108" w:type="dxa"/>
          </w:tblCellMar>
        </w:tblPrEx>
        <w:trPr>
          <w:trHeight w:val="27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支持对Hyper-V虚拟机的LAN、LAN-Free、Server-Free在线备份。</w:t>
            </w:r>
          </w:p>
        </w:tc>
      </w:tr>
      <w:tr>
        <w:tblPrEx>
          <w:tblCellMar>
            <w:top w:w="0" w:type="dxa"/>
            <w:left w:w="108" w:type="dxa"/>
            <w:bottom w:w="0" w:type="dxa"/>
            <w:right w:w="108" w:type="dxa"/>
          </w:tblCellMar>
        </w:tblPrEx>
        <w:trPr>
          <w:trHeight w:val="51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备份格式</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备份文件采用统一专有格式，记录了备份信息的标签和日志信息，保证备份内容的安全性，备份系统崩溃后，可以通过磁带扫描迅速重新构建备份数据库。</w:t>
            </w:r>
          </w:p>
        </w:tc>
      </w:tr>
      <w:tr>
        <w:tblPrEx>
          <w:tblCellMar>
            <w:top w:w="0" w:type="dxa"/>
            <w:left w:w="108" w:type="dxa"/>
            <w:bottom w:w="0" w:type="dxa"/>
            <w:right w:w="108" w:type="dxa"/>
          </w:tblCellMar>
        </w:tblPrEx>
        <w:trPr>
          <w:trHeight w:val="270"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重复数据删除技术</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软件提供备份重复数据删除功能，缩短备份时间。</w:t>
            </w:r>
          </w:p>
        </w:tc>
      </w:tr>
      <w:tr>
        <w:tblPrEx>
          <w:tblCellMar>
            <w:top w:w="0" w:type="dxa"/>
            <w:left w:w="108" w:type="dxa"/>
            <w:bottom w:w="0" w:type="dxa"/>
            <w:right w:w="108" w:type="dxa"/>
          </w:tblCellMar>
        </w:tblPrEx>
        <w:trPr>
          <w:trHeight w:val="27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备份软提供源端、服务器端或目标端等多种方式重复数据删除功能。</w:t>
            </w:r>
          </w:p>
        </w:tc>
      </w:tr>
      <w:tr>
        <w:tblPrEx>
          <w:tblCellMar>
            <w:top w:w="0" w:type="dxa"/>
            <w:left w:w="108" w:type="dxa"/>
            <w:bottom w:w="0" w:type="dxa"/>
            <w:right w:w="108" w:type="dxa"/>
          </w:tblCellMar>
        </w:tblPrEx>
        <w:trPr>
          <w:trHeight w:val="27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实现联合重复数据删除，即通过重删一次，节省传输带宽。</w:t>
            </w:r>
          </w:p>
        </w:tc>
      </w:tr>
      <w:tr>
        <w:tblPrEx>
          <w:tblCellMar>
            <w:top w:w="0" w:type="dxa"/>
            <w:left w:w="108" w:type="dxa"/>
            <w:bottom w:w="0" w:type="dxa"/>
            <w:right w:w="108" w:type="dxa"/>
          </w:tblCellMar>
        </w:tblPrEx>
        <w:trPr>
          <w:trHeight w:val="270"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结合虚拟带库去重</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备份软件可以结合虚拟带库实现数据源端重复数据删除。</w:t>
            </w:r>
          </w:p>
        </w:tc>
      </w:tr>
      <w:tr>
        <w:tblPrEx>
          <w:tblCellMar>
            <w:top w:w="0" w:type="dxa"/>
            <w:left w:w="108" w:type="dxa"/>
            <w:bottom w:w="0" w:type="dxa"/>
            <w:right w:w="108" w:type="dxa"/>
          </w:tblCellMar>
        </w:tblPrEx>
        <w:trPr>
          <w:trHeight w:val="51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备份软件在源端进行重复数据删除以后，直接通过低带库数据传输给虚拟带库，虚拟带库无需再进行重复数据删除。</w:t>
            </w:r>
          </w:p>
        </w:tc>
      </w:tr>
      <w:tr>
        <w:tblPrEx>
          <w:tblCellMar>
            <w:top w:w="0" w:type="dxa"/>
            <w:left w:w="108" w:type="dxa"/>
            <w:bottom w:w="0" w:type="dxa"/>
            <w:right w:w="108" w:type="dxa"/>
          </w:tblCellMar>
        </w:tblPrEx>
        <w:trPr>
          <w:trHeight w:val="270"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支持虚拟带库的全局重删技术，并支持虚拟带库作为磁盘介质备份。</w:t>
            </w:r>
          </w:p>
        </w:tc>
      </w:tr>
      <w:tr>
        <w:tblPrEx>
          <w:tblCellMar>
            <w:top w:w="0" w:type="dxa"/>
            <w:left w:w="108" w:type="dxa"/>
            <w:bottom w:w="0" w:type="dxa"/>
            <w:right w:w="108" w:type="dxa"/>
          </w:tblCellMar>
        </w:tblPrEx>
        <w:trPr>
          <w:trHeight w:val="765"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大量小文件的备份</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支持先进的永久增量备份技术，即文件级的备份可以支持一次全量、永远增量的策略，并且需要恢复时以一次全量的形式进行恢复。或者存储快照结合对文件系统、物理盘进行整体备份提高备份效率，并能恢复其中单个文件。</w:t>
            </w:r>
          </w:p>
        </w:tc>
      </w:tr>
      <w:tr>
        <w:tblPrEx>
          <w:tblCellMar>
            <w:top w:w="0" w:type="dxa"/>
            <w:left w:w="108" w:type="dxa"/>
            <w:bottom w:w="0" w:type="dxa"/>
            <w:right w:w="108" w:type="dxa"/>
          </w:tblCellMar>
        </w:tblPrEx>
        <w:trPr>
          <w:trHeight w:val="5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虚拟全备份</w:t>
            </w:r>
          </w:p>
        </w:tc>
        <w:tc>
          <w:tcPr>
            <w:tcW w:w="696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不占用备份空间的全备份；通过指针方式建立的全备份，能够更快的恢复数据，节约了保贵的磁盘备份空间</w:t>
            </w:r>
          </w:p>
        </w:tc>
      </w:tr>
      <w:tr>
        <w:tblPrEx>
          <w:tblCellMar>
            <w:top w:w="0" w:type="dxa"/>
            <w:left w:w="108" w:type="dxa"/>
            <w:bottom w:w="0" w:type="dxa"/>
            <w:right w:w="108" w:type="dxa"/>
          </w:tblCellMar>
        </w:tblPrEx>
        <w:trPr>
          <w:trHeight w:val="525"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权限管理</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提供备份用户的权限管理，可以结合AD与LDAP集成。并支持备份作业的审计。</w:t>
            </w:r>
          </w:p>
        </w:tc>
      </w:tr>
      <w:tr>
        <w:tblPrEx>
          <w:tblCellMar>
            <w:top w:w="0" w:type="dxa"/>
            <w:left w:w="108" w:type="dxa"/>
            <w:bottom w:w="0" w:type="dxa"/>
            <w:right w:w="108" w:type="dxa"/>
          </w:tblCellMar>
        </w:tblPrEx>
        <w:trPr>
          <w:trHeight w:val="510"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恢复查询</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通过同一界面，通过关键字对备份介质中文件进行索引，并可以快速恢复。并支持通配符</w:t>
            </w:r>
          </w:p>
        </w:tc>
      </w:tr>
      <w:tr>
        <w:tblPrEx>
          <w:tblCellMar>
            <w:top w:w="0" w:type="dxa"/>
            <w:left w:w="108" w:type="dxa"/>
            <w:bottom w:w="0" w:type="dxa"/>
            <w:right w:w="108" w:type="dxa"/>
          </w:tblCellMar>
        </w:tblPrEx>
        <w:trPr>
          <w:trHeight w:val="525"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报表管理</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提供报表管理系统，不仅可以监控备份作业状态，同时还可以针对报错信息，提供解决方法。并可以提供RTO信息</w:t>
            </w:r>
          </w:p>
        </w:tc>
      </w:tr>
      <w:tr>
        <w:tblPrEx>
          <w:tblCellMar>
            <w:top w:w="0" w:type="dxa"/>
            <w:left w:w="108" w:type="dxa"/>
            <w:bottom w:w="0" w:type="dxa"/>
            <w:right w:w="108" w:type="dxa"/>
          </w:tblCellMar>
        </w:tblPrEx>
        <w:trPr>
          <w:trHeight w:val="502"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产品统一</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配置磁带库备份许可，无需单独添加任何软件许可即可实现D2D2T的备份架构</w:t>
            </w:r>
          </w:p>
        </w:tc>
      </w:tr>
      <w:tr>
        <w:tblPrEx>
          <w:tblCellMar>
            <w:top w:w="0" w:type="dxa"/>
            <w:left w:w="108" w:type="dxa"/>
            <w:bottom w:w="0" w:type="dxa"/>
            <w:right w:w="108" w:type="dxa"/>
          </w:tblCellMar>
        </w:tblPrEx>
        <w:trPr>
          <w:trHeight w:val="525"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加密管理</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可进行备份数据加密，支持全过程端到端传送加密；能够支持256位的数据加密，使用秘钥方式进行数据恢复。</w:t>
            </w:r>
          </w:p>
        </w:tc>
      </w:tr>
      <w:tr>
        <w:tblPrEx>
          <w:tblCellMar>
            <w:top w:w="0" w:type="dxa"/>
            <w:left w:w="108" w:type="dxa"/>
            <w:bottom w:w="0" w:type="dxa"/>
            <w:right w:w="108" w:type="dxa"/>
          </w:tblCellMar>
        </w:tblPrEx>
        <w:trPr>
          <w:trHeight w:val="137" w:hRule="atLeast"/>
          <w:jc w:val="center"/>
        </w:trPr>
        <w:tc>
          <w:tcPr>
            <w:tcW w:w="1383"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w:t>
            </w:r>
          </w:p>
        </w:tc>
        <w:tc>
          <w:tcPr>
            <w:tcW w:w="6969"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≥3年现场保修。</w:t>
            </w:r>
          </w:p>
        </w:tc>
      </w:tr>
    </w:tbl>
    <w:p>
      <w:pPr>
        <w:pageBreakBefore w:val="0"/>
        <w:kinsoku/>
        <w:wordWrap/>
        <w:topLinePunct w:val="0"/>
        <w:bidi w:val="0"/>
        <w:spacing w:line="240" w:lineRule="auto"/>
        <w:jc w:val="left"/>
        <w:rPr>
          <w:rFonts w:hint="eastAsia" w:ascii="宋体" w:hAnsi="宋体" w:eastAsia="宋体" w:cs="宋体"/>
          <w:b/>
          <w:color w:val="auto"/>
          <w:sz w:val="24"/>
          <w:szCs w:val="24"/>
          <w:highlight w:val="none"/>
        </w:rPr>
      </w:pPr>
    </w:p>
    <w:p>
      <w:pPr>
        <w:pStyle w:val="3"/>
        <w:pageBreakBefore w:val="0"/>
        <w:kinsoku/>
        <w:wordWrap/>
        <w:topLinePunct w:val="0"/>
        <w:bidi w:val="0"/>
        <w:spacing w:before="0" w:line="240" w:lineRule="auto"/>
        <w:rPr>
          <w:rFonts w:hint="eastAsia" w:ascii="宋体" w:hAnsi="宋体" w:eastAsia="宋体" w:cs="宋体"/>
          <w:color w:val="auto"/>
          <w:sz w:val="24"/>
          <w:szCs w:val="24"/>
          <w:highlight w:val="none"/>
        </w:rPr>
      </w:pPr>
      <w:bookmarkStart w:id="336" w:name="_Toc23179"/>
      <w:r>
        <w:rPr>
          <w:rFonts w:hint="eastAsia" w:ascii="宋体" w:hAnsi="宋体" w:eastAsia="宋体" w:cs="宋体"/>
          <w:color w:val="auto"/>
          <w:sz w:val="24"/>
          <w:szCs w:val="24"/>
          <w:highlight w:val="none"/>
          <w:vertAlign w:val="baseline"/>
          <w:lang w:val="en-US" w:eastAsia="zh-CN"/>
        </w:rPr>
        <w:t>（17）多功能读卡器</w:t>
      </w:r>
      <w:bookmarkEnd w:id="336"/>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7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接触式卡支持</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≥主卡座支持 1 个 ISO7816 标准卡尺寸，采用下降式卡座，可使用</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万次。支持的卡型是符合 ISO7816 的异步卡如：T=0、T=1 的</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CPU 卡，同步卡如常用的存储卡 AT24 系列,4442,4428 等卡型；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非接触式卡支持</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≥支持读写 ISO14443 TypeA/B 的非接触卡型支持 PHILIPS 公司的</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MF1ICS50、MF1ICL10、MF1ICS70 、Mifare Pro、Mifare</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Ultralight、Mifare Desfire;</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SIEMENS 公司的 SLE44R35、SLE44R31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磁条卡支持</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1、2、3 轨的磁条的读功能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二维码扫描</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一维码： Code 128 Code 128Code 128 ，UCC/EAN -128 ，AIM 128， EAN -8，EANEAN -13 ， ISSN，ISBN ，UPC -E，UPC -A，Interleaved 2 of 5，ITF ITF-6，ITF ITF-14 ， Matrix 2 of 5(European 5)， Industrial 25，Standard 25， Code 39，Codabar，Code 93， Code 11，Plessey，MSI -Plessey， RSSRSS -14 ，RSSRSS</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-Limited，RSSRSS -Expand</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 PDF417，Data Matrix，QR ，Micro QR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（选配）</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内置公安部认可的二代证阅读模块，可读居民二代证信息。</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≥读卡距离不小于 2cm，国家公安部认证。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PSAM 卡接口</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同时可附加 2 个符合 GSM 11.11 的 Sim 的卡尺寸 SAM 卡座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状态显示</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 LED 指示灯，指示电源、通讯、读卡、交易等状态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打印接口</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≥串行接口 1 个，可外接串行票据打印机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384"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存储支持（可选）</w:t>
            </w:r>
          </w:p>
        </w:tc>
        <w:tc>
          <w:tcPr>
            <w:tcW w:w="7137" w:type="dxa"/>
            <w:noWrap w:val="0"/>
            <w:vAlign w:val="center"/>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 4MBIT 的可读写空间用于用户存储数据用，根据用户需求可</w:t>
            </w:r>
          </w:p>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可定制存储空间空量</w:t>
            </w:r>
          </w:p>
        </w:tc>
      </w:tr>
    </w:tbl>
    <w:p>
      <w:pPr>
        <w:pStyle w:val="3"/>
        <w:pageBreakBefore w:val="0"/>
        <w:shd w:val="clear"/>
        <w:kinsoku/>
        <w:wordWrap/>
        <w:topLinePunct w:val="0"/>
        <w:bidi w:val="0"/>
        <w:spacing w:before="0" w:line="240" w:lineRule="auto"/>
        <w:rPr>
          <w:rFonts w:hint="eastAsia" w:ascii="宋体" w:hAnsi="宋体" w:eastAsia="宋体" w:cs="宋体"/>
          <w:color w:val="auto"/>
          <w:sz w:val="24"/>
          <w:szCs w:val="24"/>
          <w:highlight w:val="none"/>
        </w:rPr>
      </w:pPr>
      <w:bookmarkStart w:id="337" w:name="_Toc9361"/>
      <w:r>
        <w:rPr>
          <w:rFonts w:hint="eastAsia" w:ascii="宋体" w:hAnsi="宋体" w:eastAsia="宋体" w:cs="宋体"/>
          <w:color w:val="auto"/>
          <w:sz w:val="24"/>
          <w:szCs w:val="24"/>
          <w:highlight w:val="none"/>
          <w:vertAlign w:val="baseline"/>
          <w:lang w:val="en-US" w:eastAsia="zh-CN"/>
        </w:rPr>
        <w:t>（18）移动设备</w:t>
      </w:r>
      <w:bookmarkEnd w:id="337"/>
    </w:p>
    <w:tbl>
      <w:tblPr>
        <w:tblStyle w:val="27"/>
        <w:tblW w:w="8684" w:type="dxa"/>
        <w:jc w:val="center"/>
        <w:tblLayout w:type="fixed"/>
        <w:tblCellMar>
          <w:top w:w="0" w:type="dxa"/>
          <w:left w:w="108" w:type="dxa"/>
          <w:bottom w:w="0" w:type="dxa"/>
          <w:right w:w="108" w:type="dxa"/>
        </w:tblCellMar>
      </w:tblPr>
      <w:tblGrid>
        <w:gridCol w:w="1668"/>
        <w:gridCol w:w="7016"/>
      </w:tblGrid>
      <w:tr>
        <w:tblPrEx>
          <w:tblCellMar>
            <w:top w:w="0" w:type="dxa"/>
            <w:left w:w="108" w:type="dxa"/>
            <w:bottom w:w="0" w:type="dxa"/>
            <w:right w:w="108" w:type="dxa"/>
          </w:tblCellMar>
        </w:tblPrEx>
        <w:trPr>
          <w:trHeight w:val="433"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功能模块</w:t>
            </w:r>
          </w:p>
        </w:tc>
        <w:tc>
          <w:tcPr>
            <w:tcW w:w="701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suppressLineNumbers w:val="0"/>
              <w:kinsoku/>
              <w:wordWrap/>
              <w:topLinePunct w:val="0"/>
              <w:bidi w:val="0"/>
              <w:snapToGrid/>
              <w:spacing w:before="0" w:beforeAutospacing="0" w:after="0" w:afterAutospacing="0" w:line="240" w:lineRule="auto"/>
              <w:ind w:left="0" w:right="0"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主要技术参数要求</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 2.0GHz 及以上</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 Android 9.0 及以上</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≥内存：4GB+64GB  及以上</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SIM接口</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nano SIM卡+nano SIM卡/nano SIM卡+TF卡</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用户存储扩展</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Micro SD卡（最高支持256GB）</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接口/通信</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Type C USB接口,OTG接口,PSAM（可选）</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键盘</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左右</w:t>
            </w:r>
            <w:r>
              <w:rPr>
                <w:rFonts w:hint="eastAsia" w:ascii="宋体" w:hAnsi="宋体" w:cs="宋体"/>
                <w:color w:val="auto"/>
                <w:sz w:val="24"/>
                <w:highlight w:val="none"/>
              </w:rPr>
              <w:t>2*扫描键</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显示屏幕</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屏幕要求≥5.5寸分辨率≥1440*720</w:t>
            </w:r>
          </w:p>
        </w:tc>
      </w:tr>
      <w:tr>
        <w:tblPrEx>
          <w:tblCellMar>
            <w:top w:w="0" w:type="dxa"/>
            <w:left w:w="108" w:type="dxa"/>
            <w:bottom w:w="0" w:type="dxa"/>
            <w:right w:w="108" w:type="dxa"/>
          </w:tblCellMar>
        </w:tblPrEx>
        <w:trPr>
          <w:trHeight w:val="535" w:hRule="atLeast"/>
          <w:jc w:val="center"/>
        </w:trPr>
        <w:tc>
          <w:tcPr>
            <w:tcW w:w="166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w:t>
            </w:r>
          </w:p>
        </w:tc>
        <w:tc>
          <w:tcPr>
            <w:tcW w:w="7016" w:type="dxa"/>
            <w:tcBorders>
              <w:top w:val="single" w:color="000000" w:sz="8" w:space="0"/>
              <w:left w:val="single" w:color="000000" w:sz="8" w:space="0"/>
              <w:bottom w:val="single" w:color="000000" w:sz="8" w:space="0"/>
              <w:right w:val="single" w:color="000000" w:sz="8" w:space="0"/>
            </w:tcBorders>
            <w:noWrap w:val="0"/>
            <w:vAlign w:val="bottom"/>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4200</w:t>
            </w:r>
            <w:r>
              <w:rPr>
                <w:rFonts w:hint="eastAsia" w:ascii="宋体" w:hAnsi="宋体" w:cs="宋体"/>
                <w:color w:val="auto"/>
                <w:sz w:val="24"/>
                <w:highlight w:val="none"/>
              </w:rPr>
              <w:t>0mAh锂离子电池</w:t>
            </w:r>
          </w:p>
        </w:tc>
      </w:tr>
      <w:tr>
        <w:tblPrEx>
          <w:tblCellMar>
            <w:top w:w="0" w:type="dxa"/>
            <w:left w:w="108" w:type="dxa"/>
            <w:bottom w:w="0" w:type="dxa"/>
            <w:right w:w="108" w:type="dxa"/>
          </w:tblCellMar>
        </w:tblPrEx>
        <w:trPr>
          <w:trHeight w:val="285"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Type-C充电方式，支持快速充电10W</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通知方式</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声音、振动器、LED灯指示</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内置麦克风</w:t>
            </w:r>
          </w:p>
        </w:tc>
      </w:tr>
      <w:tr>
        <w:tblPrEx>
          <w:tblCellMar>
            <w:top w:w="0" w:type="dxa"/>
            <w:left w:w="108" w:type="dxa"/>
            <w:bottom w:w="0" w:type="dxa"/>
            <w:right w:w="108" w:type="dxa"/>
          </w:tblCellMar>
        </w:tblPrEx>
        <w:trPr>
          <w:trHeight w:val="53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传感器</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重力传感器（G-Sensor）、接近传感器、光线传感器</w:t>
            </w:r>
          </w:p>
        </w:tc>
      </w:tr>
      <w:tr>
        <w:tblPrEx>
          <w:tblCellMar>
            <w:top w:w="0" w:type="dxa"/>
            <w:left w:w="108" w:type="dxa"/>
            <w:bottom w:w="0" w:type="dxa"/>
            <w:right w:w="108" w:type="dxa"/>
          </w:tblCellMar>
        </w:tblPrEx>
        <w:trPr>
          <w:trHeight w:val="53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符合人体工学，尺寸不高于157mm(H)×74mm(W)×13.6mm(T)</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重量(含标准电池)</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重量≤2</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g</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15</w:t>
            </w:r>
            <w:r>
              <w:rPr>
                <w:rFonts w:hint="eastAsia" w:ascii="宋体" w:hAnsi="宋体" w:cs="宋体"/>
                <w:color w:val="auto"/>
                <w:sz w:val="24"/>
                <w:highlight w:val="none"/>
              </w:rPr>
              <w:t>℃至+60℃</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存储温度</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rPr>
              <w:t>’-40℃至+60℃</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 to 95% RH 无凝露状态</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防水防尘工业等级</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防尘等级IP6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及以上</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跌落等级</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跌落 1.5m  及以上</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静电放电(ESD)</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±15kV空气放电，±8kV接触放电</w:t>
            </w:r>
          </w:p>
        </w:tc>
      </w:tr>
      <w:tr>
        <w:tblPrEx>
          <w:tblCellMar>
            <w:top w:w="0" w:type="dxa"/>
            <w:left w:w="108" w:type="dxa"/>
            <w:bottom w:w="0" w:type="dxa"/>
            <w:right w:w="108" w:type="dxa"/>
          </w:tblCellMar>
        </w:tblPrEx>
        <w:trPr>
          <w:trHeight w:val="285" w:hRule="atLeast"/>
          <w:jc w:val="center"/>
        </w:trPr>
        <w:tc>
          <w:tcPr>
            <w:tcW w:w="166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支持一维、二维扫描</w:t>
            </w:r>
          </w:p>
        </w:tc>
      </w:tr>
      <w:tr>
        <w:tblPrEx>
          <w:tblCellMar>
            <w:top w:w="0" w:type="dxa"/>
            <w:left w:w="108" w:type="dxa"/>
            <w:bottom w:w="0" w:type="dxa"/>
            <w:right w:w="108" w:type="dxa"/>
          </w:tblCellMar>
        </w:tblPrEx>
        <w:trPr>
          <w:trHeight w:val="285"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扫描精度≥3.33mil </w:t>
            </w:r>
          </w:p>
        </w:tc>
      </w:tr>
      <w:tr>
        <w:tblPrEx>
          <w:tblCellMar>
            <w:top w:w="0" w:type="dxa"/>
            <w:left w:w="108" w:type="dxa"/>
            <w:bottom w:w="0" w:type="dxa"/>
            <w:right w:w="108" w:type="dxa"/>
          </w:tblCellMar>
        </w:tblPrEx>
        <w:trPr>
          <w:trHeight w:val="285" w:hRule="atLeast"/>
          <w:jc w:val="center"/>
        </w:trPr>
        <w:tc>
          <w:tcPr>
            <w:tcW w:w="166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运动容差≤8m/s</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支持双摄像头</w:t>
            </w:r>
          </w:p>
        </w:tc>
      </w:tr>
      <w:tr>
        <w:tblPrEx>
          <w:tblCellMar>
            <w:top w:w="0" w:type="dxa"/>
            <w:left w:w="108" w:type="dxa"/>
            <w:bottom w:w="0" w:type="dxa"/>
            <w:right w:w="108" w:type="dxa"/>
          </w:tblCellMar>
        </w:tblPrEx>
        <w:trPr>
          <w:trHeight w:val="237"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条码引擎</w:t>
            </w:r>
          </w:p>
        </w:tc>
        <w:tc>
          <w:tcPr>
            <w:tcW w:w="7016" w:type="dxa"/>
            <w:tcBorders>
              <w:top w:val="single" w:color="000000" w:sz="8" w:space="0"/>
              <w:left w:val="single" w:color="000000" w:sz="8" w:space="0"/>
              <w:bottom w:val="single" w:color="000000" w:sz="8" w:space="0"/>
              <w:right w:val="single" w:color="000000" w:sz="8" w:space="0"/>
            </w:tcBorders>
            <w:noWrap w:val="0"/>
            <w:vAlign w:val="bottom"/>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支持国际通用的二维条码</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NFC</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无</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GPS</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GPS</w:t>
            </w:r>
          </w:p>
        </w:tc>
      </w:tr>
      <w:tr>
        <w:tblPrEx>
          <w:tblCellMar>
            <w:top w:w="0" w:type="dxa"/>
            <w:left w:w="108" w:type="dxa"/>
            <w:bottom w:w="0" w:type="dxa"/>
            <w:right w:w="108" w:type="dxa"/>
          </w:tblCellMar>
        </w:tblPrEx>
        <w:trPr>
          <w:trHeight w:val="53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 802.11 a/b/g/n/ac/（双频 Wi-Fi: 2.4G+5G）</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4G</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4G 全网通</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蓝牙</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Bluetooth 5.0，支持BLE</w:t>
            </w:r>
          </w:p>
        </w:tc>
      </w:tr>
      <w:tr>
        <w:tblPrEx>
          <w:tblCellMar>
            <w:top w:w="0" w:type="dxa"/>
            <w:left w:w="108" w:type="dxa"/>
            <w:bottom w:w="0" w:type="dxa"/>
            <w:right w:w="108" w:type="dxa"/>
          </w:tblCellMar>
        </w:tblPrEx>
        <w:trPr>
          <w:trHeight w:val="28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配件</w:t>
            </w:r>
          </w:p>
        </w:tc>
        <w:tc>
          <w:tcPr>
            <w:tcW w:w="70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USB数据线*1，电源适配器*1，手绳*1</w:t>
            </w:r>
          </w:p>
        </w:tc>
      </w:tr>
      <w:tr>
        <w:tblPrEx>
          <w:tblCellMar>
            <w:top w:w="0" w:type="dxa"/>
            <w:left w:w="108" w:type="dxa"/>
            <w:bottom w:w="0" w:type="dxa"/>
            <w:right w:w="108" w:type="dxa"/>
          </w:tblCellMar>
        </w:tblPrEx>
        <w:trPr>
          <w:trHeight w:val="295" w:hRule="atLeast"/>
          <w:jc w:val="center"/>
        </w:trPr>
        <w:tc>
          <w:tcPr>
            <w:tcW w:w="1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消毒</w:t>
            </w:r>
          </w:p>
        </w:tc>
        <w:tc>
          <w:tcPr>
            <w:tcW w:w="7016" w:type="dxa"/>
            <w:tcBorders>
              <w:top w:val="single" w:color="000000" w:sz="8" w:space="0"/>
              <w:left w:val="single" w:color="000000" w:sz="8" w:space="0"/>
              <w:bottom w:val="single" w:color="000000" w:sz="8" w:space="0"/>
              <w:right w:val="single" w:color="000000" w:sz="8" w:space="0"/>
            </w:tcBorders>
            <w:noWrap w:val="0"/>
            <w:vAlign w:val="bottom"/>
          </w:tcPr>
          <w:p>
            <w:pPr>
              <w:keepNext w:val="0"/>
              <w:keepLines w:val="0"/>
              <w:pageBreakBefore w:val="0"/>
              <w:suppressLineNumbers w:val="0"/>
              <w:shd w:val="clear"/>
              <w:kinsoku/>
              <w:wordWrap/>
              <w:topLinePunct w:val="0"/>
              <w:bidi w:val="0"/>
              <w:snapToGrid/>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为防止感染，设备需能经受过氧化氢及酒精擦拭</w:t>
            </w:r>
          </w:p>
        </w:tc>
      </w:tr>
    </w:tbl>
    <w:p>
      <w:pPr>
        <w:pStyle w:val="3"/>
        <w:bidi w:val="0"/>
        <w:rPr>
          <w:rFonts w:hint="eastAsia"/>
          <w:highlight w:val="none"/>
          <w:lang w:val="en-US" w:eastAsia="zh-CN"/>
        </w:rPr>
      </w:pPr>
      <w:bookmarkStart w:id="338" w:name="_Toc13615"/>
      <w:r>
        <w:rPr>
          <w:rFonts w:hint="eastAsia"/>
          <w:highlight w:val="none"/>
          <w:lang w:val="en-US" w:eastAsia="zh-CN"/>
        </w:rPr>
        <w:t>6、商务及其他相关要求：</w:t>
      </w:r>
      <w:bookmarkEnd w:id="338"/>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（1）投标人应就该项目完整投标（报价含成本费、人工费、调试费、验收费、运输、培训、税费、利润等综合费用），否则为无效投标。</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（2）投标文件中须有详细的实施（技术）方案。</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（3）产品必须符合国家相关标准和本招标文件规定标准，</w:t>
      </w:r>
    </w:p>
    <w:p>
      <w:pPr>
        <w:pStyle w:val="22"/>
        <w:pageBreakBefore w:val="0"/>
        <w:kinsoku/>
        <w:wordWrap/>
        <w:overflowPunct/>
        <w:topLinePunct w:val="0"/>
        <w:autoSpaceDE/>
        <w:autoSpaceDN/>
        <w:bidi w:val="0"/>
        <w:adjustRightInd/>
        <w:snapToGrid w:val="0"/>
        <w:spacing w:before="0" w:beforeAutospacing="0" w:after="0" w:afterAutospacing="0" w:line="360" w:lineRule="auto"/>
        <w:ind w:left="0" w:leftChars="0" w:firstLine="420" w:firstLineChars="175"/>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（4）专利权：投标人应保证用户在使用该软件或其任何一部分时不受第三方提出侵犯其专利权、商标权和工业设计权等的起诉。</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7、对货物的基本要求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1）投标人所提供的产品必须为投标货物生产厂家提供的原厂设备，包装未开封，而且设备（包括零部件）应是交付前最新生产或技术较为先进的且未被使用过的全新设备，同时必须在中国境内具有合法使用权。</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（2）招标文件中没有列出，而对产品的正常运行和维护必不可少的备件、专用工具和消耗品，投标人有责任予以补充，并报出单项价格。</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（3）运行要求：产品安装后能够接通并正常运转、如涉及到软件产品的须能够在采购人相应平台上正常运行，并达到招标文件要求的性能和产品技术规格中的性能。</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（4）投标人必须按照招标文件格式提供投标产品的分项报价及详细的配置清单。</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8、安装调试要求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（1）中标人应及时向采购人提供设备及服务，并承诺与采购人进行积极主动的合作，中标人必须服从采购人的统一协调，在设备供货、技术支持、运行维护等方面相互配合；</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2）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（3）产品未经验收时，由中标人负责保管至采购项目交货结束；</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（4）设备到货后中标人应免费派技术人员在现场安装、调试；</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（5）中标人应遵守采购单位安装现场的一切规章制度；</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（6）</w:t>
      </w:r>
      <w:r>
        <w:rPr>
          <w:rFonts w:hint="eastAsia" w:asciiTheme="minorEastAsia" w:hAnsiTheme="minorEastAsia" w:eastAsiaTheme="minorEastAsia"/>
          <w:color w:val="000000" w:themeColor="text1"/>
          <w:highlight w:val="none"/>
          <w:lang w:val="en-US" w:eastAsia="zh-CN"/>
          <w14:textFill>
            <w14:solidFill>
              <w14:schemeClr w14:val="tx1"/>
            </w14:solidFill>
          </w14:textFill>
        </w:rPr>
        <w:t>中标人在</w:t>
      </w:r>
      <w:r>
        <w:rPr>
          <w:rFonts w:hint="eastAsia" w:asciiTheme="minorEastAsia" w:hAnsiTheme="minorEastAsia" w:eastAsiaTheme="minorEastAsia"/>
          <w:color w:val="000000"/>
          <w:highlight w:val="none"/>
          <w:lang w:val="en-US" w:eastAsia="zh-CN"/>
        </w:rPr>
        <w:t>设备全部安装完工并通过采购方的验收之前应对安装好的设备及设备的安装工具等提</w:t>
      </w:r>
      <w:r>
        <w:rPr>
          <w:rFonts w:hint="eastAsia" w:asciiTheme="minorEastAsia" w:hAnsiTheme="minorEastAsia" w:eastAsiaTheme="minorEastAsia"/>
          <w:color w:val="auto"/>
          <w:highlight w:val="none"/>
          <w:lang w:val="en-US" w:eastAsia="zh-CN"/>
        </w:rPr>
        <w:t>供适当的保护</w:t>
      </w:r>
      <w:r>
        <w:rPr>
          <w:rFonts w:hint="eastAsia" w:asciiTheme="minorEastAsia" w:hAnsiTheme="minorEastAsia" w:eastAsiaTheme="minorEastAsia"/>
          <w:color w:val="000000"/>
          <w:highlight w:val="none"/>
          <w:lang w:val="en-US" w:eastAsia="zh-CN"/>
        </w:rPr>
        <w:t>，</w:t>
      </w:r>
      <w:r>
        <w:rPr>
          <w:rFonts w:hint="eastAsia" w:asciiTheme="minorEastAsia" w:hAnsiTheme="minorEastAsia" w:eastAsiaTheme="minorEastAsia"/>
          <w:color w:val="000000"/>
          <w:highlight w:val="none"/>
          <w:lang w:val="en-US" w:eastAsia="zh-CN"/>
        </w:rPr>
        <w:t>直至验收合格，以免设备受损；</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（7）安装调试人员在安装中对其他邻近设备、管线等造成损坏，应负责修复及承担一切费用；</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（8）调试期间或保修过程中，中标人负责及时清理垃圾，并将包装物及垃圾堆放至采购人指定地点。</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9、验收要求：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（1）采购人应当及时对采购项目进行验收。</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（2）需方成立验收工作组，按照招标文件规定、中标人投标文件承诺，及国家有关规定认真组织验收工作。</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3）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（4）验收中设备出现性能指标或功能上不符合招标文件和合同要求时，采购人有拒收的权利；</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（5）验收中出现不符合招标文件和合同要求的严重质量问题时，采购人保留索赔的权利；</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（6）在安装现场直至进行最终验收所发生的一切费用均由中标人承担；</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val="en-US" w:eastAsia="zh-CN"/>
        </w:rPr>
        <w:t>（7）供应商所提供的货物/工程须符合国家强制性规定或相关法律法规要求；</w:t>
      </w:r>
    </w:p>
    <w:p>
      <w:pPr>
        <w:pStyle w:val="22"/>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bCs/>
          <w:sz w:val="28"/>
          <w:szCs w:val="28"/>
          <w:highlight w:val="none"/>
          <w:lang w:eastAsia="zh-CN"/>
        </w:rPr>
      </w:pPr>
      <w:r>
        <w:rPr>
          <w:rFonts w:hint="eastAsia" w:asciiTheme="minorEastAsia" w:hAnsiTheme="minorEastAsia" w:eastAsiaTheme="minorEastAsia"/>
          <w:color w:val="000000"/>
          <w:highlight w:val="none"/>
          <w:lang w:val="en-US" w:eastAsia="zh-CN"/>
        </w:rPr>
        <w:t>（8）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pStyle w:val="2"/>
        <w:keepNext/>
        <w:keepLines/>
        <w:pageBreakBefore/>
        <w:widowControl w:val="0"/>
        <w:kinsoku/>
        <w:wordWrap/>
        <w:overflowPunct/>
        <w:topLinePunct w:val="0"/>
        <w:autoSpaceDE/>
        <w:autoSpaceDN/>
        <w:bidi w:val="0"/>
        <w:adjustRightInd/>
        <w:snapToGrid/>
        <w:spacing w:before="0" w:after="0" w:line="360" w:lineRule="auto"/>
        <w:ind w:firstLine="643" w:firstLineChars="200"/>
        <w:textAlignment w:val="auto"/>
        <w:rPr>
          <w:rFonts w:ascii="宋体" w:hAnsi="宋体" w:cs="宋体"/>
          <w:highlight w:val="none"/>
        </w:rPr>
      </w:pPr>
      <w:bookmarkStart w:id="339" w:name="_Toc14121"/>
      <w:bookmarkStart w:id="340" w:name="_Toc24503"/>
      <w:bookmarkStart w:id="341" w:name="_Toc16517"/>
      <w:bookmarkStart w:id="342" w:name="_Toc30905"/>
      <w:r>
        <w:rPr>
          <w:rFonts w:hint="eastAsia" w:ascii="宋体" w:hAnsi="宋体" w:cs="宋体"/>
          <w:sz w:val="32"/>
          <w:szCs w:val="32"/>
          <w:highlight w:val="none"/>
        </w:rPr>
        <w:t>第六章 质疑与投诉</w:t>
      </w:r>
      <w:bookmarkEnd w:id="339"/>
      <w:bookmarkEnd w:id="340"/>
      <w:bookmarkEnd w:id="341"/>
      <w:bookmarkEnd w:id="34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一、质疑与答复</w:t>
      </w:r>
    </w:p>
    <w:p>
      <w:pPr>
        <w:pStyle w:val="25"/>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供应商提出质疑应当提交质疑函和必要的证明材料。政府采购供应商质疑函范本下载地址：</w:t>
      </w:r>
    </w:p>
    <w:p>
      <w:pPr>
        <w:pStyle w:val="2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"http://download.ccgp.gov.cn/2018/zhiyihanfanben.zip；" </w:instrText>
      </w:r>
      <w:r>
        <w:rPr>
          <w:rFonts w:hint="eastAsia" w:ascii="宋体" w:hAnsi="宋体" w:eastAsia="宋体" w:cs="宋体"/>
          <w:sz w:val="21"/>
          <w:szCs w:val="21"/>
          <w:highlight w:val="none"/>
        </w:rPr>
        <w:fldChar w:fldCharType="separate"/>
      </w:r>
      <w:r>
        <w:rPr>
          <w:rStyle w:val="31"/>
          <w:rFonts w:hint="eastAsia" w:ascii="宋体" w:hAnsi="宋体" w:eastAsia="宋体" w:cs="宋体"/>
          <w:color w:val="auto"/>
          <w:sz w:val="21"/>
          <w:szCs w:val="21"/>
          <w:highlight w:val="none"/>
        </w:rPr>
        <w:t>http://download.ccgp.gov.cn/2018/zhiyihanfanben.zip；</w:t>
      </w:r>
      <w:r>
        <w:rPr>
          <w:rStyle w:val="31"/>
          <w:rFonts w:hint="eastAsia" w:ascii="宋体" w:hAnsi="宋体" w:eastAsia="宋体" w:cs="宋体"/>
          <w:color w:val="auto"/>
          <w:sz w:val="21"/>
          <w:szCs w:val="21"/>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供应商提出质疑应当提交质疑函和必要的证明材料。质疑函应当包括下列内容：</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供应商的姓名或者名称、地址、邮编、联系人及联系电话；</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质疑项目的名称、编号；</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具体、明确的质疑事项和与质疑事项相关的请求；</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事实依据；</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必要的法律依据；</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提出质疑的日期；</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获取招标文件的凭证；</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以上资料一式二份（采购人、采购代理机构各执一份）。</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投标人不得虚假质疑和恶意质疑，并对质疑内容的真实性承担责任。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二、投诉与处理</w:t>
      </w:r>
    </w:p>
    <w:p>
      <w:pPr>
        <w:pStyle w:val="25"/>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1、质疑供应商对采购人、采购代理机构的答复不满意，或者采购人、采购代理机构未在规定时间内作出答复的，可以在答复期满后15个工作日内向本办法第六条规定</w:t>
      </w:r>
      <w:r>
        <w:rPr>
          <w:rFonts w:hint="eastAsia" w:ascii="宋体" w:hAnsi="宋体" w:eastAsia="宋体" w:cs="宋体"/>
          <w:sz w:val="21"/>
          <w:szCs w:val="21"/>
          <w:highlight w:val="none"/>
          <w:lang w:val="en-US" w:eastAsia="zh-CN"/>
        </w:rPr>
        <w:t>向相关部门</w:t>
      </w:r>
      <w:r>
        <w:rPr>
          <w:rFonts w:hint="eastAsia" w:ascii="宋体" w:hAnsi="宋体" w:eastAsia="宋体" w:cs="宋体"/>
          <w:sz w:val="21"/>
          <w:szCs w:val="21"/>
          <w:highlight w:val="none"/>
        </w:rPr>
        <w:t>提起投诉。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2、质疑供应商对采购人、采购代理机构的答复不满意，或者采购人、采购代理机构未在规定时间内作出答复的，可以在答复期满后15个工作日内</w:t>
      </w:r>
      <w:r>
        <w:rPr>
          <w:rFonts w:hint="eastAsia" w:ascii="宋体" w:hAnsi="宋体" w:eastAsia="宋体" w:cs="宋体"/>
          <w:sz w:val="21"/>
          <w:szCs w:val="21"/>
          <w:highlight w:val="none"/>
          <w:lang w:val="en-US" w:eastAsia="zh-CN"/>
        </w:rPr>
        <w:t>向相关部门</w:t>
      </w:r>
      <w:r>
        <w:rPr>
          <w:rFonts w:hint="eastAsia" w:ascii="宋体" w:hAnsi="宋体" w:eastAsia="宋体" w:cs="宋体"/>
          <w:sz w:val="21"/>
          <w:szCs w:val="21"/>
          <w:highlight w:val="none"/>
        </w:rPr>
        <w:t>提起投诉。</w:t>
      </w:r>
    </w:p>
    <w:p>
      <w:pPr>
        <w:pStyle w:val="25"/>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"http://download.ccgp.gov.cn/2018/tousushufanben.zip" </w:instrText>
      </w:r>
      <w:r>
        <w:rPr>
          <w:rFonts w:hint="eastAsia" w:ascii="宋体" w:hAnsi="宋体" w:eastAsia="宋体" w:cs="宋体"/>
          <w:sz w:val="21"/>
          <w:szCs w:val="21"/>
          <w:highlight w:val="none"/>
        </w:rPr>
        <w:fldChar w:fldCharType="separate"/>
      </w:r>
      <w:r>
        <w:rPr>
          <w:rStyle w:val="31"/>
          <w:rFonts w:hint="eastAsia" w:ascii="宋体" w:hAnsi="宋体" w:eastAsia="宋体" w:cs="宋体"/>
          <w:color w:val="auto"/>
          <w:sz w:val="21"/>
          <w:szCs w:val="21"/>
          <w:highlight w:val="none"/>
        </w:rPr>
        <w:t>http://download.ccgp.gov.cn/2018/tousushufanben.zip</w:t>
      </w:r>
      <w:r>
        <w:rPr>
          <w:rStyle w:val="31"/>
          <w:rFonts w:hint="eastAsia" w:ascii="宋体" w:hAnsi="宋体" w:eastAsia="宋体" w:cs="宋体"/>
          <w:color w:val="auto"/>
          <w:sz w:val="21"/>
          <w:szCs w:val="21"/>
          <w:highlight w:val="none"/>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相关部门</w:t>
      </w:r>
      <w:r>
        <w:rPr>
          <w:rFonts w:hint="eastAsia" w:ascii="宋体" w:hAnsi="宋体" w:eastAsia="宋体" w:cs="宋体"/>
          <w:sz w:val="21"/>
          <w:szCs w:val="21"/>
          <w:highlight w:val="none"/>
        </w:rPr>
        <w:t>自收到投诉之日起30个工作日内，对投诉事项作出处理决定并公示。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p>
    <w:p>
      <w:pPr>
        <w:pStyle w:val="2"/>
        <w:keepNext/>
        <w:keepLines/>
        <w:pageBreakBefore/>
        <w:widowControl w:val="0"/>
        <w:kinsoku/>
        <w:wordWrap/>
        <w:overflowPunct/>
        <w:topLinePunct w:val="0"/>
        <w:autoSpaceDE/>
        <w:autoSpaceDN/>
        <w:bidi w:val="0"/>
        <w:adjustRightInd/>
        <w:snapToGrid/>
        <w:spacing w:before="0" w:after="0" w:line="360" w:lineRule="auto"/>
        <w:textAlignment w:val="auto"/>
        <w:rPr>
          <w:rFonts w:ascii="宋体" w:hAnsi="宋体" w:cs="宋体"/>
          <w:sz w:val="32"/>
          <w:szCs w:val="32"/>
          <w:highlight w:val="none"/>
        </w:rPr>
      </w:pPr>
      <w:bookmarkStart w:id="343" w:name="_Toc4521"/>
      <w:bookmarkStart w:id="344" w:name="_Toc9541"/>
      <w:bookmarkStart w:id="345" w:name="_Toc8922"/>
      <w:bookmarkStart w:id="346" w:name="_Toc10709"/>
      <w:r>
        <w:rPr>
          <w:rFonts w:hint="eastAsia" w:ascii="宋体" w:hAnsi="宋体" w:cs="宋体"/>
          <w:sz w:val="32"/>
          <w:szCs w:val="32"/>
          <w:highlight w:val="none"/>
        </w:rPr>
        <w:t>第七章 履约验收</w:t>
      </w:r>
      <w:bookmarkEnd w:id="343"/>
      <w:bookmarkEnd w:id="344"/>
      <w:bookmarkEnd w:id="345"/>
      <w:bookmarkEnd w:id="346"/>
    </w:p>
    <w:p>
      <w:pPr>
        <w:pStyle w:val="25"/>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供应商履约完成后，向采购人提出验收建议，采购人自收到验收建议之日起七个工作日内，采购人组织供应商参与，共同完成验收。技术复杂、专业性强等项目可适当延长验收时间。验收流程如下：</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按照合同履约验收。验收时，应当按照采购合同的约定对每一项技术、服务、安全标准的履约情况进行确认。验收后，应当出具验收书，列明各项标准的验收情况及项目的总体评价，由验收双方共同签署。履约验收各项资料采购人应当存档备查。</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ascii="宋体" w:hAnsi="宋体" w:eastAsia="宋体" w:cs="宋体"/>
          <w:sz w:val="21"/>
          <w:szCs w:val="21"/>
          <w:highlight w:val="none"/>
        </w:rPr>
      </w:pPr>
      <w:r>
        <w:rPr>
          <w:rFonts w:hint="eastAsia" w:ascii="宋体" w:hAnsi="宋体" w:eastAsia="宋体" w:cs="宋体"/>
          <w:sz w:val="21"/>
          <w:szCs w:val="21"/>
          <w:highlight w:val="none"/>
        </w:rPr>
        <w:t>4.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0"/>
        <w:rPr>
          <w:rFonts w:ascii="宋体" w:hAnsi="宋体" w:cs="宋体"/>
          <w:szCs w:val="21"/>
          <w:highlight w:val="none"/>
        </w:rPr>
      </w:pPr>
    </w:p>
    <w:p>
      <w:pPr>
        <w:pStyle w:val="2"/>
        <w:keepNext/>
        <w:keepLines/>
        <w:pageBreakBefore/>
        <w:widowControl w:val="0"/>
        <w:kinsoku/>
        <w:wordWrap/>
        <w:overflowPunct/>
        <w:topLinePunct w:val="0"/>
        <w:autoSpaceDE/>
        <w:autoSpaceDN/>
        <w:bidi w:val="0"/>
        <w:adjustRightInd/>
        <w:snapToGrid/>
        <w:spacing w:before="0" w:after="0" w:line="360" w:lineRule="auto"/>
        <w:textAlignment w:val="auto"/>
        <w:rPr>
          <w:rFonts w:ascii="宋体" w:hAnsi="宋体" w:cs="宋体"/>
          <w:sz w:val="32"/>
          <w:szCs w:val="32"/>
          <w:highlight w:val="none"/>
        </w:rPr>
      </w:pPr>
      <w:bookmarkStart w:id="347" w:name="_Toc19054"/>
      <w:bookmarkStart w:id="348" w:name="_Toc475"/>
      <w:bookmarkStart w:id="349" w:name="_Toc23628"/>
      <w:bookmarkStart w:id="350" w:name="_Toc12999"/>
      <w:bookmarkStart w:id="351" w:name="_Toc32399"/>
      <w:bookmarkStart w:id="352" w:name="_Toc21284"/>
      <w:r>
        <w:rPr>
          <w:rFonts w:hint="eastAsia" w:ascii="宋体" w:hAnsi="宋体" w:cs="宋体"/>
          <w:sz w:val="32"/>
          <w:szCs w:val="32"/>
          <w:highlight w:val="none"/>
        </w:rPr>
        <w:t>第八章 投标文件格式</w:t>
      </w:r>
      <w:bookmarkEnd w:id="312"/>
      <w:bookmarkEnd w:id="313"/>
      <w:bookmarkEnd w:id="314"/>
      <w:bookmarkEnd w:id="347"/>
      <w:bookmarkEnd w:id="348"/>
      <w:bookmarkEnd w:id="349"/>
      <w:bookmarkEnd w:id="350"/>
      <w:bookmarkEnd w:id="351"/>
      <w:bookmarkEnd w:id="352"/>
    </w:p>
    <w:p>
      <w:pPr>
        <w:rPr>
          <w:rFonts w:ascii="宋体" w:hAnsi="宋体" w:cs="宋体"/>
          <w:highlight w:val="none"/>
        </w:rPr>
      </w:pPr>
      <w:bookmarkStart w:id="353" w:name="_Toc18905"/>
      <w:bookmarkStart w:id="354" w:name="_Toc27452"/>
      <w:bookmarkStart w:id="355" w:name="_Toc402961301"/>
      <w:bookmarkStart w:id="356" w:name="_Toc403122573"/>
    </w:p>
    <w:bookmarkEnd w:id="353"/>
    <w:bookmarkEnd w:id="354"/>
    <w:bookmarkEnd w:id="355"/>
    <w:bookmarkEnd w:id="356"/>
    <w:p>
      <w:pPr>
        <w:ind w:firstLine="2891" w:firstLineChars="800"/>
        <w:rPr>
          <w:rFonts w:ascii="宋体" w:hAnsi="宋体" w:cs="宋体"/>
          <w:b/>
          <w:sz w:val="36"/>
          <w:szCs w:val="36"/>
          <w:highlight w:val="none"/>
        </w:rPr>
      </w:pPr>
    </w:p>
    <w:p>
      <w:pPr>
        <w:jc w:val="center"/>
        <w:rPr>
          <w:rFonts w:ascii="宋体" w:hAnsi="宋体" w:cs="宋体"/>
          <w:highlight w:val="none"/>
        </w:rPr>
      </w:pPr>
      <w:r>
        <w:rPr>
          <w:rFonts w:hint="eastAsia" w:ascii="宋体" w:hAnsi="宋体" w:cs="宋体"/>
          <w:b/>
          <w:sz w:val="36"/>
          <w:szCs w:val="36"/>
          <w:highlight w:val="none"/>
        </w:rPr>
        <w:t>（项目名称）</w:t>
      </w:r>
    </w:p>
    <w:p>
      <w:pPr>
        <w:spacing w:line="360" w:lineRule="auto"/>
        <w:jc w:val="center"/>
        <w:rPr>
          <w:rFonts w:ascii="宋体" w:hAnsi="宋体" w:cs="宋体"/>
          <w:b/>
          <w:sz w:val="32"/>
          <w:szCs w:val="32"/>
          <w:highlight w:val="none"/>
        </w:rPr>
      </w:pPr>
    </w:p>
    <w:p>
      <w:pPr>
        <w:pStyle w:val="26"/>
        <w:rPr>
          <w:rFonts w:ascii="宋体" w:hAnsi="宋体" w:cs="宋体"/>
          <w:highlight w:val="none"/>
        </w:rPr>
      </w:pPr>
    </w:p>
    <w:p>
      <w:pPr>
        <w:pStyle w:val="26"/>
        <w:rPr>
          <w:rFonts w:ascii="宋体" w:hAnsi="宋体" w:cs="宋体"/>
          <w:highlight w:val="none"/>
        </w:rPr>
      </w:pPr>
    </w:p>
    <w:p>
      <w:pPr>
        <w:pStyle w:val="26"/>
        <w:rPr>
          <w:rFonts w:ascii="宋体" w:hAnsi="宋体" w:cs="宋体"/>
          <w:highlight w:val="none"/>
        </w:rPr>
      </w:pPr>
    </w:p>
    <w:p>
      <w:pPr>
        <w:spacing w:line="360" w:lineRule="auto"/>
        <w:jc w:val="center"/>
        <w:rPr>
          <w:rFonts w:ascii="宋体" w:hAnsi="宋体" w:cs="宋体"/>
          <w:b/>
          <w:spacing w:val="24"/>
          <w:kern w:val="10"/>
          <w:sz w:val="52"/>
          <w:szCs w:val="52"/>
          <w:highlight w:val="none"/>
        </w:rPr>
      </w:pPr>
      <w:r>
        <w:rPr>
          <w:rFonts w:hint="eastAsia" w:ascii="宋体" w:hAnsi="宋体" w:cs="宋体"/>
          <w:b/>
          <w:spacing w:val="24"/>
          <w:kern w:val="10"/>
          <w:sz w:val="52"/>
          <w:szCs w:val="52"/>
          <w:highlight w:val="none"/>
        </w:rPr>
        <w:t>投  标  文  件</w:t>
      </w:r>
    </w:p>
    <w:p>
      <w:pPr>
        <w:jc w:val="center"/>
        <w:rPr>
          <w:rFonts w:ascii="宋体" w:hAnsi="宋体" w:cs="宋体"/>
          <w:sz w:val="24"/>
          <w:highlight w:val="none"/>
        </w:rPr>
      </w:pPr>
    </w:p>
    <w:p>
      <w:pPr>
        <w:pStyle w:val="7"/>
        <w:rPr>
          <w:rFonts w:ascii="宋体" w:hAnsi="宋体" w:cs="宋体"/>
          <w:highlight w:val="none"/>
        </w:rPr>
      </w:pPr>
      <w:r>
        <w:rPr>
          <w:rFonts w:hint="eastAsia" w:ascii="宋体" w:hAnsi="宋体" w:cs="宋体"/>
          <w:highlight w:val="none"/>
        </w:rPr>
        <w:t xml:space="preserve"> </w:t>
      </w:r>
    </w:p>
    <w:p>
      <w:pPr>
        <w:jc w:val="center"/>
        <w:rPr>
          <w:rFonts w:ascii="宋体" w:hAnsi="宋体" w:cs="宋体"/>
          <w:sz w:val="24"/>
          <w:highlight w:val="none"/>
        </w:rPr>
      </w:pPr>
      <w:r>
        <w:rPr>
          <w:rFonts w:hint="eastAsia" w:ascii="宋体" w:hAnsi="宋体" w:cs="宋体"/>
          <w:sz w:val="24"/>
          <w:highlight w:val="none"/>
        </w:rPr>
        <w:t>（封面）</w:t>
      </w: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b/>
          <w:sz w:val="24"/>
          <w:highlight w:val="none"/>
        </w:rPr>
      </w:pPr>
    </w:p>
    <w:p>
      <w:pPr>
        <w:pStyle w:val="14"/>
        <w:spacing w:line="600" w:lineRule="exact"/>
        <w:ind w:left="1050" w:leftChars="500" w:firstLine="1152" w:firstLineChars="450"/>
        <w:rPr>
          <w:rFonts w:hint="default" w:hAnsi="宋体" w:cs="宋体"/>
          <w:sz w:val="24"/>
          <w:highlight w:val="none"/>
        </w:rPr>
      </w:pPr>
      <w:r>
        <w:rPr>
          <w:rFonts w:hAnsi="宋体" w:cs="宋体"/>
          <w:spacing w:val="8"/>
          <w:sz w:val="24"/>
          <w:highlight w:val="none"/>
        </w:rPr>
        <w:t>供  应  商：</w:t>
      </w:r>
      <w:r>
        <w:rPr>
          <w:rFonts w:hAnsi="宋体" w:cs="宋体"/>
          <w:sz w:val="24"/>
          <w:highlight w:val="none"/>
        </w:rPr>
        <w:t>（企业电子签章）</w:t>
      </w:r>
    </w:p>
    <w:p>
      <w:pPr>
        <w:pStyle w:val="14"/>
        <w:spacing w:line="600" w:lineRule="exact"/>
        <w:ind w:left="1050" w:leftChars="500" w:firstLine="1200" w:firstLineChars="500"/>
        <w:rPr>
          <w:rFonts w:hint="default" w:hAnsi="宋体" w:cs="宋体"/>
          <w:sz w:val="24"/>
          <w:highlight w:val="none"/>
        </w:rPr>
      </w:pPr>
      <w:r>
        <w:rPr>
          <w:rFonts w:hAnsi="宋体" w:cs="宋体"/>
          <w:sz w:val="24"/>
          <w:highlight w:val="none"/>
        </w:rPr>
        <w:t>法定代表人或</w:t>
      </w:r>
      <w:r>
        <w:rPr>
          <w:rFonts w:hAnsi="宋体" w:cs="宋体"/>
          <w:spacing w:val="12"/>
          <w:sz w:val="24"/>
          <w:highlight w:val="none"/>
        </w:rPr>
        <w:t>委托代理人：</w:t>
      </w:r>
      <w:r>
        <w:rPr>
          <w:rFonts w:hAnsi="宋体" w:cs="宋体"/>
          <w:sz w:val="24"/>
          <w:highlight w:val="none"/>
        </w:rPr>
        <w:t xml:space="preserve">（签字或盖章）  </w:t>
      </w:r>
    </w:p>
    <w:p>
      <w:pPr>
        <w:pStyle w:val="14"/>
        <w:spacing w:line="600" w:lineRule="exact"/>
        <w:ind w:left="1050" w:leftChars="500" w:firstLine="1200" w:firstLineChars="500"/>
        <w:rPr>
          <w:rFonts w:hint="default" w:hAnsi="宋体" w:cs="宋体"/>
          <w:b/>
          <w:bCs/>
          <w:sz w:val="28"/>
          <w:szCs w:val="28"/>
          <w:highlight w:val="none"/>
        </w:rPr>
      </w:pPr>
      <w:r>
        <w:rPr>
          <w:rFonts w:hAnsi="宋体" w:cs="宋体"/>
          <w:sz w:val="24"/>
          <w:highlight w:val="none"/>
        </w:rPr>
        <w:t>日       期：       年    月    日</w:t>
      </w:r>
    </w:p>
    <w:p>
      <w:pPr>
        <w:ind w:firstLine="540" w:firstLineChars="192"/>
        <w:jc w:val="center"/>
        <w:rPr>
          <w:rFonts w:ascii="宋体" w:hAnsi="宋体" w:cs="宋体"/>
          <w:b/>
          <w:bCs/>
          <w:sz w:val="28"/>
          <w:szCs w:val="28"/>
          <w:highlight w:val="none"/>
        </w:rPr>
      </w:pPr>
    </w:p>
    <w:p>
      <w:pPr>
        <w:ind w:firstLine="848" w:firstLineChars="192"/>
        <w:jc w:val="center"/>
        <w:rPr>
          <w:rFonts w:ascii="宋体" w:hAnsi="宋体" w:cs="宋体"/>
          <w:b/>
          <w:bCs/>
          <w:sz w:val="44"/>
          <w:szCs w:val="44"/>
          <w:highlight w:val="none"/>
        </w:rPr>
      </w:pPr>
    </w:p>
    <w:p>
      <w:pPr>
        <w:pStyle w:val="25"/>
        <w:ind w:firstLine="320"/>
        <w:rPr>
          <w:rFonts w:hint="default"/>
          <w:highlight w:val="none"/>
        </w:rPr>
      </w:pPr>
    </w:p>
    <w:p>
      <w:pPr>
        <w:pStyle w:val="26"/>
        <w:ind w:firstLine="883"/>
        <w:rPr>
          <w:rFonts w:ascii="宋体" w:hAnsi="宋体" w:cs="宋体"/>
          <w:b/>
          <w:bCs/>
          <w:sz w:val="44"/>
          <w:szCs w:val="44"/>
          <w:highlight w:val="none"/>
        </w:rPr>
      </w:pPr>
    </w:p>
    <w:p>
      <w:pPr>
        <w:jc w:val="center"/>
        <w:rPr>
          <w:rFonts w:ascii="宋体" w:hAnsi="宋体" w:cs="宋体"/>
          <w:sz w:val="24"/>
          <w:highlight w:val="none"/>
        </w:rPr>
      </w:pPr>
      <w:r>
        <w:rPr>
          <w:rFonts w:hint="eastAsia" w:ascii="宋体" w:hAnsi="宋体" w:cs="宋体"/>
          <w:b/>
          <w:bCs/>
          <w:sz w:val="44"/>
          <w:szCs w:val="44"/>
          <w:highlight w:val="none"/>
        </w:rPr>
        <w:t>目 录</w:t>
      </w:r>
    </w:p>
    <w:p>
      <w:pPr>
        <w:widowControl/>
        <w:spacing w:line="360" w:lineRule="auto"/>
        <w:jc w:val="center"/>
        <w:rPr>
          <w:rFonts w:hint="eastAsia" w:ascii="宋体" w:hAnsi="宋体" w:cs="宋体"/>
          <w:szCs w:val="21"/>
          <w:highlight w:val="none"/>
        </w:rPr>
      </w:pPr>
      <w:bookmarkStart w:id="357" w:name="_Toc31547"/>
      <w:bookmarkStart w:id="358" w:name="_Toc2130"/>
      <w:bookmarkStart w:id="359" w:name="_Toc1213"/>
      <w:bookmarkStart w:id="360" w:name="_Toc19099"/>
      <w:r>
        <w:rPr>
          <w:rFonts w:hint="eastAsia" w:ascii="宋体" w:hAnsi="宋体" w:cs="宋体"/>
          <w:szCs w:val="21"/>
          <w:highlight w:val="none"/>
        </w:rPr>
        <w:t>（自拟）</w:t>
      </w:r>
    </w:p>
    <w:p>
      <w:pPr>
        <w:widowControl/>
        <w:spacing w:line="360" w:lineRule="auto"/>
        <w:jc w:val="center"/>
        <w:rPr>
          <w:rFonts w:hint="eastAsia" w:ascii="宋体" w:hAnsi="宋体" w:cs="宋体"/>
          <w:szCs w:val="21"/>
          <w:highlight w:val="none"/>
        </w:rPr>
      </w:pPr>
    </w:p>
    <w:p>
      <w:pPr>
        <w:keepNext w:val="0"/>
        <w:keepLines w:val="0"/>
        <w:pageBreakBefore/>
        <w:widowControl/>
        <w:kinsoku/>
        <w:wordWrap/>
        <w:overflowPunct/>
        <w:topLinePunct w:val="0"/>
        <w:autoSpaceDE/>
        <w:autoSpaceDN/>
        <w:bidi w:val="0"/>
        <w:adjustRightInd/>
        <w:snapToGrid/>
        <w:spacing w:line="360" w:lineRule="auto"/>
        <w:jc w:val="center"/>
        <w:textAlignment w:val="auto"/>
        <w:outlineLvl w:val="1"/>
        <w:rPr>
          <w:rFonts w:ascii="宋体" w:hAnsi="宋体" w:cs="宋体"/>
          <w:b/>
          <w:bCs/>
          <w:kern w:val="0"/>
          <w:sz w:val="28"/>
          <w:szCs w:val="28"/>
          <w:highlight w:val="none"/>
        </w:rPr>
      </w:pPr>
      <w:bookmarkStart w:id="361" w:name="_Toc1264"/>
      <w:bookmarkStart w:id="362" w:name="_Toc1921"/>
      <w:r>
        <w:rPr>
          <w:rFonts w:hint="eastAsia" w:ascii="宋体" w:hAnsi="宋体" w:cs="宋体"/>
          <w:b/>
          <w:bCs/>
          <w:kern w:val="0"/>
          <w:sz w:val="28"/>
          <w:szCs w:val="28"/>
          <w:highlight w:val="none"/>
        </w:rPr>
        <w:t>一、投标函</w:t>
      </w:r>
      <w:bookmarkEnd w:id="357"/>
      <w:r>
        <w:rPr>
          <w:rFonts w:hint="eastAsia" w:ascii="宋体" w:hAnsi="宋体" w:cs="宋体"/>
          <w:b/>
          <w:bCs/>
          <w:kern w:val="0"/>
          <w:sz w:val="28"/>
          <w:szCs w:val="28"/>
          <w:highlight w:val="none"/>
        </w:rPr>
        <w:t>及开标一览表</w:t>
      </w:r>
      <w:bookmarkEnd w:id="358"/>
      <w:bookmarkEnd w:id="359"/>
      <w:bookmarkEnd w:id="360"/>
      <w:bookmarkEnd w:id="361"/>
      <w:bookmarkEnd w:id="362"/>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宋体" w:hAnsi="宋体" w:cs="宋体"/>
          <w:b/>
          <w:bCs/>
          <w:kern w:val="0"/>
          <w:sz w:val="28"/>
          <w:szCs w:val="28"/>
          <w:highlight w:val="none"/>
        </w:rPr>
      </w:pPr>
      <w:bookmarkStart w:id="363" w:name="_Toc12044"/>
      <w:bookmarkStart w:id="364" w:name="_Toc70"/>
      <w:bookmarkStart w:id="365" w:name="_Toc600"/>
      <w:bookmarkStart w:id="366" w:name="_Toc28684"/>
      <w:bookmarkStart w:id="367" w:name="_Toc22600"/>
      <w:bookmarkStart w:id="368" w:name="_Toc27218"/>
      <w:bookmarkStart w:id="369" w:name="_Toc2605"/>
      <w:r>
        <w:rPr>
          <w:rFonts w:hint="eastAsia" w:ascii="宋体" w:hAnsi="宋体" w:cs="宋体"/>
          <w:b/>
          <w:bCs/>
          <w:kern w:val="0"/>
          <w:sz w:val="28"/>
          <w:szCs w:val="28"/>
          <w:highlight w:val="none"/>
        </w:rPr>
        <w:t>（一）投标函</w:t>
      </w:r>
      <w:bookmarkEnd w:id="363"/>
      <w:bookmarkEnd w:id="364"/>
      <w:bookmarkEnd w:id="365"/>
      <w:bookmarkEnd w:id="366"/>
      <w:bookmarkEnd w:id="367"/>
      <w:bookmarkEnd w:id="368"/>
      <w:bookmarkEnd w:id="369"/>
    </w:p>
    <w:p>
      <w:pPr>
        <w:widowControl/>
        <w:spacing w:line="360" w:lineRule="auto"/>
        <w:rPr>
          <w:rFonts w:ascii="宋体" w:hAnsi="宋体" w:cs="宋体"/>
          <w:b/>
          <w:bCs/>
          <w:kern w:val="0"/>
          <w:sz w:val="28"/>
          <w:szCs w:val="28"/>
          <w:highlight w:val="none"/>
          <w:u w:val="single"/>
        </w:rPr>
      </w:pPr>
      <w:r>
        <w:rPr>
          <w:rFonts w:hint="eastAsia" w:ascii="宋体" w:hAnsi="宋体" w:cs="宋体"/>
          <w:b/>
          <w:bCs/>
          <w:kern w:val="0"/>
          <w:sz w:val="28"/>
          <w:szCs w:val="28"/>
          <w:highlight w:val="none"/>
        </w:rPr>
        <w:t>致：</w:t>
      </w:r>
      <w:r>
        <w:rPr>
          <w:rFonts w:hint="eastAsia" w:ascii="宋体" w:hAnsi="宋体" w:cs="宋体"/>
          <w:b/>
          <w:bCs/>
          <w:kern w:val="0"/>
          <w:sz w:val="28"/>
          <w:szCs w:val="28"/>
          <w:highlight w:val="none"/>
          <w:u w:val="single"/>
        </w:rPr>
        <w:t>（采购人名称）</w:t>
      </w:r>
    </w:p>
    <w:p>
      <w:pPr>
        <w:pStyle w:val="25"/>
        <w:spacing w:line="360" w:lineRule="auto"/>
        <w:ind w:firstLine="480" w:firstLineChars="200"/>
        <w:rPr>
          <w:rFonts w:hint="default" w:ascii="宋体" w:hAnsi="宋体" w:eastAsia="宋体" w:cs="宋体"/>
          <w:sz w:val="24"/>
          <w:highlight w:val="none"/>
        </w:rPr>
      </w:pPr>
      <w:r>
        <w:rPr>
          <w:rFonts w:ascii="宋体" w:hAnsi="宋体" w:eastAsia="宋体" w:cs="宋体"/>
          <w:sz w:val="24"/>
          <w:highlight w:val="none"/>
        </w:rPr>
        <w:t>我单位已收到的</w:t>
      </w:r>
      <w:r>
        <w:rPr>
          <w:rFonts w:ascii="宋体" w:hAnsi="宋体" w:eastAsia="宋体" w:cs="宋体"/>
          <w:sz w:val="24"/>
          <w:highlight w:val="none"/>
          <w:u w:val="single"/>
        </w:rPr>
        <w:t xml:space="preserve">            </w:t>
      </w:r>
      <w:r>
        <w:rPr>
          <w:rFonts w:ascii="宋体" w:hAnsi="宋体" w:eastAsia="宋体" w:cs="宋体"/>
          <w:sz w:val="24"/>
          <w:highlight w:val="none"/>
        </w:rPr>
        <w:t>项目采购文件及有关纪要通知，现对参与投标及中标后工作，做出如下郑重承诺：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1、我方愿以总价为人民币（大写）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（小写）￥ </w:t>
      </w:r>
      <w:r>
        <w:rPr>
          <w:rFonts w:hint="eastAsia" w:ascii="宋体" w:hAnsi="宋体" w:cs="宋体"/>
          <w:sz w:val="24"/>
          <w:highlight w:val="none"/>
          <w:u w:val="single"/>
        </w:rPr>
        <w:t xml:space="preserve">           </w:t>
      </w:r>
      <w:r>
        <w:rPr>
          <w:rFonts w:hint="eastAsia" w:ascii="宋体" w:hAnsi="宋体" w:cs="宋体"/>
          <w:sz w:val="24"/>
          <w:highlight w:val="none"/>
        </w:rPr>
        <w:t>元，合同履行期限（</w:t>
      </w:r>
      <w:r>
        <w:rPr>
          <w:rFonts w:hint="eastAsia" w:ascii="宋体" w:hAnsi="宋体" w:cs="宋体"/>
          <w:sz w:val="24"/>
          <w:highlight w:val="none"/>
          <w:lang w:eastAsia="zh-CN"/>
        </w:rPr>
        <w:t>供货安装期</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，质量要求：</w:t>
      </w:r>
      <w:r>
        <w:rPr>
          <w:rFonts w:hint="eastAsia" w:ascii="宋体" w:hAnsi="宋体" w:cs="宋体"/>
          <w:sz w:val="24"/>
          <w:highlight w:val="none"/>
          <w:u w:val="single"/>
        </w:rPr>
        <w:t xml:space="preserve">       </w:t>
      </w:r>
      <w:r>
        <w:rPr>
          <w:rFonts w:hint="eastAsia" w:ascii="宋体" w:hAnsi="宋体" w:cs="宋体"/>
          <w:sz w:val="24"/>
          <w:highlight w:val="none"/>
        </w:rPr>
        <w:t xml:space="preserve">，按合同约定实施和完成本项目。 </w:t>
      </w:r>
    </w:p>
    <w:p>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hint="eastAsia" w:ascii="宋体" w:hAnsi="宋体" w:cs="宋体"/>
          <w:sz w:val="24"/>
          <w:highlight w:val="none"/>
        </w:rPr>
        <w:t>投标有效期</w:t>
      </w:r>
      <w:r>
        <w:rPr>
          <w:rFonts w:hint="eastAsia" w:ascii="宋体" w:hAnsi="宋体" w:cs="宋体"/>
          <w:sz w:val="24"/>
          <w:highlight w:val="none"/>
        </w:rPr>
        <w:fldChar w:fldCharType="end"/>
      </w:r>
      <w:r>
        <w:rPr>
          <w:rFonts w:hint="eastAsia" w:ascii="宋体" w:hAnsi="宋体" w:cs="宋体"/>
          <w:sz w:val="24"/>
          <w:highlight w:val="none"/>
        </w:rPr>
        <w:t>内，我单位不得要求退出竞标或者修改响应性文件。</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rFonts w:ascii="宋体" w:hAnsi="宋体" w:cs="宋体"/>
          <w:highlight w:val="none"/>
        </w:rPr>
      </w:pPr>
      <w:r>
        <w:rPr>
          <w:rFonts w:hint="eastAsia" w:ascii="宋体" w:hAnsi="宋体" w:cs="宋体"/>
          <w:sz w:val="24"/>
          <w:highlight w:val="none"/>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供应商：（</w:t>
      </w:r>
      <w:r>
        <w:rPr>
          <w:rFonts w:hint="eastAsia" w:ascii="宋体" w:hAnsi="宋体" w:cs="宋体"/>
          <w:sz w:val="24"/>
          <w:highlight w:val="none"/>
        </w:rPr>
        <w:t>企业电子签章</w:t>
      </w:r>
      <w:r>
        <w:rPr>
          <w:rFonts w:hint="eastAsia" w:ascii="宋体" w:hAnsi="宋体" w:cs="宋体"/>
          <w:kern w:val="0"/>
          <w:sz w:val="24"/>
          <w:highlight w:val="none"/>
        </w:rPr>
        <w:t>）</w:t>
      </w:r>
    </w:p>
    <w:p>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法定代表人或授权委托代理人：（签字或盖章）</w:t>
      </w:r>
    </w:p>
    <w:p>
      <w:pPr>
        <w:widowControl/>
        <w:spacing w:line="360" w:lineRule="auto"/>
        <w:ind w:firstLine="480" w:firstLineChars="200"/>
        <w:rPr>
          <w:rFonts w:ascii="宋体" w:hAnsi="宋体" w:cs="宋体"/>
          <w:b/>
          <w:bCs/>
          <w:kern w:val="0"/>
          <w:sz w:val="32"/>
          <w:szCs w:val="32"/>
          <w:highlight w:val="none"/>
        </w:rPr>
      </w:pPr>
      <w:r>
        <w:rPr>
          <w:rFonts w:hint="eastAsia" w:ascii="宋体" w:hAnsi="宋体" w:cs="宋体"/>
          <w:kern w:val="0"/>
          <w:sz w:val="24"/>
          <w:highlight w:val="none"/>
        </w:rPr>
        <w:t>年      月      日</w:t>
      </w:r>
    </w:p>
    <w:p>
      <w:pPr>
        <w:keepNext w:val="0"/>
        <w:keepLines w:val="0"/>
        <w:pageBreakBefore/>
        <w:widowControl w:val="0"/>
        <w:kinsoku/>
        <w:wordWrap/>
        <w:overflowPunct/>
        <w:topLinePunct w:val="0"/>
        <w:autoSpaceDE/>
        <w:autoSpaceDN/>
        <w:bidi w:val="0"/>
        <w:adjustRightInd/>
        <w:snapToGrid/>
        <w:spacing w:line="500" w:lineRule="exact"/>
        <w:jc w:val="center"/>
        <w:textAlignment w:val="auto"/>
        <w:outlineLvl w:val="2"/>
        <w:rPr>
          <w:rFonts w:ascii="宋体" w:hAnsi="宋体" w:cs="宋体"/>
          <w:b/>
          <w:bCs/>
          <w:sz w:val="28"/>
          <w:szCs w:val="28"/>
          <w:highlight w:val="none"/>
        </w:rPr>
      </w:pPr>
      <w:bookmarkStart w:id="370" w:name="_Toc444"/>
      <w:bookmarkStart w:id="371" w:name="_Toc11230"/>
      <w:bookmarkStart w:id="372" w:name="_Toc9543"/>
      <w:bookmarkStart w:id="373" w:name="_Toc20165"/>
      <w:bookmarkStart w:id="374" w:name="_Toc14778"/>
      <w:bookmarkStart w:id="375" w:name="_Toc31291"/>
      <w:bookmarkStart w:id="376" w:name="_Toc208"/>
      <w:r>
        <w:rPr>
          <w:rFonts w:hint="eastAsia" w:ascii="宋体" w:hAnsi="宋体" w:cs="宋体"/>
          <w:b/>
          <w:bCs/>
          <w:sz w:val="28"/>
          <w:szCs w:val="28"/>
          <w:highlight w:val="none"/>
        </w:rPr>
        <w:t>（二）开标一览表</w:t>
      </w:r>
      <w:bookmarkEnd w:id="370"/>
      <w:bookmarkEnd w:id="371"/>
      <w:bookmarkEnd w:id="372"/>
      <w:bookmarkEnd w:id="373"/>
      <w:bookmarkEnd w:id="374"/>
      <w:bookmarkEnd w:id="375"/>
      <w:bookmarkEnd w:id="376"/>
    </w:p>
    <w:p>
      <w:pPr>
        <w:jc w:val="center"/>
        <w:rPr>
          <w:rFonts w:ascii="宋体" w:hAnsi="宋体" w:cs="宋体"/>
          <w:b/>
          <w:bCs/>
          <w:sz w:val="28"/>
          <w:highlight w:val="none"/>
        </w:rPr>
      </w:pP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项目名称</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投 标 人</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投标总报价</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ascii="宋体" w:hAnsi="宋体" w:cs="宋体"/>
                <w:sz w:val="24"/>
                <w:szCs w:val="20"/>
                <w:highlight w:val="none"/>
              </w:rPr>
            </w:pPr>
            <w:r>
              <w:rPr>
                <w:rFonts w:hint="eastAsia" w:ascii="宋体" w:hAnsi="宋体" w:cs="宋体"/>
                <w:sz w:val="24"/>
                <w:szCs w:val="20"/>
                <w:highlight w:val="none"/>
              </w:rPr>
              <w:t xml:space="preserve">（大写）                                </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ascii="宋体" w:hAnsi="宋体" w:cs="宋体"/>
                <w:sz w:val="24"/>
                <w:szCs w:val="20"/>
                <w:highlight w:val="none"/>
              </w:rPr>
            </w:pPr>
            <w:r>
              <w:rPr>
                <w:rFonts w:hint="eastAsia" w:ascii="宋体" w:hAnsi="宋体" w:cs="宋体"/>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质量要求</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合同履行期限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供货安装期</w:t>
            </w:r>
            <w:r>
              <w:rPr>
                <w:rFonts w:hint="eastAsia" w:ascii="宋体" w:hAnsi="宋体" w:cs="宋体"/>
                <w:sz w:val="24"/>
                <w:highlight w:val="none"/>
              </w:rPr>
              <w:t>）</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bCs/>
                <w:iCs/>
                <w:sz w:val="24"/>
                <w:highlight w:val="none"/>
              </w:rPr>
            </w:pPr>
            <w:r>
              <w:rPr>
                <w:rFonts w:hint="eastAsia" w:ascii="宋体" w:hAnsi="宋体" w:cs="宋体"/>
                <w:bCs/>
                <w:iCs/>
                <w:sz w:val="24"/>
                <w:highlight w:val="none"/>
              </w:rPr>
              <w:t>投标有效期</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699"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ascii="宋体" w:hAnsi="宋体" w:cs="宋体"/>
                <w:bCs/>
                <w:iCs/>
                <w:sz w:val="24"/>
                <w:highlight w:val="none"/>
              </w:rPr>
            </w:pPr>
            <w:r>
              <w:rPr>
                <w:rFonts w:hint="eastAsia" w:ascii="宋体" w:hAnsi="宋体" w:cs="宋体"/>
                <w:sz w:val="24"/>
                <w:szCs w:val="20"/>
                <w:highlight w:val="none"/>
              </w:rPr>
              <w:t>备注</w:t>
            </w:r>
          </w:p>
        </w:tc>
        <w:tc>
          <w:tcPr>
            <w:tcW w:w="552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0" w:type="dxa"/>
            <w:gridSpan w:val="2"/>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ascii="宋体" w:hAnsi="宋体" w:cs="宋体"/>
                <w:sz w:val="24"/>
                <w:szCs w:val="20"/>
                <w:highlight w:val="none"/>
              </w:rPr>
            </w:pPr>
          </w:p>
        </w:tc>
      </w:tr>
    </w:tbl>
    <w:p>
      <w:pPr>
        <w:rPr>
          <w:rFonts w:ascii="宋体" w:hAnsi="宋体" w:cs="宋体"/>
          <w:sz w:val="24"/>
          <w:highlight w:val="none"/>
        </w:rPr>
      </w:pPr>
    </w:p>
    <w:p>
      <w:pPr>
        <w:ind w:firstLine="3240" w:firstLineChars="1350"/>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供应商：（企业电子签章）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szCs w:val="20"/>
          <w:highlight w:val="none"/>
        </w:rPr>
        <w:t>或其委托代理人</w:t>
      </w:r>
      <w:r>
        <w:rPr>
          <w:rFonts w:hint="eastAsia" w:ascii="宋体" w:hAnsi="宋体" w:cs="宋体"/>
          <w:sz w:val="24"/>
          <w:highlight w:val="none"/>
        </w:rPr>
        <w:t>：（签字或盖章）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日  期：     年   月   日</w:t>
      </w:r>
    </w:p>
    <w:p>
      <w:pPr>
        <w:keepNext w:val="0"/>
        <w:keepLines w:val="0"/>
        <w:pageBreakBefore/>
        <w:widowControl w:val="0"/>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b/>
          <w:bCs/>
          <w:sz w:val="28"/>
          <w:szCs w:val="28"/>
          <w:highlight w:val="none"/>
          <w:lang w:eastAsia="zh-CN"/>
        </w:rPr>
      </w:pPr>
      <w:bookmarkStart w:id="377" w:name="_Toc16857"/>
      <w:r>
        <w:rPr>
          <w:rFonts w:hint="eastAsia" w:ascii="宋体" w:hAnsi="宋体" w:cs="宋体"/>
          <w:b/>
          <w:bCs/>
          <w:sz w:val="28"/>
          <w:szCs w:val="28"/>
          <w:highlight w:val="none"/>
        </w:rPr>
        <w:t>（</w:t>
      </w:r>
      <w:r>
        <w:rPr>
          <w:rFonts w:hint="eastAsia" w:ascii="宋体" w:hAnsi="宋体" w:cs="宋体"/>
          <w:b/>
          <w:bCs/>
          <w:sz w:val="28"/>
          <w:szCs w:val="28"/>
          <w:highlight w:val="none"/>
          <w:lang w:eastAsia="zh-CN"/>
        </w:rPr>
        <w:t>三</w:t>
      </w:r>
      <w:r>
        <w:rPr>
          <w:rFonts w:hint="eastAsia" w:ascii="宋体" w:hAnsi="宋体" w:cs="宋体"/>
          <w:b/>
          <w:bCs/>
          <w:sz w:val="28"/>
          <w:szCs w:val="28"/>
          <w:highlight w:val="none"/>
        </w:rPr>
        <w:t>）报价明细表</w:t>
      </w:r>
      <w:bookmarkEnd w:id="377"/>
    </w:p>
    <w:p>
      <w:pPr>
        <w:jc w:val="right"/>
        <w:rPr>
          <w:rFonts w:hint="default" w:ascii="宋体" w:hAnsi="宋体" w:cs="宋体"/>
          <w:highlight w:val="none"/>
          <w:lang w:val="en-US" w:eastAsia="zh-CN"/>
        </w:rPr>
      </w:pPr>
    </w:p>
    <w:tbl>
      <w:tblPr>
        <w:tblStyle w:val="27"/>
        <w:tblW w:w="868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1"/>
        <w:gridCol w:w="750"/>
        <w:gridCol w:w="1089"/>
        <w:gridCol w:w="1230"/>
        <w:gridCol w:w="993"/>
        <w:gridCol w:w="873"/>
        <w:gridCol w:w="873"/>
        <w:gridCol w:w="87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2" w:hRule="atLeast"/>
        </w:trPr>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名称</w:t>
            </w:r>
          </w:p>
        </w:tc>
        <w:tc>
          <w:tcPr>
            <w:tcW w:w="30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highlight w:val="none"/>
                <w:lang w:val="en-US" w:eastAsia="zh-CN"/>
              </w:rPr>
            </w:pPr>
            <w:r>
              <w:rPr>
                <w:rFonts w:ascii="宋体" w:hAnsi="宋体" w:cs="宋体"/>
                <w:highlight w:val="none"/>
              </w:rPr>
              <w:t>所投</w:t>
            </w:r>
            <w:r>
              <w:rPr>
                <w:rFonts w:hint="eastAsia" w:ascii="宋体" w:hAnsi="宋体" w:cs="宋体"/>
                <w:highlight w:val="none"/>
                <w:lang w:eastAsia="zh-CN"/>
              </w:rPr>
              <w:t>产品</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单位</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数量</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单价（元）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p>
        </w:tc>
        <w:tc>
          <w:tcPr>
            <w:tcW w:w="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合价（元）</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品牌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型号</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ascii="宋体" w:hAnsi="宋体" w:cs="宋体"/>
                <w:highlight w:val="none"/>
                <w:lang w:val="en-US"/>
              </w:rPr>
            </w:pPr>
            <w:r>
              <w:rPr>
                <w:rFonts w:ascii="宋体" w:hAnsi="宋体" w:cs="宋体"/>
                <w:highlight w:val="none"/>
              </w:rPr>
              <w:t>技术参数</w:t>
            </w: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c>
          <w:tcPr>
            <w:tcW w:w="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c>
          <w:tcPr>
            <w:tcW w:w="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c>
          <w:tcPr>
            <w:tcW w:w="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r>
              <w:rPr>
                <w:rFonts w:hint="eastAsia" w:ascii="宋体" w:hAnsi="宋体" w:cs="宋体"/>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r>
              <w:rPr>
                <w:rFonts w:hint="eastAsia" w:ascii="宋体" w:hAnsi="宋体" w:cs="宋体"/>
                <w:highlight w:val="none"/>
                <w:lang w:val="en-US" w:eastAsia="zh-CN"/>
              </w:rPr>
              <w:t>合计（元）</w:t>
            </w:r>
          </w:p>
        </w:tc>
        <w:tc>
          <w:tcPr>
            <w:tcW w:w="791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highlight w:val="none"/>
                <w:lang w:val="en-US"/>
              </w:rPr>
            </w:pPr>
            <w:r>
              <w:rPr>
                <w:rFonts w:hint="eastAsia" w:ascii="宋体" w:hAnsi="宋体" w:cs="宋体"/>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685"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highlight w:val="none"/>
                <w:lang w:val="en-US" w:eastAsia="zh-CN"/>
              </w:rPr>
            </w:pPr>
            <w:r>
              <w:rPr>
                <w:rFonts w:hint="eastAsia" w:ascii="宋体" w:hAnsi="宋体" w:cs="宋体"/>
                <w:highlight w:val="none"/>
                <w:lang w:val="en-US" w:eastAsia="zh-CN"/>
              </w:rPr>
              <w:t>重要提示：1、本表的每一页须加盖企业印章；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highlight w:val="none"/>
                <w:lang w:val="en-US"/>
              </w:rPr>
            </w:pPr>
            <w:r>
              <w:rPr>
                <w:rFonts w:hint="eastAsia" w:ascii="宋体" w:hAnsi="宋体" w:cs="宋体"/>
                <w:highlight w:val="none"/>
                <w:lang w:val="en-US" w:eastAsia="zh-CN"/>
              </w:rPr>
              <w:t>2、涉及有国家标准的产品，须填写名称、品牌、型号及技术参数、报价等本表内容（若品牌、型号等填写的与实际不符，按照无效标处理）。</w:t>
            </w:r>
          </w:p>
        </w:tc>
      </w:tr>
    </w:tbl>
    <w:p>
      <w:pPr>
        <w:ind w:firstLine="3240" w:firstLineChars="1350"/>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供应商：（企业电子签章）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szCs w:val="20"/>
          <w:highlight w:val="none"/>
        </w:rPr>
        <w:t>或其委托代理人</w:t>
      </w:r>
      <w:r>
        <w:rPr>
          <w:rFonts w:hint="eastAsia" w:ascii="宋体" w:hAnsi="宋体" w:cs="宋体"/>
          <w:sz w:val="24"/>
          <w:highlight w:val="none"/>
        </w:rPr>
        <w:t>：（签字或盖章）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日  期：     年   月   日</w:t>
      </w:r>
    </w:p>
    <w:p>
      <w:pPr>
        <w:rPr>
          <w:rFonts w:ascii="宋体" w:hAnsi="宋体" w:cs="宋体"/>
          <w:highlight w:val="none"/>
        </w:rPr>
      </w:pPr>
    </w:p>
    <w:p>
      <w:pPr>
        <w:pStyle w:val="23"/>
        <w:keepNext w:val="0"/>
        <w:keepLines w:val="0"/>
        <w:pageBreakBefore/>
        <w:widowControl w:val="0"/>
        <w:kinsoku/>
        <w:wordWrap/>
        <w:overflowPunct/>
        <w:topLinePunct w:val="0"/>
        <w:autoSpaceDE/>
        <w:autoSpaceDN/>
        <w:bidi w:val="0"/>
        <w:adjustRightInd/>
        <w:snapToGrid/>
        <w:spacing w:before="0" w:after="0" w:line="360" w:lineRule="auto"/>
        <w:textAlignment w:val="auto"/>
        <w:outlineLvl w:val="1"/>
        <w:rPr>
          <w:rFonts w:ascii="宋体" w:hAnsi="宋体" w:eastAsia="宋体" w:cs="宋体"/>
          <w:sz w:val="28"/>
          <w:szCs w:val="28"/>
          <w:highlight w:val="none"/>
        </w:rPr>
      </w:pPr>
      <w:bookmarkStart w:id="378" w:name="_Toc28843"/>
      <w:bookmarkStart w:id="379" w:name="_Toc30467"/>
      <w:bookmarkStart w:id="380" w:name="_Toc23283"/>
      <w:bookmarkStart w:id="381" w:name="_Toc5614"/>
      <w:bookmarkStart w:id="382" w:name="_Toc5957"/>
      <w:bookmarkStart w:id="383" w:name="_Toc2213"/>
      <w:bookmarkStart w:id="384" w:name="_Toc26698"/>
      <w:bookmarkStart w:id="385" w:name="_Toc16500"/>
      <w:r>
        <w:rPr>
          <w:rFonts w:hint="eastAsia" w:ascii="宋体" w:hAnsi="宋体" w:eastAsia="宋体" w:cs="宋体"/>
          <w:sz w:val="28"/>
          <w:szCs w:val="28"/>
          <w:highlight w:val="none"/>
        </w:rPr>
        <w:t>二、法定代表人身份证明书</w:t>
      </w:r>
      <w:bookmarkEnd w:id="378"/>
      <w:bookmarkEnd w:id="379"/>
      <w:bookmarkEnd w:id="380"/>
      <w:bookmarkEnd w:id="381"/>
      <w:bookmarkEnd w:id="382"/>
      <w:bookmarkEnd w:id="383"/>
      <w:bookmarkEnd w:id="384"/>
      <w:bookmarkEnd w:id="385"/>
    </w:p>
    <w:p>
      <w:pPr>
        <w:rPr>
          <w:rFonts w:ascii="宋体" w:hAnsi="宋体" w:cs="宋体"/>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szCs w:val="18"/>
          <w:highlight w:val="none"/>
        </w:rPr>
        <w:t>供应商</w:t>
      </w:r>
      <w:r>
        <w:rPr>
          <w:rFonts w:hint="eastAsia" w:ascii="宋体" w:hAnsi="宋体" w:cs="宋体"/>
          <w:sz w:val="24"/>
          <w:highlight w:val="none"/>
        </w:rPr>
        <w:t>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r>
        <w:rPr>
          <w:rFonts w:hint="eastAsia" w:ascii="宋体" w:hAnsi="宋体" w:cs="宋体"/>
          <w:sz w:val="24"/>
          <w:highlight w:val="none"/>
        </w:rPr>
        <w:t>_</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2680970</wp:posOffset>
                </wp:positionH>
                <wp:positionV relativeFrom="paragraph">
                  <wp:posOffset>321945</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11.1pt;margin-top:25.35pt;height:166pt;width:246.8pt;z-index:251661312;mso-width-relative:page;mso-height-relative:page;" fillcolor="#FFFFFF" filled="t" stroked="t" coordsize="21600,21600" o:gfxdata="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NxuXYAAAACgEA&#10;AA8AAAAAAAAAAQAgAAAAIgAAAGRycy9kb3ducmV2LnhtbFBLAQIUABQAAAAIAIdO4kBqoYbv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271780</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textAlignment w:val="auto"/>
                            </w:pPr>
                          </w:p>
                        </w:txbxContent>
                      </wps:txbx>
                      <wps:bodyPr upright="1"/>
                    </wps:wsp>
                  </a:graphicData>
                </a:graphic>
              </wp:anchor>
            </w:drawing>
          </mc:Choice>
          <mc:Fallback>
            <w:pict>
              <v:shape id="自选图形 3" o:spid="_x0000_s1026" o:spt="176" type="#_x0000_t176" style="position:absolute;left:0pt;margin-left:-19.75pt;margin-top:21.4pt;height:176pt;width:229.35pt;z-index:251659264;mso-width-relative:page;mso-height-relative:page;" fillcolor="#FFFFFF" filled="t" stroked="t" coordsize="21600,21600" o:gfxdata="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CDSd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textAlignment w:val="auto"/>
                      </w:pPr>
                    </w:p>
                  </w:txbxContent>
                </v:textbox>
              </v:shape>
            </w:pict>
          </mc:Fallback>
        </mc:AlternateContent>
      </w:r>
    </w:p>
    <w:p>
      <w:pPr>
        <w:spacing w:line="360" w:lineRule="auto"/>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2760345</wp:posOffset>
                </wp:positionH>
                <wp:positionV relativeFrom="paragraph">
                  <wp:posOffset>179070</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7.35pt;margin-top:14.1pt;height:23.35pt;width:221.3pt;z-index:251662336;mso-width-relative:page;mso-height-relative:page;" fillcolor="#FFFFFF" filled="t" stroked="t" coordsize="21600,21600" o:gfxdata="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uWWI2QAAAAk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170815</wp:posOffset>
                </wp:positionV>
                <wp:extent cx="2810510" cy="317500"/>
                <wp:effectExtent l="4445" t="4445" r="23495" b="20955"/>
                <wp:wrapNone/>
                <wp:docPr id="2" name="文本框 5"/>
                <wp:cNvGraphicFramePr/>
                <a:graphic xmlns:a="http://schemas.openxmlformats.org/drawingml/2006/main">
                  <a:graphicData uri="http://schemas.microsoft.com/office/word/2010/wordprocessingShape">
                    <wps:wsp>
                      <wps:cNvSpPr txBox="1"/>
                      <wps:spPr>
                        <a:xfrm>
                          <a:off x="0" y="0"/>
                          <a:ext cx="281051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4.15pt;margin-top:13.45pt;height:25pt;width:221.3pt;z-index:251660288;mso-width-relative:page;mso-height-relative:page;" fillcolor="#FFFFFF" filled="t" stroked="t" coordsize="21600,21600" o:gfxdata="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5vf52AAAAAkBAAAPAAAAAAAAAAEAIAAA&#10;ACIAAABkcnMvZG93bnJldi54bWxQSwECFAAUAAAACACHTuJAKGS9HAwCAAA2BAAADgAAAAAAAAAB&#10;ACAAAAAnAQAAZHJzL2Uyb0RvYy54bWxQSwUGAAAAAAYABgBZAQAApQU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p>
    <w:p>
      <w:pPr>
        <w:spacing w:line="360" w:lineRule="auto"/>
        <w:ind w:firstLine="480" w:firstLineChars="200"/>
        <w:jc w:val="left"/>
        <w:rPr>
          <w:rFonts w:ascii="宋体" w:hAnsi="宋体" w:cs="宋体"/>
          <w:sz w:val="24"/>
          <w:highlight w:val="none"/>
        </w:rPr>
      </w:pPr>
    </w:p>
    <w:p>
      <w:pPr>
        <w:spacing w:line="360" w:lineRule="auto"/>
        <w:jc w:val="left"/>
        <w:rPr>
          <w:rFonts w:ascii="宋体" w:hAnsi="宋体" w:cs="宋体"/>
          <w:sz w:val="24"/>
          <w:highlight w:val="none"/>
        </w:rPr>
      </w:pPr>
    </w:p>
    <w:p>
      <w:pPr>
        <w:pageBreakBefore w:val="0"/>
        <w:widowControl w:val="0"/>
        <w:kinsoku/>
        <w:wordWrap/>
        <w:overflowPunct/>
        <w:topLinePunct w:val="0"/>
        <w:autoSpaceDE/>
        <w:autoSpaceDN/>
        <w:bidi w:val="0"/>
        <w:adjustRightInd/>
        <w:snapToGrid/>
        <w:textAlignment w:val="auto"/>
        <w:outlineLvl w:val="9"/>
        <w:rPr>
          <w:rFonts w:ascii="宋体" w:hAnsi="宋体" w:cs="宋体"/>
          <w:sz w:val="24"/>
          <w:highlight w:val="none"/>
        </w:rPr>
      </w:pPr>
    </w:p>
    <w:p>
      <w:pPr>
        <w:pageBreakBefore w:val="0"/>
        <w:widowControl w:val="0"/>
        <w:kinsoku/>
        <w:wordWrap/>
        <w:overflowPunct/>
        <w:topLinePunct w:val="0"/>
        <w:autoSpaceDE/>
        <w:autoSpaceDN/>
        <w:bidi w:val="0"/>
        <w:adjustRightInd/>
        <w:snapToGrid/>
        <w:textAlignment w:val="auto"/>
        <w:outlineLvl w:val="9"/>
        <w:rPr>
          <w:rFonts w:ascii="宋体" w:hAnsi="宋体" w:cs="宋体"/>
          <w:sz w:val="24"/>
          <w:highlight w:val="none"/>
        </w:rPr>
      </w:pPr>
    </w:p>
    <w:p>
      <w:pPr>
        <w:pageBreakBefore w:val="0"/>
        <w:widowControl w:val="0"/>
        <w:kinsoku/>
        <w:wordWrap/>
        <w:overflowPunct/>
        <w:topLinePunct w:val="0"/>
        <w:autoSpaceDE/>
        <w:autoSpaceDN/>
        <w:bidi w:val="0"/>
        <w:adjustRightInd/>
        <w:snapToGrid/>
        <w:textAlignment w:val="auto"/>
        <w:outlineLvl w:val="9"/>
        <w:rPr>
          <w:rFonts w:ascii="宋体" w:hAnsi="宋体" w:cs="宋体"/>
          <w:sz w:val="24"/>
          <w:highlight w:val="none"/>
        </w:rPr>
      </w:pPr>
    </w:p>
    <w:p>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供应商： （企业电子签章）</w:t>
      </w:r>
    </w:p>
    <w:p>
      <w:pPr>
        <w:pageBreakBefore w:val="0"/>
        <w:widowControl w:val="0"/>
        <w:kinsoku/>
        <w:wordWrap/>
        <w:overflowPunct/>
        <w:topLinePunct w:val="0"/>
        <w:autoSpaceDE/>
        <w:autoSpaceDN/>
        <w:bidi w:val="0"/>
        <w:adjustRightInd/>
        <w:snapToGrid/>
        <w:spacing w:line="360" w:lineRule="auto"/>
        <w:ind w:firstLine="5760" w:firstLineChars="2400"/>
        <w:textAlignment w:val="auto"/>
        <w:outlineLvl w:val="9"/>
        <w:rPr>
          <w:rFonts w:hint="eastAsia" w:ascii="宋体" w:hAnsi="宋体" w:cs="宋体"/>
          <w:sz w:val="24"/>
          <w:highlight w:val="none"/>
        </w:rPr>
      </w:pPr>
    </w:p>
    <w:p>
      <w:pPr>
        <w:pageBreakBefore w:val="0"/>
        <w:widowControl w:val="0"/>
        <w:kinsoku/>
        <w:wordWrap/>
        <w:overflowPunct/>
        <w:topLinePunct w:val="0"/>
        <w:autoSpaceDE/>
        <w:autoSpaceDN/>
        <w:bidi w:val="0"/>
        <w:adjustRightInd/>
        <w:snapToGrid/>
        <w:spacing w:line="360" w:lineRule="auto"/>
        <w:ind w:firstLine="5760" w:firstLineChars="2400"/>
        <w:textAlignment w:val="auto"/>
        <w:outlineLvl w:val="9"/>
        <w:rPr>
          <w:rFonts w:ascii="宋体" w:hAnsi="宋体" w:cs="宋体"/>
          <w:sz w:val="24"/>
          <w:highlight w:val="none"/>
        </w:rPr>
      </w:pPr>
      <w:r>
        <w:rPr>
          <w:rFonts w:hint="eastAsia" w:ascii="宋体" w:hAnsi="宋体" w:cs="宋体"/>
          <w:sz w:val="24"/>
          <w:highlight w:val="none"/>
        </w:rPr>
        <w:t>年    月    日</w:t>
      </w:r>
    </w:p>
    <w:p>
      <w:pPr>
        <w:pageBreakBefore w:val="0"/>
        <w:widowControl w:val="0"/>
        <w:kinsoku/>
        <w:wordWrap/>
        <w:overflowPunct/>
        <w:topLinePunct w:val="0"/>
        <w:autoSpaceDE/>
        <w:autoSpaceDN/>
        <w:bidi w:val="0"/>
        <w:adjustRightInd/>
        <w:snapToGrid/>
        <w:spacing w:line="440" w:lineRule="exact"/>
        <w:textAlignment w:val="auto"/>
        <w:outlineLvl w:val="9"/>
        <w:rPr>
          <w:rFonts w:ascii="宋体" w:hAnsi="宋体" w:cs="宋体"/>
          <w:highlight w:val="none"/>
        </w:rPr>
      </w:pPr>
    </w:p>
    <w:p>
      <w:pPr>
        <w:pStyle w:val="23"/>
        <w:keepNext w:val="0"/>
        <w:keepLines w:val="0"/>
        <w:pageBreakBefore/>
        <w:widowControl w:val="0"/>
        <w:kinsoku/>
        <w:wordWrap/>
        <w:overflowPunct/>
        <w:topLinePunct w:val="0"/>
        <w:autoSpaceDE/>
        <w:autoSpaceDN/>
        <w:bidi w:val="0"/>
        <w:adjustRightInd/>
        <w:snapToGrid/>
        <w:spacing w:before="120" w:after="120" w:line="500" w:lineRule="exact"/>
        <w:ind w:right="29" w:rightChars="14"/>
        <w:textAlignment w:val="auto"/>
        <w:outlineLvl w:val="1"/>
        <w:rPr>
          <w:rFonts w:ascii="宋体" w:hAnsi="宋体" w:eastAsia="宋体" w:cs="宋体"/>
          <w:sz w:val="28"/>
          <w:szCs w:val="28"/>
          <w:highlight w:val="none"/>
        </w:rPr>
      </w:pPr>
      <w:bookmarkStart w:id="386" w:name="_Toc6009"/>
      <w:bookmarkStart w:id="387" w:name="_Toc13346"/>
      <w:bookmarkStart w:id="388" w:name="_Toc21696"/>
      <w:bookmarkStart w:id="389" w:name="_Toc729"/>
      <w:bookmarkStart w:id="390" w:name="_Toc28640"/>
      <w:bookmarkStart w:id="391" w:name="_Toc15395"/>
      <w:bookmarkStart w:id="392" w:name="_Toc26257"/>
      <w:bookmarkStart w:id="393" w:name="_Toc17980"/>
      <w:r>
        <w:rPr>
          <w:rFonts w:hint="eastAsia" w:ascii="宋体" w:hAnsi="宋体" w:eastAsia="宋体" w:cs="宋体"/>
          <w:sz w:val="28"/>
          <w:szCs w:val="28"/>
          <w:highlight w:val="none"/>
        </w:rPr>
        <w:t>三、授权委托书</w:t>
      </w:r>
      <w:bookmarkEnd w:id="386"/>
      <w:bookmarkEnd w:id="387"/>
      <w:bookmarkEnd w:id="388"/>
      <w:bookmarkEnd w:id="389"/>
      <w:bookmarkEnd w:id="390"/>
      <w:bookmarkEnd w:id="391"/>
      <w:bookmarkEnd w:id="392"/>
      <w:bookmarkEnd w:id="393"/>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（姓名）为我方代理人。代理人根据授权，以我方名义签署、澄清、说明、补正、递交、撤回、修改</w:t>
      </w:r>
      <w:r>
        <w:rPr>
          <w:rFonts w:hint="eastAsia" w:ascii="宋体" w:hAnsi="宋体" w:cs="宋体"/>
          <w:sz w:val="24"/>
          <w:highlight w:val="none"/>
          <w:u w:val="single"/>
        </w:rPr>
        <w:t xml:space="preserve">                                 </w:t>
      </w:r>
      <w:r>
        <w:rPr>
          <w:rFonts w:hint="eastAsia" w:ascii="宋体" w:hAnsi="宋体" w:cs="宋体"/>
          <w:sz w:val="24"/>
          <w:highlight w:val="none"/>
        </w:rPr>
        <w:t>（项目名称）项目响应文件、签订合同和处理有关事宜，其法律后果由我方承担。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cs="宋体"/>
          <w:sz w:val="24"/>
          <w:highlight w:val="none"/>
        </w:rPr>
      </w:pP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359410"/>
                <wp:effectExtent l="4445" t="4445" r="23495" b="17145"/>
                <wp:wrapNone/>
                <wp:docPr id="7" name="文本框 8"/>
                <wp:cNvGraphicFramePr/>
                <a:graphic xmlns:a="http://schemas.openxmlformats.org/drawingml/2006/main">
                  <a:graphicData uri="http://schemas.microsoft.com/office/word/2010/wordprocessingShape">
                    <wps:wsp>
                      <wps:cNvSpPr txBox="1"/>
                      <wps:spPr>
                        <a:xfrm>
                          <a:off x="0" y="0"/>
                          <a:ext cx="2810510"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8.3pt;width:221.3pt;z-index:251665408;mso-width-relative:page;mso-height-relative:page;" fillcolor="#FFFFFF" filled="t" stroked="t" coordsize="21600,21600" o:gfxdata="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VWhAdgAAAAJAQAADwAAAAAAAAABACAAAAAi&#10;AAAAZHJzL2Rvd25yZXYueG1sUEsBAhQAFAAAAAgAh07iQBVAfzAKAgAANgQAAA4AAAAAAAAAAQAg&#10;AAAAJwEAAGRycy9lMm9Eb2MueG1sUEsFBgAAAAAGAAYAWQEAAKMFA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359410"/>
                <wp:effectExtent l="4445" t="4445" r="23495" b="17145"/>
                <wp:wrapNone/>
                <wp:docPr id="8" name="文本框 9"/>
                <wp:cNvGraphicFramePr/>
                <a:graphic xmlns:a="http://schemas.openxmlformats.org/drawingml/2006/main">
                  <a:graphicData uri="http://schemas.microsoft.com/office/word/2010/wordprocessingShape">
                    <wps:wsp>
                      <wps:cNvSpPr txBox="1"/>
                      <wps:spPr>
                        <a:xfrm>
                          <a:off x="0" y="0"/>
                          <a:ext cx="2810510"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8.3pt;width:221.3pt;z-index:251666432;mso-width-relative:page;mso-height-relative:page;" fillcolor="#FFFFFF" filled="t" stroked="t" coordsize="21600,21600" o:gfxdata="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S01/ZAAAACQEAAA8AAAAAAAAAAQAgAAAA&#10;IgAAAGRycy9kb3ducmV2LnhtbFBLAQIUABQAAAAIAIdO4kDzB9aSCgIAADYEAAAOAAAAAAAAAAEA&#10;IAAAACg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 xml:space="preserve">（企业电子签章） </w:t>
      </w:r>
    </w:p>
    <w:p>
      <w:pPr>
        <w:spacing w:line="360" w:lineRule="auto"/>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5040" w:firstLineChars="2100"/>
        <w:rPr>
          <w:rFonts w:ascii="宋体" w:hAnsi="宋体" w:cs="宋体"/>
          <w:sz w:val="24"/>
          <w:highlight w:val="none"/>
        </w:rPr>
      </w:pPr>
    </w:p>
    <w:p>
      <w:pPr>
        <w:spacing w:line="360" w:lineRule="auto"/>
        <w:ind w:firstLine="6000" w:firstLineChars="2500"/>
        <w:rPr>
          <w:rFonts w:ascii="宋体" w:hAnsi="宋体" w:cs="宋体"/>
          <w:sz w:val="30"/>
          <w:szCs w:val="30"/>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bookmarkEnd w:id="271"/>
    </w:p>
    <w:p>
      <w:pPr>
        <w:pStyle w:val="22"/>
        <w:keepNext w:val="0"/>
        <w:keepLines w:val="0"/>
        <w:pageBreakBefore/>
        <w:widowControl w:val="0"/>
        <w:tabs>
          <w:tab w:val="left" w:pos="0"/>
        </w:tabs>
        <w:kinsoku/>
        <w:wordWrap/>
        <w:overflowPunct/>
        <w:topLinePunct w:val="0"/>
        <w:autoSpaceDE/>
        <w:autoSpaceDN/>
        <w:bidi w:val="0"/>
        <w:adjustRightInd/>
        <w:snapToGrid/>
        <w:spacing w:before="0" w:beforeAutospacing="0" w:after="0" w:afterAutospacing="0" w:line="360" w:lineRule="auto"/>
        <w:jc w:val="center"/>
        <w:textAlignment w:val="auto"/>
        <w:outlineLvl w:val="1"/>
        <w:rPr>
          <w:b/>
          <w:kern w:val="2"/>
          <w:sz w:val="28"/>
          <w:szCs w:val="28"/>
          <w:highlight w:val="none"/>
        </w:rPr>
      </w:pPr>
      <w:bookmarkStart w:id="394" w:name="_Toc19465"/>
      <w:bookmarkStart w:id="395" w:name="_Toc21039"/>
      <w:bookmarkStart w:id="396" w:name="_Toc10967"/>
      <w:r>
        <w:rPr>
          <w:rFonts w:hint="eastAsia"/>
          <w:b/>
          <w:kern w:val="2"/>
          <w:sz w:val="28"/>
          <w:szCs w:val="28"/>
          <w:highlight w:val="none"/>
          <w:lang w:val="en-US" w:eastAsia="zh-CN"/>
        </w:rPr>
        <w:t>四</w:t>
      </w:r>
      <w:r>
        <w:rPr>
          <w:rFonts w:hint="eastAsia"/>
          <w:b/>
          <w:kern w:val="2"/>
          <w:sz w:val="28"/>
          <w:szCs w:val="28"/>
          <w:highlight w:val="none"/>
        </w:rPr>
        <w:t>、供应商的资格证明承诺函</w:t>
      </w:r>
      <w:bookmarkEnd w:id="394"/>
      <w:bookmarkEnd w:id="395"/>
      <w:bookmarkEnd w:id="396"/>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 w:val="24"/>
          <w:szCs w:val="21"/>
          <w:highlight w:val="none"/>
        </w:rPr>
      </w:pPr>
      <w:r>
        <w:rPr>
          <w:rFonts w:hint="eastAsia" w:ascii="宋体" w:hAnsi="宋体" w:cs="宋体"/>
          <w:sz w:val="24"/>
          <w:szCs w:val="21"/>
          <w:highlight w:val="none"/>
        </w:rPr>
        <w:t xml:space="preserve">致(采购人)：_________________________________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 w:val="24"/>
          <w:szCs w:val="21"/>
          <w:highlight w:val="none"/>
        </w:rPr>
      </w:pPr>
      <w:r>
        <w:rPr>
          <w:rFonts w:hint="eastAsia" w:ascii="宋体" w:hAnsi="宋体" w:cs="宋体"/>
          <w:sz w:val="24"/>
          <w:szCs w:val="21"/>
          <w:highlight w:val="none"/>
        </w:rPr>
        <w:t>供应商名称： ________________________________</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 w:val="24"/>
          <w:szCs w:val="21"/>
          <w:highlight w:val="none"/>
        </w:rPr>
      </w:pPr>
      <w:r>
        <w:rPr>
          <w:rFonts w:hint="eastAsia" w:ascii="宋体" w:hAnsi="宋体" w:cs="宋体"/>
          <w:sz w:val="24"/>
          <w:szCs w:val="21"/>
          <w:highlight w:val="none"/>
        </w:rPr>
        <w:t>统一社会信用代码：___________________________</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 w:val="24"/>
          <w:szCs w:val="21"/>
          <w:highlight w:val="none"/>
        </w:rPr>
      </w:pPr>
      <w:r>
        <w:rPr>
          <w:rFonts w:hint="eastAsia" w:ascii="宋体" w:hAnsi="宋体" w:cs="宋体"/>
          <w:sz w:val="24"/>
          <w:szCs w:val="21"/>
          <w:highlight w:val="none"/>
        </w:rPr>
        <w:t>供应商地址：_________________________________</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szCs w:val="21"/>
          <w:highlight w:val="none"/>
        </w:rPr>
      </w:pPr>
      <w:r>
        <w:rPr>
          <w:rFonts w:hint="eastAsia" w:ascii="宋体" w:hAnsi="宋体" w:cs="宋体"/>
          <w:sz w:val="24"/>
          <w:szCs w:val="21"/>
          <w:highlight w:val="none"/>
        </w:rPr>
        <w:t>一、我单位具有有效的营业执照（三证合一）；</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 xml:space="preserve">二、我单位符合《中华人民共和国政府采购法》第二十二条规定的条件：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 xml:space="preserve">1.我单位具有符合采购文件资格要求的独立承担民事责任的能力；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 xml:space="preserve">2.我单位具有符合采购文件资格要求的财务状况报告；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 xml:space="preserve">3.我单位具有符合采购文件资格要求的依法缴纳税收和社会保障记录的良好记录。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 xml:space="preserve">4.我单位具有符合采购文件资格要求的履行合同所必需的设备和专业技术能力；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szCs w:val="21"/>
          <w:highlight w:val="none"/>
        </w:rPr>
      </w:pPr>
      <w:r>
        <w:rPr>
          <w:rFonts w:hint="eastAsia" w:ascii="宋体" w:hAnsi="宋体" w:cs="宋体"/>
          <w:sz w:val="24"/>
          <w:szCs w:val="21"/>
          <w:highlight w:val="none"/>
        </w:rPr>
        <w:t xml:space="preserve">5.我单位参加政府采购活动前三年内，在经营活动中没有重大违法记录。 </w:t>
      </w:r>
      <w:bookmarkStart w:id="397" w:name="_Toc27289"/>
      <w:bookmarkStart w:id="398" w:name="_Toc25215"/>
      <w:bookmarkStart w:id="399" w:name="_Toc19168"/>
    </w:p>
    <w:bookmarkEnd w:id="397"/>
    <w:bookmarkEnd w:id="398"/>
    <w:bookmarkEnd w:id="399"/>
    <w:p>
      <w:pPr>
        <w:keepNext w:val="0"/>
        <w:keepLines w:val="0"/>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outlineLvl w:val="9"/>
        <w:rPr>
          <w:rFonts w:ascii="宋体" w:hAnsi="宋体" w:cs="宋体"/>
          <w:b/>
          <w:bCs/>
          <w:sz w:val="24"/>
          <w:szCs w:val="21"/>
          <w:highlight w:val="none"/>
        </w:rPr>
      </w:pPr>
      <w:bookmarkStart w:id="400" w:name="_Toc10717"/>
      <w:bookmarkStart w:id="401" w:name="_Toc24850"/>
      <w:bookmarkStart w:id="402" w:name="_Toc23227"/>
      <w:bookmarkStart w:id="403" w:name="_Toc5743"/>
      <w:bookmarkStart w:id="404" w:name="_Toc8898"/>
      <w:bookmarkStart w:id="405" w:name="_Toc17917"/>
      <w:bookmarkStart w:id="406" w:name="_Toc16608"/>
      <w:bookmarkStart w:id="407" w:name="_Toc18605"/>
      <w:bookmarkStart w:id="408" w:name="_Toc26550"/>
      <w:r>
        <w:rPr>
          <w:rFonts w:hint="eastAsia" w:ascii="宋体" w:hAnsi="宋体" w:cs="宋体"/>
          <w:b/>
          <w:bCs/>
          <w:sz w:val="24"/>
          <w:szCs w:val="21"/>
          <w:highlight w:val="none"/>
        </w:rPr>
        <w:t xml:space="preserve">若我单位承诺不实，自愿承担提供虚假材料谋取中标、成交的法律责任。 </w:t>
      </w:r>
    </w:p>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ascii="宋体" w:hAnsi="宋体" w:cs="宋体"/>
          <w:sz w:val="24"/>
          <w:szCs w:val="21"/>
          <w:highlight w:val="none"/>
        </w:rPr>
      </w:pPr>
      <w:r>
        <w:rPr>
          <w:rFonts w:hint="eastAsia" w:ascii="宋体" w:hAnsi="宋体" w:cs="宋体"/>
          <w:sz w:val="24"/>
          <w:szCs w:val="21"/>
          <w:highlight w:val="none"/>
        </w:rPr>
        <w:t>承诺供应商（</w:t>
      </w:r>
      <w:r>
        <w:rPr>
          <w:rFonts w:hint="eastAsia" w:ascii="宋体" w:hAnsi="宋体" w:cs="宋体"/>
          <w:sz w:val="24"/>
          <w:highlight w:val="none"/>
        </w:rPr>
        <w:t>企业电子签章</w:t>
      </w:r>
      <w:r>
        <w:rPr>
          <w:rFonts w:hint="eastAsia" w:ascii="宋体" w:hAnsi="宋体" w:cs="宋体"/>
          <w:sz w:val="24"/>
          <w:szCs w:val="21"/>
          <w:highlight w:val="none"/>
        </w:rPr>
        <w:t xml:space="preserve">）：__________________ </w:t>
      </w:r>
    </w:p>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ascii="宋体" w:hAnsi="宋体" w:cs="宋体"/>
          <w:sz w:val="24"/>
          <w:szCs w:val="21"/>
          <w:highlight w:val="none"/>
        </w:rPr>
      </w:pPr>
    </w:p>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ascii="宋体" w:hAnsi="宋体" w:cs="宋体"/>
          <w:sz w:val="24"/>
          <w:szCs w:val="21"/>
          <w:highlight w:val="none"/>
        </w:rPr>
      </w:pPr>
      <w:r>
        <w:rPr>
          <w:rFonts w:hint="eastAsia" w:ascii="宋体" w:hAnsi="宋体" w:cs="宋体"/>
          <w:sz w:val="24"/>
          <w:szCs w:val="21"/>
          <w:highlight w:val="none"/>
        </w:rPr>
        <w:t xml:space="preserve">法定代表人或授权代表(签字或签章)：__________________ </w:t>
      </w:r>
    </w:p>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ascii="宋体" w:hAnsi="宋体" w:cs="宋体"/>
          <w:sz w:val="24"/>
          <w:szCs w:val="21"/>
          <w:highlight w:val="none"/>
        </w:rPr>
      </w:pPr>
    </w:p>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ascii="宋体" w:hAnsi="宋体" w:cs="宋体"/>
          <w:sz w:val="24"/>
          <w:szCs w:val="21"/>
          <w:highlight w:val="none"/>
        </w:rPr>
      </w:pPr>
      <w:r>
        <w:rPr>
          <w:rFonts w:hint="eastAsia" w:ascii="宋体" w:hAnsi="宋体" w:cs="宋体"/>
          <w:sz w:val="24"/>
          <w:szCs w:val="21"/>
          <w:highlight w:val="none"/>
        </w:rPr>
        <w:t>日期：_____年___ 月____ 日</w:t>
      </w:r>
    </w:p>
    <w:p>
      <w:pPr>
        <w:rPr>
          <w:rFonts w:ascii="宋体" w:hAnsi="宋体" w:cs="宋体"/>
          <w:b/>
          <w:bCs/>
          <w:spacing w:val="8"/>
          <w:highlight w:val="none"/>
          <w:shd w:val="clear" w:color="auto" w:fill="FFFFFF"/>
        </w:rPr>
      </w:pPr>
      <w:r>
        <w:rPr>
          <w:rFonts w:hint="eastAsia" w:ascii="宋体" w:hAnsi="宋体" w:cs="宋体"/>
          <w:b/>
          <w:bCs/>
          <w:spacing w:val="8"/>
          <w:highlight w:val="none"/>
          <w:shd w:val="clear" w:color="auto" w:fill="FFFFFF"/>
        </w:rPr>
        <w:t xml:space="preserve">   </w:t>
      </w:r>
    </w:p>
    <w:p>
      <w:pPr>
        <w:ind w:firstLine="454" w:firstLineChars="200"/>
        <w:rPr>
          <w:sz w:val="30"/>
          <w:szCs w:val="30"/>
          <w:highlight w:val="none"/>
        </w:rPr>
      </w:pPr>
      <w:r>
        <w:rPr>
          <w:rFonts w:hint="eastAsia" w:ascii="宋体" w:hAnsi="宋体" w:cs="宋体"/>
          <w:b/>
          <w:bCs/>
          <w:spacing w:val="8"/>
          <w:highlight w:val="none"/>
          <w:shd w:val="clear" w:color="auto" w:fill="FFFFFF"/>
        </w:rPr>
        <w:t>注：供应商须在投标文件中按此模板提供承诺函，未提供视为未实质性响应招标文件要求，按无效投标处理。</w:t>
      </w:r>
      <w:bookmarkStart w:id="409" w:name="_Toc31553"/>
    </w:p>
    <w:bookmarkEnd w:id="409"/>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rPr>
      </w:pPr>
      <w:bookmarkStart w:id="410" w:name="_Toc12486"/>
      <w:r>
        <w:rPr>
          <w:rFonts w:hint="eastAsia"/>
          <w:b/>
          <w:kern w:val="2"/>
          <w:sz w:val="28"/>
          <w:szCs w:val="28"/>
          <w:highlight w:val="none"/>
          <w:lang w:val="en-US" w:eastAsia="zh-CN"/>
        </w:rPr>
        <w:t>五</w:t>
      </w:r>
      <w:r>
        <w:rPr>
          <w:rFonts w:hint="eastAsia"/>
          <w:b/>
          <w:kern w:val="2"/>
          <w:sz w:val="28"/>
          <w:szCs w:val="28"/>
          <w:highlight w:val="none"/>
        </w:rPr>
        <w:t>、中小企业声明函</w:t>
      </w:r>
      <w:bookmarkEnd w:id="400"/>
      <w:bookmarkEnd w:id="401"/>
      <w:bookmarkEnd w:id="402"/>
      <w:bookmarkEnd w:id="403"/>
      <w:bookmarkEnd w:id="404"/>
      <w:bookmarkEnd w:id="41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highlight w:val="none"/>
          <w:lang w:eastAsia="zh-CN"/>
        </w:rPr>
      </w:pPr>
      <w:bookmarkStart w:id="411" w:name="_Toc42601267"/>
      <w:bookmarkStart w:id="412" w:name="_Toc25316"/>
      <w:bookmarkStart w:id="413" w:name="_Toc24800"/>
      <w:bookmarkStart w:id="414" w:name="_Toc16077"/>
      <w:bookmarkStart w:id="415" w:name="_Toc25586"/>
      <w:bookmarkStart w:id="416" w:name="_Toc18299"/>
      <w:bookmarkStart w:id="417" w:name="_Toc23752"/>
      <w:r>
        <w:rPr>
          <w:rFonts w:hint="eastAsia" w:ascii="宋体" w:hAnsi="宋体" w:cs="宋体"/>
          <w:b/>
          <w:sz w:val="24"/>
          <w:highlight w:val="none"/>
        </w:rPr>
        <w:t>1.</w:t>
      </w:r>
      <w:bookmarkEnd w:id="411"/>
      <w:bookmarkEnd w:id="412"/>
      <w:r>
        <w:rPr>
          <w:rFonts w:hint="eastAsia" w:ascii="宋体" w:hAnsi="宋体" w:cs="宋体"/>
          <w:b/>
          <w:bCs/>
          <w:sz w:val="24"/>
          <w:highlight w:val="none"/>
        </w:rPr>
        <w:t>中小企业声明函</w:t>
      </w:r>
      <w:bookmarkEnd w:id="413"/>
      <w:bookmarkEnd w:id="414"/>
      <w:bookmarkEnd w:id="415"/>
      <w:bookmarkEnd w:id="416"/>
      <w:bookmarkEnd w:id="417"/>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本公司（联合体）郑重声明，根据《政府采购促进中小 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（标的名称） </w:t>
      </w:r>
      <w:r>
        <w:rPr>
          <w:rFonts w:hint="eastAsia" w:ascii="宋体" w:hAnsi="宋体" w:cs="宋体"/>
          <w:sz w:val="24"/>
          <w:szCs w:val="24"/>
          <w:highlight w:val="none"/>
        </w:rPr>
        <w:t>，属于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 ，属于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（标的名称） </w:t>
      </w:r>
      <w:r>
        <w:rPr>
          <w:rFonts w:hint="eastAsia" w:ascii="宋体" w:hAnsi="宋体" w:cs="宋体"/>
          <w:sz w:val="24"/>
          <w:szCs w:val="24"/>
          <w:highlight w:val="none"/>
        </w:rPr>
        <w:t>，属于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 ，属于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val="0"/>
        <w:spacing w:line="360" w:lineRule="auto"/>
        <w:ind w:firstLine="6240" w:firstLineChars="2600"/>
        <w:textAlignment w:val="auto"/>
        <w:rPr>
          <w:rFonts w:ascii="宋体" w:hAnsi="宋体" w:cs="宋体"/>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ind w:left="0" w:leftChars="0" w:firstLine="3780" w:firstLineChars="1575"/>
        <w:textAlignment w:val="auto"/>
        <w:rPr>
          <w:rFonts w:ascii="宋体" w:hAnsi="宋体" w:cs="宋体"/>
          <w:sz w:val="24"/>
          <w:szCs w:val="24"/>
          <w:highlight w:val="none"/>
        </w:rPr>
      </w:pPr>
      <w:r>
        <w:rPr>
          <w:rFonts w:hint="eastAsia" w:ascii="宋体" w:hAnsi="宋体" w:cs="宋体"/>
          <w:sz w:val="24"/>
          <w:szCs w:val="24"/>
          <w:highlight w:val="none"/>
        </w:rPr>
        <w:t>企业名称（电子公章）：</w:t>
      </w:r>
    </w:p>
    <w:p>
      <w:pPr>
        <w:keepNext w:val="0"/>
        <w:keepLines w:val="0"/>
        <w:pageBreakBefore w:val="0"/>
        <w:kinsoku/>
        <w:wordWrap/>
        <w:overflowPunct/>
        <w:topLinePunct w:val="0"/>
        <w:autoSpaceDE/>
        <w:autoSpaceDN/>
        <w:bidi w:val="0"/>
        <w:adjustRightInd/>
        <w:snapToGrid w:val="0"/>
        <w:spacing w:line="360" w:lineRule="auto"/>
        <w:ind w:left="0" w:leftChars="0" w:firstLine="3780" w:firstLineChars="1575"/>
        <w:textAlignment w:val="auto"/>
        <w:rPr>
          <w:rFonts w:ascii="宋体" w:hAnsi="宋体" w:cs="宋体"/>
          <w:sz w:val="24"/>
          <w:szCs w:val="24"/>
          <w:highlight w:val="none"/>
        </w:rPr>
      </w:pPr>
      <w:r>
        <w:rPr>
          <w:rFonts w:hint="eastAsia" w:ascii="宋体" w:hAnsi="宋体" w:cs="宋体"/>
          <w:sz w:val="24"/>
          <w:szCs w:val="24"/>
          <w:highlight w:val="none"/>
        </w:rPr>
        <w:t>日期：</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注：</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2.填写前请认真阅读《关于印发中小企业划型标准规定的通知》（工信部联企业[2011]300 号）和《关于印发＜政府采购促进中小企业发展管理办法＞的通知》(财库﹝2020﹞46号)相关规定。</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3.未按上述要求提供、填写的，评审时不予以考虑。</w:t>
      </w:r>
    </w:p>
    <w:p>
      <w:pPr>
        <w:pStyle w:val="22"/>
        <w:keepNext w:val="0"/>
        <w:keepLines w:val="0"/>
        <w:pageBreakBefore/>
        <w:widowControl w:val="0"/>
        <w:kinsoku/>
        <w:wordWrap/>
        <w:overflowPunct/>
        <w:topLinePunct w:val="0"/>
        <w:autoSpaceDE/>
        <w:autoSpaceDN/>
        <w:bidi w:val="0"/>
        <w:adjustRightInd/>
        <w:snapToGrid/>
        <w:spacing w:before="0" w:beforeAutospacing="0" w:after="0" w:afterAutospacing="0" w:line="360" w:lineRule="auto"/>
        <w:ind w:right="29" w:rightChars="14"/>
        <w:jc w:val="center"/>
        <w:textAlignment w:val="auto"/>
        <w:outlineLvl w:val="9"/>
        <w:rPr>
          <w:b/>
          <w:sz w:val="28"/>
          <w:szCs w:val="28"/>
          <w:highlight w:val="none"/>
        </w:rPr>
      </w:pPr>
      <w:bookmarkStart w:id="418" w:name="_Toc13288"/>
      <w:bookmarkStart w:id="419" w:name="_Toc11708"/>
      <w:bookmarkStart w:id="420" w:name="_Toc20881"/>
      <w:bookmarkStart w:id="421" w:name="_Toc26108"/>
      <w:bookmarkStart w:id="422" w:name="_Toc14292"/>
      <w:bookmarkStart w:id="423" w:name="_Toc30170"/>
      <w:r>
        <w:rPr>
          <w:rFonts w:hint="eastAsia"/>
          <w:b/>
          <w:kern w:val="2"/>
          <w:sz w:val="28"/>
          <w:szCs w:val="28"/>
          <w:highlight w:val="none"/>
        </w:rPr>
        <w:t>2、监狱企业、残疾人福利性单位声明函（如有）</w:t>
      </w:r>
      <w:bookmarkEnd w:id="418"/>
      <w:bookmarkEnd w:id="419"/>
      <w:bookmarkEnd w:id="420"/>
      <w:bookmarkEnd w:id="421"/>
    </w:p>
    <w:p>
      <w:pPr>
        <w:spacing w:after="758" w:afterLines="200"/>
        <w:ind w:firstLine="2108" w:firstLineChars="750"/>
        <w:rPr>
          <w:rFonts w:ascii="宋体" w:hAnsi="宋体" w:cs="宋体"/>
          <w:b/>
          <w:sz w:val="28"/>
          <w:szCs w:val="28"/>
          <w:highlight w:val="none"/>
        </w:rPr>
      </w:pPr>
    </w:p>
    <w:bookmarkEnd w:id="422"/>
    <w:bookmarkEnd w:id="423"/>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rFonts w:hint="eastAsia" w:eastAsia="宋体"/>
          <w:sz w:val="28"/>
          <w:szCs w:val="28"/>
          <w:highlight w:val="none"/>
          <w:shd w:val="clear" w:color="FFFFFF" w:fill="D9D9D9"/>
          <w:lang w:eastAsia="zh-CN"/>
        </w:rPr>
      </w:pPr>
      <w:bookmarkStart w:id="424" w:name="_Toc11011"/>
      <w:r>
        <w:rPr>
          <w:rFonts w:hint="eastAsia"/>
          <w:b/>
          <w:kern w:val="2"/>
          <w:sz w:val="28"/>
          <w:szCs w:val="28"/>
          <w:highlight w:val="none"/>
          <w:lang w:val="en-US" w:eastAsia="zh-CN"/>
        </w:rPr>
        <w:t>六</w:t>
      </w:r>
      <w:r>
        <w:rPr>
          <w:rFonts w:hint="eastAsia"/>
          <w:b/>
          <w:kern w:val="2"/>
          <w:sz w:val="28"/>
          <w:szCs w:val="28"/>
          <w:highlight w:val="none"/>
        </w:rPr>
        <w:t>、</w:t>
      </w:r>
      <w:r>
        <w:rPr>
          <w:rFonts w:hint="eastAsia"/>
          <w:b/>
          <w:kern w:val="2"/>
          <w:sz w:val="28"/>
          <w:szCs w:val="28"/>
          <w:highlight w:val="none"/>
          <w:lang w:eastAsia="zh-CN"/>
        </w:rPr>
        <w:t>技术方案</w:t>
      </w:r>
      <w:bookmarkEnd w:id="424"/>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rFonts w:hint="eastAsia" w:eastAsia="宋体"/>
          <w:sz w:val="28"/>
          <w:szCs w:val="28"/>
          <w:highlight w:val="none"/>
          <w:shd w:val="clear" w:color="FFFFFF" w:fill="D9D9D9"/>
          <w:lang w:eastAsia="zh-CN"/>
        </w:rPr>
      </w:pPr>
      <w:bookmarkStart w:id="425" w:name="_Toc31135"/>
      <w:r>
        <w:rPr>
          <w:rFonts w:hint="eastAsia"/>
          <w:b/>
          <w:kern w:val="2"/>
          <w:sz w:val="28"/>
          <w:szCs w:val="28"/>
          <w:highlight w:val="none"/>
          <w:lang w:val="en-US" w:eastAsia="zh-CN"/>
        </w:rPr>
        <w:t>七</w:t>
      </w:r>
      <w:r>
        <w:rPr>
          <w:rFonts w:hint="eastAsia"/>
          <w:b/>
          <w:kern w:val="2"/>
          <w:sz w:val="28"/>
          <w:szCs w:val="28"/>
          <w:highlight w:val="none"/>
        </w:rPr>
        <w:t>、安装调试、验收方案</w:t>
      </w:r>
      <w:bookmarkEnd w:id="425"/>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shd w:val="clear" w:color="FFFFFF" w:fill="D9D9D9"/>
        </w:rPr>
      </w:pPr>
      <w:bookmarkStart w:id="426" w:name="_Toc29057"/>
      <w:r>
        <w:rPr>
          <w:rFonts w:hint="eastAsia"/>
          <w:b/>
          <w:kern w:val="2"/>
          <w:sz w:val="28"/>
          <w:szCs w:val="28"/>
          <w:highlight w:val="none"/>
          <w:lang w:eastAsia="zh-CN"/>
        </w:rPr>
        <w:t>八</w:t>
      </w:r>
      <w:r>
        <w:rPr>
          <w:rFonts w:hint="eastAsia"/>
          <w:b/>
          <w:kern w:val="2"/>
          <w:sz w:val="28"/>
          <w:szCs w:val="28"/>
          <w:highlight w:val="none"/>
        </w:rPr>
        <w:t>、供应商服务承诺和优惠承诺</w:t>
      </w:r>
      <w:bookmarkEnd w:id="426"/>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shd w:val="clear" w:color="FFFFFF" w:fill="D9D9D9"/>
        </w:rPr>
      </w:pPr>
      <w:bookmarkStart w:id="427" w:name="_Toc19368"/>
      <w:r>
        <w:rPr>
          <w:rFonts w:hint="eastAsia"/>
          <w:b/>
          <w:kern w:val="2"/>
          <w:sz w:val="28"/>
          <w:szCs w:val="28"/>
          <w:highlight w:val="none"/>
          <w:lang w:val="en-US" w:eastAsia="zh-CN"/>
        </w:rPr>
        <w:t>九</w:t>
      </w:r>
      <w:r>
        <w:rPr>
          <w:rFonts w:hint="eastAsia"/>
          <w:b/>
          <w:kern w:val="2"/>
          <w:sz w:val="28"/>
          <w:szCs w:val="28"/>
          <w:highlight w:val="none"/>
        </w:rPr>
        <w:t>、投标</w:t>
      </w:r>
      <w:r>
        <w:rPr>
          <w:rFonts w:hint="eastAsia"/>
          <w:b/>
          <w:kern w:val="2"/>
          <w:sz w:val="28"/>
          <w:szCs w:val="28"/>
          <w:highlight w:val="none"/>
          <w:lang w:eastAsia="zh-CN"/>
        </w:rPr>
        <w:t>产品</w:t>
      </w:r>
      <w:r>
        <w:rPr>
          <w:rFonts w:hint="eastAsia"/>
          <w:b/>
          <w:kern w:val="2"/>
          <w:sz w:val="28"/>
          <w:szCs w:val="28"/>
          <w:highlight w:val="none"/>
        </w:rPr>
        <w:t>技术偏离表</w:t>
      </w:r>
      <w:bookmarkEnd w:id="42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00"/>
        <w:gridCol w:w="2117"/>
        <w:gridCol w:w="2117"/>
        <w:gridCol w:w="158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highlight w:val="none"/>
                <w:vertAlign w:val="baseline"/>
                <w:lang w:eastAsia="zh-CN"/>
              </w:rPr>
            </w:pPr>
            <w:r>
              <w:rPr>
                <w:rFonts w:hint="eastAsia" w:ascii="宋体" w:hAnsi="宋体" w:cs="宋体"/>
                <w:sz w:val="24"/>
                <w:highlight w:val="none"/>
                <w:vertAlign w:val="baseline"/>
                <w:lang w:eastAsia="zh-CN"/>
              </w:rPr>
              <w:t>序号</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highlight w:val="none"/>
                <w:vertAlign w:val="baseline"/>
                <w:lang w:eastAsia="zh-CN"/>
              </w:rPr>
            </w:pPr>
            <w:r>
              <w:rPr>
                <w:rFonts w:hint="eastAsia" w:ascii="宋体" w:hAnsi="宋体" w:cs="宋体"/>
                <w:sz w:val="24"/>
                <w:highlight w:val="none"/>
                <w:vertAlign w:val="baseline"/>
                <w:lang w:eastAsia="zh-CN"/>
              </w:rPr>
              <w:t>产品模块</w:t>
            </w: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highlight w:val="none"/>
                <w:vertAlign w:val="baseline"/>
                <w:lang w:eastAsia="zh-CN"/>
              </w:rPr>
            </w:pPr>
            <w:r>
              <w:rPr>
                <w:rFonts w:hint="eastAsia" w:ascii="宋体" w:hAnsi="宋体" w:cs="宋体"/>
                <w:sz w:val="24"/>
                <w:highlight w:val="none"/>
                <w:vertAlign w:val="baseline"/>
                <w:lang w:eastAsia="zh-CN"/>
              </w:rPr>
              <w:t>招标文件技术要求（列明技术配置）</w:t>
            </w: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r>
              <w:rPr>
                <w:rFonts w:hint="eastAsia" w:ascii="宋体" w:hAnsi="宋体" w:cs="宋体"/>
                <w:sz w:val="24"/>
                <w:highlight w:val="none"/>
                <w:vertAlign w:val="baseline"/>
                <w:lang w:eastAsia="zh-CN"/>
              </w:rPr>
              <w:t>投标文件技术响应情况（列明所投产品的技术配置）</w:t>
            </w: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highlight w:val="none"/>
                <w:vertAlign w:val="baseline"/>
                <w:lang w:eastAsia="zh-CN"/>
              </w:rPr>
            </w:pPr>
            <w:r>
              <w:rPr>
                <w:rFonts w:hint="eastAsia" w:ascii="宋体" w:hAnsi="宋体" w:cs="宋体"/>
                <w:sz w:val="24"/>
                <w:highlight w:val="none"/>
                <w:vertAlign w:val="baseline"/>
                <w:lang w:eastAsia="zh-CN"/>
              </w:rPr>
              <w:t>偏差描述（描述技术是否具有正、负偏差）</w:t>
            </w: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highlight w:val="none"/>
                <w:vertAlign w:val="baseline"/>
                <w:lang w:eastAsia="zh-CN"/>
              </w:rPr>
            </w:pPr>
            <w:r>
              <w:rPr>
                <w:rFonts w:hint="eastAsia" w:ascii="宋体" w:hAnsi="宋体" w:cs="宋体"/>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21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15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c>
          <w:tcPr>
            <w:tcW w:w="65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sz w:val="24"/>
                <w:highlight w:val="none"/>
                <w:vertAlign w:val="baseline"/>
              </w:rPr>
            </w:pPr>
          </w:p>
        </w:tc>
      </w:tr>
    </w:tbl>
    <w:p>
      <w:pPr>
        <w:spacing w:line="600" w:lineRule="exact"/>
        <w:rPr>
          <w:rFonts w:ascii="宋体" w:hAnsi="宋体" w:cs="宋体"/>
          <w:sz w:val="24"/>
          <w:highlight w:val="none"/>
        </w:rPr>
      </w:pPr>
    </w:p>
    <w:p>
      <w:pPr>
        <w:ind w:firstLine="3240" w:firstLineChars="1350"/>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供应商：（企业电子签章）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szCs w:val="20"/>
          <w:highlight w:val="none"/>
        </w:rPr>
        <w:t>或其委托代理人</w:t>
      </w:r>
      <w:r>
        <w:rPr>
          <w:rFonts w:hint="eastAsia" w:ascii="宋体" w:hAnsi="宋体" w:cs="宋体"/>
          <w:sz w:val="24"/>
          <w:highlight w:val="none"/>
        </w:rPr>
        <w:t>：（签字或盖章）</w:t>
      </w:r>
    </w:p>
    <w:p>
      <w:pPr>
        <w:ind w:left="1050" w:leftChars="500"/>
        <w:jc w:val="cente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日  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注：1．投标人必须按要求规范填写所有投报产品的技术偏差表。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2．投标人必须根据所投产品的实际情况如实填写，评委会如发现有虚假描述的，技术标部分将视为 0 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shd w:val="clear" w:color="FFFFFF" w:fill="D9D9D9"/>
        </w:rPr>
      </w:pPr>
      <w:bookmarkStart w:id="428" w:name="_Toc28927"/>
      <w:r>
        <w:rPr>
          <w:rFonts w:hint="eastAsia"/>
          <w:b/>
          <w:kern w:val="2"/>
          <w:sz w:val="28"/>
          <w:szCs w:val="28"/>
          <w:highlight w:val="none"/>
          <w:lang w:eastAsia="zh-CN"/>
        </w:rPr>
        <w:t>十</w:t>
      </w:r>
      <w:r>
        <w:rPr>
          <w:rFonts w:hint="eastAsia"/>
          <w:b/>
          <w:kern w:val="2"/>
          <w:sz w:val="28"/>
          <w:szCs w:val="28"/>
          <w:highlight w:val="none"/>
        </w:rPr>
        <w:t>、供应商所投产品属于当期政府采购清单规定的节能环保产品的证明材料（如有）</w:t>
      </w:r>
      <w:bookmarkEnd w:id="428"/>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spacing w:line="600" w:lineRule="exact"/>
        <w:ind w:firstLine="480" w:firstLineChars="200"/>
        <w:rPr>
          <w:rFonts w:ascii="宋体" w:hAnsi="宋体" w:cs="宋体"/>
          <w:sz w:val="24"/>
          <w:highlight w:val="none"/>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shd w:val="clear" w:color="FFFFFF" w:fill="D9D9D9"/>
        </w:rPr>
      </w:pPr>
      <w:bookmarkStart w:id="429" w:name="_Toc14858"/>
      <w:r>
        <w:rPr>
          <w:rFonts w:hint="eastAsia"/>
          <w:b/>
          <w:kern w:val="2"/>
          <w:sz w:val="28"/>
          <w:szCs w:val="28"/>
          <w:highlight w:val="none"/>
          <w:lang w:eastAsia="zh-CN"/>
        </w:rPr>
        <w:t>十一</w:t>
      </w:r>
      <w:r>
        <w:rPr>
          <w:rFonts w:hint="eastAsia"/>
          <w:b/>
          <w:kern w:val="2"/>
          <w:sz w:val="28"/>
          <w:szCs w:val="28"/>
          <w:highlight w:val="none"/>
        </w:rPr>
        <w:t>、无缝对接承诺函</w:t>
      </w:r>
      <w:bookmarkEnd w:id="429"/>
    </w:p>
    <w:p>
      <w:pPr>
        <w:spacing w:line="600" w:lineRule="exact"/>
        <w:rPr>
          <w:rFonts w:hint="eastAsia" w:ascii="宋体" w:hAnsi="宋体" w:cs="宋体"/>
          <w:sz w:val="24"/>
          <w:highlight w:val="none"/>
          <w:lang w:val="en-US"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（采购人名称）</w:t>
      </w:r>
    </w:p>
    <w:p>
      <w:pPr>
        <w:spacing w:line="60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我方承诺，针对</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（项目名称）</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项目编号）我方已做充足调研，充分了解采购人的业务需求、技术要求、实施条件和现场环境等。我方承诺具备履行项目所必需的专业技术和商务协调能力，所投产品功能能够满足医院要求并与医院在用的HIS系统、EMR系统、PACS系统、LIS系统等无缝对接。我方将主动沟通、协调医院现有系统的各供应商，完成相关系统对接事宜，由此可能产生的接口费用由我方自行承担。由接口费而可能引起的投标风险由我方自行承担，所有投标风险采购人概不负责。若项目施工延期或项目达不到技术要求等造成采购人利益受损，由我方负责赔偿采购人经济损失（赔偿金额以合同额的10%起，最高不超过法律要求的上限标准），并自愿放弃中标资格，承担被列入黑名单的处罚。</w:t>
      </w:r>
    </w:p>
    <w:p>
      <w:pPr>
        <w:rPr>
          <w:rFonts w:hint="eastAsia" w:ascii="宋体" w:hAnsi="宋体" w:cs="宋体"/>
          <w:sz w:val="24"/>
          <w:highlight w:val="none"/>
        </w:rPr>
      </w:pPr>
    </w:p>
    <w:p>
      <w:pPr>
        <w:ind w:left="0" w:leftChars="0" w:firstLine="1260" w:firstLineChars="525"/>
        <w:rPr>
          <w:rFonts w:ascii="宋体" w:hAnsi="宋体" w:cs="宋体"/>
          <w:sz w:val="24"/>
          <w:highlight w:val="none"/>
        </w:rPr>
      </w:pPr>
      <w:r>
        <w:rPr>
          <w:rFonts w:hint="eastAsia" w:ascii="宋体" w:hAnsi="宋体" w:cs="宋体"/>
          <w:sz w:val="24"/>
          <w:highlight w:val="none"/>
        </w:rPr>
        <w:t>供应商：（企业电子签章）</w:t>
      </w:r>
    </w:p>
    <w:p>
      <w:pPr>
        <w:ind w:left="0" w:leftChars="0" w:firstLine="1260" w:firstLineChars="525"/>
        <w:jc w:val="center"/>
        <w:rPr>
          <w:rFonts w:ascii="宋体" w:hAnsi="宋体" w:cs="宋体"/>
          <w:sz w:val="24"/>
          <w:highlight w:val="none"/>
        </w:rPr>
      </w:pPr>
    </w:p>
    <w:p>
      <w:pPr>
        <w:ind w:left="0" w:leftChars="0" w:firstLine="1260" w:firstLineChars="525"/>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szCs w:val="20"/>
          <w:highlight w:val="none"/>
        </w:rPr>
        <w:t>或其委托代理人</w:t>
      </w:r>
      <w:r>
        <w:rPr>
          <w:rFonts w:hint="eastAsia" w:ascii="宋体" w:hAnsi="宋体" w:cs="宋体"/>
          <w:sz w:val="24"/>
          <w:highlight w:val="none"/>
        </w:rPr>
        <w:t>：（签字或盖章）</w:t>
      </w:r>
    </w:p>
    <w:p>
      <w:pPr>
        <w:ind w:left="0" w:leftChars="0" w:firstLine="1260" w:firstLineChars="525"/>
        <w:jc w:val="center"/>
        <w:rPr>
          <w:rFonts w:ascii="宋体" w:hAnsi="宋体" w:cs="宋体"/>
          <w:sz w:val="24"/>
          <w:highlight w:val="none"/>
        </w:rPr>
      </w:pPr>
    </w:p>
    <w:p>
      <w:pPr>
        <w:ind w:left="0" w:leftChars="0" w:firstLine="1260" w:firstLineChars="525"/>
        <w:rPr>
          <w:rFonts w:ascii="宋体" w:hAnsi="宋体" w:cs="宋体"/>
          <w:sz w:val="24"/>
          <w:highlight w:val="none"/>
        </w:rPr>
      </w:pPr>
      <w:r>
        <w:rPr>
          <w:rFonts w:hint="eastAsia" w:ascii="宋体" w:hAnsi="宋体" w:cs="宋体"/>
          <w:sz w:val="24"/>
          <w:highlight w:val="none"/>
        </w:rPr>
        <w:t>日  期：     年   月   日</w:t>
      </w:r>
    </w:p>
    <w:p>
      <w:pPr>
        <w:spacing w:line="600" w:lineRule="exact"/>
        <w:ind w:firstLine="480" w:firstLineChars="200"/>
        <w:rPr>
          <w:rFonts w:hint="eastAsia" w:ascii="宋体" w:hAnsi="宋体" w:cs="宋体"/>
          <w:sz w:val="24"/>
          <w:highlight w:val="none"/>
          <w:lang w:val="en-US" w:eastAsia="zh-CN"/>
        </w:rPr>
      </w:pPr>
    </w:p>
    <w:p>
      <w:pPr>
        <w:pStyle w:val="22"/>
        <w:keepNext w:val="0"/>
        <w:keepLines w:val="0"/>
        <w:pageBreakBefore/>
        <w:widowControl w:val="0"/>
        <w:kinsoku/>
        <w:wordWrap/>
        <w:overflowPunct/>
        <w:topLinePunct w:val="0"/>
        <w:autoSpaceDE/>
        <w:autoSpaceDN/>
        <w:bidi w:val="0"/>
        <w:adjustRightInd/>
        <w:snapToGrid/>
        <w:spacing w:before="120" w:beforeAutospacing="0" w:after="120" w:afterAutospacing="0" w:line="500" w:lineRule="exact"/>
        <w:ind w:right="29" w:rightChars="14"/>
        <w:jc w:val="center"/>
        <w:textAlignment w:val="auto"/>
        <w:outlineLvl w:val="1"/>
        <w:rPr>
          <w:sz w:val="28"/>
          <w:szCs w:val="28"/>
          <w:highlight w:val="none"/>
          <w:shd w:val="clear" w:color="FFFFFF" w:fill="D9D9D9"/>
        </w:rPr>
      </w:pPr>
      <w:bookmarkStart w:id="430" w:name="_Toc30310"/>
      <w:r>
        <w:rPr>
          <w:rFonts w:hint="eastAsia"/>
          <w:b/>
          <w:kern w:val="2"/>
          <w:sz w:val="28"/>
          <w:szCs w:val="28"/>
          <w:highlight w:val="none"/>
          <w:lang w:eastAsia="zh-CN"/>
        </w:rPr>
        <w:t>十二</w:t>
      </w:r>
      <w:r>
        <w:rPr>
          <w:rFonts w:hint="eastAsia"/>
          <w:b/>
          <w:kern w:val="2"/>
          <w:sz w:val="28"/>
          <w:szCs w:val="28"/>
          <w:highlight w:val="none"/>
        </w:rPr>
        <w:t>、招标文件要求的或供应商认为须提交的其他材料</w:t>
      </w:r>
      <w:bookmarkEnd w:id="405"/>
      <w:bookmarkEnd w:id="406"/>
      <w:bookmarkEnd w:id="407"/>
      <w:bookmarkEnd w:id="408"/>
      <w:bookmarkEnd w:id="430"/>
    </w:p>
    <w:p>
      <w:pPr>
        <w:spacing w:line="600" w:lineRule="exact"/>
        <w:jc w:val="center"/>
        <w:rPr>
          <w:rFonts w:ascii="宋体" w:hAnsi="宋体" w:cs="宋体"/>
          <w:sz w:val="24"/>
          <w:highlight w:val="none"/>
        </w:rPr>
      </w:pPr>
      <w:r>
        <w:rPr>
          <w:rFonts w:hint="eastAsia" w:ascii="宋体" w:hAnsi="宋体" w:cs="宋体"/>
          <w:sz w:val="24"/>
          <w:highlight w:val="none"/>
        </w:rPr>
        <w:t>招标文件规定的其他资料及供应商认为需要提交的其他材料。</w:t>
      </w:r>
    </w:p>
    <w:p>
      <w:pPr>
        <w:spacing w:line="600" w:lineRule="exact"/>
        <w:ind w:firstLine="480" w:firstLineChars="200"/>
        <w:rPr>
          <w:rFonts w:ascii="宋体" w:hAnsi="宋体" w:cs="宋体"/>
          <w:sz w:val="24"/>
          <w:highlight w:val="none"/>
        </w:rPr>
      </w:pPr>
    </w:p>
    <w:p>
      <w:pPr>
        <w:widowControl/>
        <w:spacing w:line="580" w:lineRule="atLeast"/>
        <w:jc w:val="center"/>
        <w:rPr>
          <w:rFonts w:ascii="宋体" w:hAnsi="宋体" w:cs="宋体"/>
          <w:b/>
          <w:kern w:val="0"/>
          <w:sz w:val="32"/>
          <w:szCs w:val="32"/>
          <w:highlight w:val="none"/>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cs="宋体"/>
          <w:sz w:val="28"/>
          <w:szCs w:val="28"/>
          <w:highlight w:val="none"/>
        </w:rPr>
      </w:pPr>
      <w:r>
        <w:rPr>
          <w:rFonts w:hint="eastAsia" w:ascii="宋体" w:hAnsi="宋体" w:cs="宋体"/>
          <w:b/>
          <w:sz w:val="28"/>
          <w:szCs w:val="28"/>
          <w:highlight w:val="none"/>
        </w:rPr>
        <w:t>优化和提升政府采购政策</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一、全面取消采购文件费用和投标保证金费用。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二、免收履约保证金。确因项目需要的，应以保函等非现金形式收取，比例不得超过合同金额的</w:t>
      </w:r>
      <w:r>
        <w:rPr>
          <w:rFonts w:hint="eastAsia" w:ascii="宋体" w:hAnsi="宋体" w:cs="宋体"/>
          <w:sz w:val="24"/>
          <w:highlight w:val="none"/>
          <w:u w:val="single"/>
        </w:rPr>
        <w:t>6%</w:t>
      </w:r>
      <w:r>
        <w:rPr>
          <w:rFonts w:hint="eastAsia" w:ascii="宋体" w:hAnsi="宋体" w:cs="宋体"/>
          <w:sz w:val="24"/>
          <w:highlight w:val="none"/>
        </w:rPr>
        <w:t>，并按约定的时间和条件退还。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三、评标结果确认时限。自评标（评审）结束后应2个工作日内确定中标供应商，5个工作日内公告结果，同时发送中标通知书。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四、合同签订时限。自中标通知书发出之日起</w:t>
      </w:r>
      <w:r>
        <w:rPr>
          <w:rFonts w:hint="eastAsia" w:ascii="宋体" w:hAnsi="宋体" w:cs="宋体"/>
          <w:sz w:val="24"/>
          <w:highlight w:val="none"/>
          <w:u w:val="single"/>
        </w:rPr>
        <w:t>15</w:t>
      </w:r>
      <w:r>
        <w:rPr>
          <w:rFonts w:hint="eastAsia" w:ascii="宋体" w:hAnsi="宋体" w:cs="宋体"/>
          <w:sz w:val="24"/>
          <w:highlight w:val="none"/>
        </w:rPr>
        <w:t xml:space="preserve">日内，按照采购文件和投标文件确定的事项签订政府采购合同。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五、合同公告和备案时限。自合同签订之日起2个工作日内。</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六、项目验收。自收到供应商项目验收建议之日起7个工作日内组织验收；验收结束后2个工作日内出具《验收报告》，并在焦作市政府采购网公告验收结果。</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七、资金支付。按照合同约定的条件及时支付资金，不得因机构变更、人员更替、政策调整等原因拒绝或延迟资金支付。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在政府采购活动中，若发现采购人或采购代理机构未按以上政策执行的，可向监督部门举报反映。</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监督单位：博爱县财政局政府采购监督管理办公室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监督电话：0391-8683273</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highlight w:val="none"/>
          <w:shd w:val="clear" w:color="auto" w:fill="FFFFFF"/>
        </w:rPr>
      </w:pPr>
      <w:r>
        <w:rPr>
          <w:rFonts w:hint="eastAsia" w:ascii="宋体" w:hAnsi="宋体" w:cs="宋体"/>
          <w:sz w:val="24"/>
          <w:highlight w:val="none"/>
          <w:shd w:val="clear" w:color="auto" w:fill="FFFFFF"/>
        </w:rPr>
        <w:t>地址：博爱县发展大道188号机关综合办公楼主楼1213室</w:t>
      </w:r>
    </w:p>
    <w:p>
      <w:pPr>
        <w:spacing w:line="440" w:lineRule="exact"/>
        <w:jc w:val="center"/>
        <w:rPr>
          <w:rFonts w:ascii="宋体" w:hAnsi="宋体" w:cs="宋体"/>
          <w:b/>
          <w:sz w:val="36"/>
          <w:szCs w:val="36"/>
          <w:highlight w:val="none"/>
        </w:rPr>
      </w:pPr>
    </w:p>
    <w:p>
      <w:pPr>
        <w:pStyle w:val="36"/>
        <w:rPr>
          <w:rFonts w:ascii="宋体" w:hAnsi="宋体" w:cs="宋体"/>
          <w:highlight w:val="none"/>
        </w:rPr>
      </w:pPr>
    </w:p>
    <w:p>
      <w:pPr>
        <w:spacing w:line="440" w:lineRule="exact"/>
        <w:jc w:val="center"/>
        <w:rPr>
          <w:rFonts w:ascii="宋体" w:hAnsi="宋体" w:cs="宋体"/>
          <w:b/>
          <w:sz w:val="36"/>
          <w:szCs w:val="36"/>
          <w:highlight w:val="none"/>
        </w:rPr>
      </w:pPr>
    </w:p>
    <w:p>
      <w:pPr>
        <w:keepNext w:val="0"/>
        <w:keepLines w:val="0"/>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b/>
          <w:sz w:val="28"/>
          <w:szCs w:val="28"/>
          <w:highlight w:val="none"/>
        </w:rPr>
      </w:pPr>
      <w:r>
        <w:rPr>
          <w:rFonts w:hint="eastAsia" w:ascii="宋体" w:hAnsi="宋体" w:cs="宋体"/>
          <w:b/>
          <w:sz w:val="28"/>
          <w:szCs w:val="28"/>
          <w:highlight w:val="none"/>
        </w:rPr>
        <w:t>河南省政府采购合同融资政策告知函</w:t>
      </w:r>
    </w:p>
    <w:p>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各供应商：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bCs/>
          <w:sz w:val="24"/>
          <w:highlight w:val="none"/>
        </w:rPr>
      </w:pPr>
      <w:r>
        <w:rPr>
          <w:rFonts w:hint="eastAsia" w:ascii="宋体" w:hAnsi="宋体" w:cs="宋体"/>
          <w:bCs/>
          <w:sz w:val="24"/>
          <w:highlight w:val="none"/>
        </w:rPr>
        <w:t xml:space="preserve">   欢迎贵公司参与河南省政府采购活动！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pPr>
        <w:jc w:val="center"/>
        <w:rPr>
          <w:rFonts w:ascii="宋体" w:hAnsi="宋体" w:cs="宋体"/>
          <w:b/>
          <w:sz w:val="32"/>
          <w:szCs w:val="32"/>
          <w:highlight w:val="none"/>
        </w:rPr>
      </w:pPr>
      <w:r>
        <w:rPr>
          <w:rFonts w:hint="eastAsia" w:ascii="宋体" w:hAnsi="宋体" w:cs="宋体"/>
          <w:b/>
          <w:sz w:val="32"/>
          <w:szCs w:val="32"/>
          <w:highlight w:val="none"/>
        </w:rPr>
        <w:t>焦作市政府采购合同融资合作企业</w:t>
      </w:r>
    </w:p>
    <w:tbl>
      <w:tblPr>
        <w:tblStyle w:val="2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071"/>
        <w:gridCol w:w="180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145" w:type="dxa"/>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名称</w:t>
            </w:r>
          </w:p>
        </w:tc>
        <w:tc>
          <w:tcPr>
            <w:tcW w:w="1071" w:type="dxa"/>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联系人</w:t>
            </w:r>
          </w:p>
        </w:tc>
        <w:tc>
          <w:tcPr>
            <w:tcW w:w="1800" w:type="dxa"/>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联系电话</w:t>
            </w:r>
          </w:p>
        </w:tc>
        <w:tc>
          <w:tcPr>
            <w:tcW w:w="2507" w:type="dxa"/>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中国农业银行股份有限公司焦作分行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中国银行股份有限公司焦作分行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中国建设银行股份有限公司焦作分行</w:t>
            </w:r>
          </w:p>
        </w:tc>
        <w:tc>
          <w:tcPr>
            <w:tcW w:w="1071"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李华莹</w:t>
            </w:r>
          </w:p>
        </w:tc>
        <w:tc>
          <w:tcPr>
            <w:tcW w:w="1800"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0391-3918471</w:t>
            </w:r>
          </w:p>
        </w:tc>
        <w:tc>
          <w:tcPr>
            <w:tcW w:w="2507" w:type="dxa"/>
            <w:shd w:val="solid" w:color="FFFFFF"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焦作中旅银行股份有限公司</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中信银行股份有限公司焦作分行</w:t>
            </w:r>
          </w:p>
        </w:tc>
        <w:tc>
          <w:tcPr>
            <w:tcW w:w="1071"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jc w:val="center"/>
              <w:rPr>
                <w:rFonts w:ascii="宋体" w:hAnsi="宋体" w:cs="宋体"/>
                <w:sz w:val="24"/>
                <w:highlight w:val="none"/>
              </w:rPr>
            </w:pPr>
            <w:r>
              <w:rPr>
                <w:rFonts w:hint="eastAsia" w:ascii="宋体" w:hAnsi="宋体" w:cs="宋体"/>
                <w:sz w:val="24"/>
                <w:highlight w:val="none"/>
              </w:rPr>
              <w:t>周江江</w:t>
            </w:r>
          </w:p>
        </w:tc>
        <w:tc>
          <w:tcPr>
            <w:tcW w:w="1800"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17639185001</w:t>
            </w:r>
          </w:p>
        </w:tc>
        <w:tc>
          <w:tcPr>
            <w:tcW w:w="2507" w:type="dxa"/>
            <w:shd w:val="solid" w:color="FFFFFF"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bCs/>
                <w:sz w:val="24"/>
                <w:highlight w:val="none"/>
              </w:rPr>
              <w:t>中国光大银行股份有限公司焦作分行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中原银行股份有限公司焦作分行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145" w:type="dxa"/>
            <w:shd w:val="clear" w:color="auto" w:fill="auto"/>
            <w:vAlign w:val="center"/>
          </w:tcPr>
          <w:p>
            <w:pPr>
              <w:keepNext w:val="0"/>
              <w:keepLines w:val="0"/>
              <w:pageBreakBefore w:val="0"/>
              <w:widowControl/>
              <w:suppressLineNumbers w:val="0"/>
              <w:tabs>
                <w:tab w:val="left" w:pos="0"/>
              </w:tabs>
              <w:kinsoku/>
              <w:wordWrap/>
              <w:overflowPunct/>
              <w:topLinePunct w:val="0"/>
              <w:autoSpaceDE/>
              <w:bidi w:val="0"/>
              <w:adjustRightInd/>
              <w:snapToGrid w:val="0"/>
              <w:spacing w:before="0" w:beforeAutospacing="0" w:after="0" w:afterAutospacing="0" w:line="240" w:lineRule="auto"/>
              <w:ind w:left="0" w:right="0"/>
              <w:rPr>
                <w:rFonts w:ascii="宋体" w:hAnsi="宋体" w:cs="宋体"/>
                <w:sz w:val="24"/>
                <w:highlight w:val="none"/>
              </w:rPr>
            </w:pPr>
            <w:r>
              <w:rPr>
                <w:rFonts w:hint="eastAsia" w:ascii="宋体" w:hAnsi="宋体" w:cs="宋体"/>
                <w:sz w:val="24"/>
                <w:highlight w:val="none"/>
              </w:rPr>
              <w:t>广发银行股份有限公司焦作分行</w:t>
            </w:r>
          </w:p>
        </w:tc>
        <w:tc>
          <w:tcPr>
            <w:tcW w:w="1071"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1800"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507" w:type="dxa"/>
            <w:shd w:val="solid" w:color="FFFFFF" w:fill="auto"/>
            <w:vAlign w:val="center"/>
          </w:tcPr>
          <w:p>
            <w:pPr>
              <w:keepNext w:val="0"/>
              <w:keepLines w:val="0"/>
              <w:pageBreakBefore w:val="0"/>
              <w:suppressLineNumbers w:val="0"/>
              <w:shd w:val="solid" w:color="FFFFFF" w:fill="auto"/>
              <w:kinsoku/>
              <w:wordWrap/>
              <w:overflowPunct/>
              <w:topLinePunct w:val="0"/>
              <w:autoSpaceDE/>
              <w:autoSpaceDN w:val="0"/>
              <w:bidi w:val="0"/>
              <w:adjustRightInd/>
              <w:snapToGrid w:val="0"/>
              <w:spacing w:before="0" w:beforeAutospacing="0" w:after="0" w:afterAutospacing="0" w:line="240" w:lineRule="auto"/>
              <w:ind w:left="0" w:right="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pPr>
        <w:rPr>
          <w:rFonts w:ascii="宋体" w:hAnsi="宋体" w:cs="宋体"/>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headerReference r:id="rId3" w:type="default"/>
      <w:footerReference r:id="rId4" w:type="default"/>
      <w:pgSz w:w="11907" w:h="16840"/>
      <w:pgMar w:top="1440" w:right="1803" w:bottom="1440" w:left="1803" w:header="850" w:footer="998" w:gutter="0"/>
      <w:pgNumType w:fmt="decimal"/>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16"/>
        <w:szCs w:val="22"/>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D15F8"/>
    <w:multiLevelType w:val="singleLevel"/>
    <w:tmpl w:val="912D15F8"/>
    <w:lvl w:ilvl="0" w:tentative="0">
      <w:start w:val="1"/>
      <w:numFmt w:val="decimal"/>
      <w:suff w:val="nothing"/>
      <w:lvlText w:val="%1、"/>
      <w:lvlJc w:val="left"/>
    </w:lvl>
  </w:abstractNum>
  <w:abstractNum w:abstractNumId="1">
    <w:nsid w:val="95CFD23E"/>
    <w:multiLevelType w:val="singleLevel"/>
    <w:tmpl w:val="95CFD23E"/>
    <w:lvl w:ilvl="0" w:tentative="0">
      <w:start w:val="1"/>
      <w:numFmt w:val="decimal"/>
      <w:suff w:val="nothing"/>
      <w:lvlText w:val="%1、"/>
      <w:lvlJc w:val="left"/>
      <w:rPr>
        <w:rFonts w:hint="default" w:ascii="Calibri" w:hAnsi="Calibri" w:cs="Calibri"/>
      </w:rPr>
    </w:lvl>
  </w:abstractNum>
  <w:abstractNum w:abstractNumId="2">
    <w:nsid w:val="991CA8CD"/>
    <w:multiLevelType w:val="singleLevel"/>
    <w:tmpl w:val="991CA8CD"/>
    <w:lvl w:ilvl="0" w:tentative="0">
      <w:start w:val="1"/>
      <w:numFmt w:val="decimal"/>
      <w:suff w:val="nothing"/>
      <w:lvlText w:val="%1、"/>
      <w:lvlJc w:val="left"/>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B958D493"/>
    <w:multiLevelType w:val="singleLevel"/>
    <w:tmpl w:val="B958D493"/>
    <w:lvl w:ilvl="0" w:tentative="0">
      <w:start w:val="6"/>
      <w:numFmt w:val="decimal"/>
      <w:suff w:val="nothing"/>
      <w:lvlText w:val="（%1）"/>
      <w:lvlJc w:val="left"/>
    </w:lvl>
  </w:abstractNum>
  <w:abstractNum w:abstractNumId="5">
    <w:nsid w:val="DDE36564"/>
    <w:multiLevelType w:val="singleLevel"/>
    <w:tmpl w:val="DDE36564"/>
    <w:lvl w:ilvl="0" w:tentative="0">
      <w:start w:val="1"/>
      <w:numFmt w:val="decimal"/>
      <w:suff w:val="nothing"/>
      <w:lvlText w:val="%1、"/>
      <w:lvlJc w:val="left"/>
    </w:lvl>
  </w:abstractNum>
  <w:abstractNum w:abstractNumId="6">
    <w:nsid w:val="FE0F8296"/>
    <w:multiLevelType w:val="singleLevel"/>
    <w:tmpl w:val="FE0F8296"/>
    <w:lvl w:ilvl="0" w:tentative="0">
      <w:start w:val="1"/>
      <w:numFmt w:val="decimal"/>
      <w:suff w:val="nothing"/>
      <w:lvlText w:val="%1、"/>
      <w:lvlJc w:val="left"/>
    </w:lvl>
  </w:abstractNum>
  <w:abstractNum w:abstractNumId="7">
    <w:nsid w:val="068AA52C"/>
    <w:multiLevelType w:val="singleLevel"/>
    <w:tmpl w:val="068AA52C"/>
    <w:lvl w:ilvl="0" w:tentative="0">
      <w:start w:val="1"/>
      <w:numFmt w:val="decimal"/>
      <w:suff w:val="nothing"/>
      <w:lvlText w:val="%1、"/>
      <w:lvlJc w:val="left"/>
      <w:rPr>
        <w:rFonts w:hint="default" w:ascii="Calibri" w:hAnsi="Calibri" w:cs="Calibri"/>
      </w:rPr>
    </w:lvl>
  </w:abstractNum>
  <w:abstractNum w:abstractNumId="8">
    <w:nsid w:val="074054F6"/>
    <w:multiLevelType w:val="multilevel"/>
    <w:tmpl w:val="074054F6"/>
    <w:lvl w:ilvl="0" w:tentative="0">
      <w:start w:val="1"/>
      <w:numFmt w:val="decimal"/>
      <w:pStyle w:val="4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8A580E"/>
    <w:multiLevelType w:val="singleLevel"/>
    <w:tmpl w:val="1C8A580E"/>
    <w:lvl w:ilvl="0" w:tentative="0">
      <w:start w:val="1"/>
      <w:numFmt w:val="decimal"/>
      <w:suff w:val="nothing"/>
      <w:lvlText w:val="%1、"/>
      <w:lvlJc w:val="left"/>
      <w:rPr>
        <w:rFonts w:hint="default" w:ascii="Calibri" w:hAnsi="Calibri" w:cs="Calibri"/>
      </w:rPr>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463D1D92"/>
    <w:multiLevelType w:val="singleLevel"/>
    <w:tmpl w:val="463D1D92"/>
    <w:lvl w:ilvl="0" w:tentative="0">
      <w:start w:val="1"/>
      <w:numFmt w:val="decimal"/>
      <w:suff w:val="nothing"/>
      <w:lvlText w:val="%1、"/>
      <w:lvlJc w:val="left"/>
    </w:lvl>
  </w:abstractNum>
  <w:abstractNum w:abstractNumId="12">
    <w:nsid w:val="4F8DA2EF"/>
    <w:multiLevelType w:val="singleLevel"/>
    <w:tmpl w:val="4F8DA2EF"/>
    <w:lvl w:ilvl="0" w:tentative="0">
      <w:start w:val="1"/>
      <w:numFmt w:val="decimal"/>
      <w:suff w:val="nothing"/>
      <w:lvlText w:val="%1、"/>
      <w:lvlJc w:val="left"/>
      <w:rPr>
        <w:rFonts w:hint="default" w:ascii="Calibri" w:hAnsi="Calibri" w:cs="Calibri"/>
      </w:rPr>
    </w:lvl>
  </w:abstractNum>
  <w:abstractNum w:abstractNumId="13">
    <w:nsid w:val="58296E4B"/>
    <w:multiLevelType w:val="singleLevel"/>
    <w:tmpl w:val="58296E4B"/>
    <w:lvl w:ilvl="0" w:tentative="0">
      <w:start w:val="1"/>
      <w:numFmt w:val="decimal"/>
      <w:suff w:val="nothing"/>
      <w:lvlText w:val="%1、"/>
      <w:lvlJc w:val="left"/>
      <w:pPr>
        <w:ind w:left="0"/>
      </w:pPr>
    </w:lvl>
  </w:abstractNum>
  <w:abstractNum w:abstractNumId="14">
    <w:nsid w:val="7D156089"/>
    <w:multiLevelType w:val="singleLevel"/>
    <w:tmpl w:val="7D156089"/>
    <w:lvl w:ilvl="0" w:tentative="0">
      <w:start w:val="1"/>
      <w:numFmt w:val="decimal"/>
      <w:suff w:val="nothing"/>
      <w:lvlText w:val="%1、"/>
      <w:lvlJc w:val="left"/>
      <w:rPr>
        <w:rFonts w:hint="default"/>
        <w:color w:val="000000"/>
      </w:rPr>
    </w:lvl>
  </w:abstractNum>
  <w:num w:numId="1">
    <w:abstractNumId w:val="8"/>
  </w:num>
  <w:num w:numId="2">
    <w:abstractNumId w:val="3"/>
  </w:num>
  <w:num w:numId="3">
    <w:abstractNumId w:val="4"/>
  </w:num>
  <w:num w:numId="4">
    <w:abstractNumId w:val="13"/>
  </w:num>
  <w:num w:numId="5">
    <w:abstractNumId w:val="14"/>
  </w:num>
  <w:num w:numId="6">
    <w:abstractNumId w:val="1"/>
  </w:num>
  <w:num w:numId="7">
    <w:abstractNumId w:val="7"/>
  </w:num>
  <w:num w:numId="8">
    <w:abstractNumId w:val="5"/>
  </w:num>
  <w:num w:numId="9">
    <w:abstractNumId w:val="11"/>
  </w:num>
  <w:num w:numId="10">
    <w:abstractNumId w:val="6"/>
  </w:num>
  <w:num w:numId="11">
    <w:abstractNumId w:val="12"/>
  </w:num>
  <w:num w:numId="12">
    <w:abstractNumId w:val="9"/>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NDUzZjFlNjVjNjgxY2RiMzA0MDY5NGFlMmFlYWIifQ=="/>
  </w:docVars>
  <w:rsids>
    <w:rsidRoot w:val="00CF3BAF"/>
    <w:rsid w:val="000E2D26"/>
    <w:rsid w:val="00281BCC"/>
    <w:rsid w:val="0034193D"/>
    <w:rsid w:val="0036139C"/>
    <w:rsid w:val="003641CF"/>
    <w:rsid w:val="00382698"/>
    <w:rsid w:val="0038292E"/>
    <w:rsid w:val="003B0152"/>
    <w:rsid w:val="00414B3D"/>
    <w:rsid w:val="004E39AE"/>
    <w:rsid w:val="00531C94"/>
    <w:rsid w:val="005D05AD"/>
    <w:rsid w:val="006479DF"/>
    <w:rsid w:val="0066418C"/>
    <w:rsid w:val="00666E50"/>
    <w:rsid w:val="006B2CA3"/>
    <w:rsid w:val="006D7342"/>
    <w:rsid w:val="006D778E"/>
    <w:rsid w:val="00723732"/>
    <w:rsid w:val="007240B4"/>
    <w:rsid w:val="007944BD"/>
    <w:rsid w:val="007E7D25"/>
    <w:rsid w:val="00823A9C"/>
    <w:rsid w:val="009424C4"/>
    <w:rsid w:val="00985332"/>
    <w:rsid w:val="009D73E0"/>
    <w:rsid w:val="00AB75B4"/>
    <w:rsid w:val="00B156D1"/>
    <w:rsid w:val="00C94A06"/>
    <w:rsid w:val="00C94AF7"/>
    <w:rsid w:val="00C94F3C"/>
    <w:rsid w:val="00CF3BAF"/>
    <w:rsid w:val="00D049E6"/>
    <w:rsid w:val="00D11977"/>
    <w:rsid w:val="00D904BB"/>
    <w:rsid w:val="00D907EC"/>
    <w:rsid w:val="00E0562D"/>
    <w:rsid w:val="00E61A34"/>
    <w:rsid w:val="00E72FB4"/>
    <w:rsid w:val="00ED4C0B"/>
    <w:rsid w:val="00F53A00"/>
    <w:rsid w:val="00FB3E02"/>
    <w:rsid w:val="00FC74CB"/>
    <w:rsid w:val="015A0ED7"/>
    <w:rsid w:val="019C74BD"/>
    <w:rsid w:val="01A249C3"/>
    <w:rsid w:val="01CC5F82"/>
    <w:rsid w:val="01CD0413"/>
    <w:rsid w:val="0224187C"/>
    <w:rsid w:val="023A16F5"/>
    <w:rsid w:val="02534437"/>
    <w:rsid w:val="02A079AD"/>
    <w:rsid w:val="02AD7AC3"/>
    <w:rsid w:val="02B2279A"/>
    <w:rsid w:val="02C572FD"/>
    <w:rsid w:val="02D07C54"/>
    <w:rsid w:val="02D346FD"/>
    <w:rsid w:val="03237D85"/>
    <w:rsid w:val="033F393B"/>
    <w:rsid w:val="038D6339"/>
    <w:rsid w:val="03A07D45"/>
    <w:rsid w:val="03B629A7"/>
    <w:rsid w:val="03C3096B"/>
    <w:rsid w:val="03D05BB1"/>
    <w:rsid w:val="03EC16DB"/>
    <w:rsid w:val="03ED5BC4"/>
    <w:rsid w:val="03EF01A2"/>
    <w:rsid w:val="04351B1E"/>
    <w:rsid w:val="04446205"/>
    <w:rsid w:val="044C6E68"/>
    <w:rsid w:val="04730C9A"/>
    <w:rsid w:val="047563BF"/>
    <w:rsid w:val="047C67F1"/>
    <w:rsid w:val="04806EAA"/>
    <w:rsid w:val="048B5BE2"/>
    <w:rsid w:val="049A5F70"/>
    <w:rsid w:val="04BD38C2"/>
    <w:rsid w:val="04C133B2"/>
    <w:rsid w:val="04E04210"/>
    <w:rsid w:val="04E04DEC"/>
    <w:rsid w:val="04F14708"/>
    <w:rsid w:val="04F44273"/>
    <w:rsid w:val="04F574FF"/>
    <w:rsid w:val="051C181F"/>
    <w:rsid w:val="05476DA0"/>
    <w:rsid w:val="057D7DBB"/>
    <w:rsid w:val="0584083C"/>
    <w:rsid w:val="0587053C"/>
    <w:rsid w:val="05912F1C"/>
    <w:rsid w:val="05CF063D"/>
    <w:rsid w:val="05D709B3"/>
    <w:rsid w:val="05F257ED"/>
    <w:rsid w:val="061F1094"/>
    <w:rsid w:val="064662A5"/>
    <w:rsid w:val="064B06AE"/>
    <w:rsid w:val="064B3EA8"/>
    <w:rsid w:val="065E2E82"/>
    <w:rsid w:val="06760F6D"/>
    <w:rsid w:val="067F5595"/>
    <w:rsid w:val="069A3EBB"/>
    <w:rsid w:val="06D03D80"/>
    <w:rsid w:val="06F1337E"/>
    <w:rsid w:val="06FB674B"/>
    <w:rsid w:val="074D4119"/>
    <w:rsid w:val="076F5347"/>
    <w:rsid w:val="079923C4"/>
    <w:rsid w:val="07997BA5"/>
    <w:rsid w:val="08355432"/>
    <w:rsid w:val="083A174E"/>
    <w:rsid w:val="083B347B"/>
    <w:rsid w:val="083D3697"/>
    <w:rsid w:val="08675628"/>
    <w:rsid w:val="08760CC8"/>
    <w:rsid w:val="0885658D"/>
    <w:rsid w:val="08B6562F"/>
    <w:rsid w:val="090655BA"/>
    <w:rsid w:val="094B5940"/>
    <w:rsid w:val="09815806"/>
    <w:rsid w:val="09DE60EB"/>
    <w:rsid w:val="09EF451D"/>
    <w:rsid w:val="09F8593C"/>
    <w:rsid w:val="0A051F93"/>
    <w:rsid w:val="0A253323"/>
    <w:rsid w:val="0A645EB1"/>
    <w:rsid w:val="0A742C74"/>
    <w:rsid w:val="0ACE05D7"/>
    <w:rsid w:val="0AF674AA"/>
    <w:rsid w:val="0AFE4F5A"/>
    <w:rsid w:val="0B057D70"/>
    <w:rsid w:val="0B072F0F"/>
    <w:rsid w:val="0B2D5070"/>
    <w:rsid w:val="0B4A6B00"/>
    <w:rsid w:val="0B664CB3"/>
    <w:rsid w:val="0B9335CE"/>
    <w:rsid w:val="0BA457DB"/>
    <w:rsid w:val="0BF95B27"/>
    <w:rsid w:val="0C051155"/>
    <w:rsid w:val="0C076843"/>
    <w:rsid w:val="0C1A1EAE"/>
    <w:rsid w:val="0C2D57D1"/>
    <w:rsid w:val="0CBA5DD0"/>
    <w:rsid w:val="0CBE467B"/>
    <w:rsid w:val="0CD05128"/>
    <w:rsid w:val="0CDA3277"/>
    <w:rsid w:val="0CF955DF"/>
    <w:rsid w:val="0D106594"/>
    <w:rsid w:val="0D270828"/>
    <w:rsid w:val="0D297A40"/>
    <w:rsid w:val="0D380844"/>
    <w:rsid w:val="0D3A1F53"/>
    <w:rsid w:val="0D792EC2"/>
    <w:rsid w:val="0D81592D"/>
    <w:rsid w:val="0D8716C8"/>
    <w:rsid w:val="0DA373F4"/>
    <w:rsid w:val="0DB72D12"/>
    <w:rsid w:val="0DC71EAB"/>
    <w:rsid w:val="0DE853AC"/>
    <w:rsid w:val="0E372AA8"/>
    <w:rsid w:val="0E386E38"/>
    <w:rsid w:val="0E412ABE"/>
    <w:rsid w:val="0E651252"/>
    <w:rsid w:val="0E682982"/>
    <w:rsid w:val="0E8C0D4D"/>
    <w:rsid w:val="0E8F5A50"/>
    <w:rsid w:val="0EA33B28"/>
    <w:rsid w:val="0EC964EC"/>
    <w:rsid w:val="0EDC105C"/>
    <w:rsid w:val="0EDE6CBA"/>
    <w:rsid w:val="0EF32EFA"/>
    <w:rsid w:val="0F0410E0"/>
    <w:rsid w:val="0F2464E9"/>
    <w:rsid w:val="0F5512C6"/>
    <w:rsid w:val="0FA065E1"/>
    <w:rsid w:val="0FDE2EA6"/>
    <w:rsid w:val="0FE73EE9"/>
    <w:rsid w:val="1012372A"/>
    <w:rsid w:val="101D658D"/>
    <w:rsid w:val="10305890"/>
    <w:rsid w:val="103D2690"/>
    <w:rsid w:val="10544429"/>
    <w:rsid w:val="107A1722"/>
    <w:rsid w:val="107A696A"/>
    <w:rsid w:val="10BB41F6"/>
    <w:rsid w:val="110F7AF4"/>
    <w:rsid w:val="11294F78"/>
    <w:rsid w:val="115D157E"/>
    <w:rsid w:val="11997E91"/>
    <w:rsid w:val="119A56B6"/>
    <w:rsid w:val="11A25357"/>
    <w:rsid w:val="11B34CF4"/>
    <w:rsid w:val="11CD6280"/>
    <w:rsid w:val="11E80B0D"/>
    <w:rsid w:val="11EC5893"/>
    <w:rsid w:val="11F2782C"/>
    <w:rsid w:val="12055F77"/>
    <w:rsid w:val="121A2353"/>
    <w:rsid w:val="12253125"/>
    <w:rsid w:val="12253216"/>
    <w:rsid w:val="125F42F7"/>
    <w:rsid w:val="12A473AA"/>
    <w:rsid w:val="12AA67B8"/>
    <w:rsid w:val="133B1DE5"/>
    <w:rsid w:val="134D0507"/>
    <w:rsid w:val="137150DC"/>
    <w:rsid w:val="13732E71"/>
    <w:rsid w:val="13901621"/>
    <w:rsid w:val="1395655F"/>
    <w:rsid w:val="13CF2086"/>
    <w:rsid w:val="13EB079C"/>
    <w:rsid w:val="13FF40BD"/>
    <w:rsid w:val="14397409"/>
    <w:rsid w:val="143C687A"/>
    <w:rsid w:val="144162BD"/>
    <w:rsid w:val="144353ED"/>
    <w:rsid w:val="144D63F0"/>
    <w:rsid w:val="14513BB7"/>
    <w:rsid w:val="14542E3B"/>
    <w:rsid w:val="14760ADB"/>
    <w:rsid w:val="14860849"/>
    <w:rsid w:val="14BB41B2"/>
    <w:rsid w:val="14E629C1"/>
    <w:rsid w:val="14F0135A"/>
    <w:rsid w:val="14F2765E"/>
    <w:rsid w:val="15066DB8"/>
    <w:rsid w:val="151E6AFE"/>
    <w:rsid w:val="15210B5F"/>
    <w:rsid w:val="152E231F"/>
    <w:rsid w:val="159A1461"/>
    <w:rsid w:val="15A5287C"/>
    <w:rsid w:val="15DF1198"/>
    <w:rsid w:val="15DF5D8E"/>
    <w:rsid w:val="15FA238D"/>
    <w:rsid w:val="162A3DCF"/>
    <w:rsid w:val="164D1414"/>
    <w:rsid w:val="165F3BC6"/>
    <w:rsid w:val="16663DB9"/>
    <w:rsid w:val="167463F3"/>
    <w:rsid w:val="16997753"/>
    <w:rsid w:val="169D288C"/>
    <w:rsid w:val="16A018F6"/>
    <w:rsid w:val="16D2144F"/>
    <w:rsid w:val="16D65438"/>
    <w:rsid w:val="16EB2510"/>
    <w:rsid w:val="1706617A"/>
    <w:rsid w:val="1712066B"/>
    <w:rsid w:val="17350DFC"/>
    <w:rsid w:val="174E00A5"/>
    <w:rsid w:val="17515DC5"/>
    <w:rsid w:val="178070FD"/>
    <w:rsid w:val="179C380B"/>
    <w:rsid w:val="17AC6DF4"/>
    <w:rsid w:val="17D02C45"/>
    <w:rsid w:val="18247F4A"/>
    <w:rsid w:val="183D74A2"/>
    <w:rsid w:val="188327F5"/>
    <w:rsid w:val="18A856F5"/>
    <w:rsid w:val="18AE13FF"/>
    <w:rsid w:val="18C45473"/>
    <w:rsid w:val="18DF6EA4"/>
    <w:rsid w:val="191169DA"/>
    <w:rsid w:val="196A7BE4"/>
    <w:rsid w:val="19CC03D7"/>
    <w:rsid w:val="19CD0334"/>
    <w:rsid w:val="19DE4DBB"/>
    <w:rsid w:val="19ED1CDC"/>
    <w:rsid w:val="19EF2318"/>
    <w:rsid w:val="19FF69FF"/>
    <w:rsid w:val="1A2B26E2"/>
    <w:rsid w:val="1A843CE5"/>
    <w:rsid w:val="1A913822"/>
    <w:rsid w:val="1A957E6A"/>
    <w:rsid w:val="1AFA02FF"/>
    <w:rsid w:val="1B041DF3"/>
    <w:rsid w:val="1B1F03A0"/>
    <w:rsid w:val="1B33310F"/>
    <w:rsid w:val="1BD529D4"/>
    <w:rsid w:val="1BE9127A"/>
    <w:rsid w:val="1BEC2A23"/>
    <w:rsid w:val="1C211654"/>
    <w:rsid w:val="1C2269D4"/>
    <w:rsid w:val="1C2D32A0"/>
    <w:rsid w:val="1C352369"/>
    <w:rsid w:val="1C753023"/>
    <w:rsid w:val="1C9363D1"/>
    <w:rsid w:val="1CBF06C7"/>
    <w:rsid w:val="1CD57C9C"/>
    <w:rsid w:val="1CEB326A"/>
    <w:rsid w:val="1D1E6C5C"/>
    <w:rsid w:val="1D2360F1"/>
    <w:rsid w:val="1D5A65E9"/>
    <w:rsid w:val="1D6923E1"/>
    <w:rsid w:val="1D887F78"/>
    <w:rsid w:val="1D963E2E"/>
    <w:rsid w:val="1DA90CED"/>
    <w:rsid w:val="1DC13FCB"/>
    <w:rsid w:val="1DD65CC8"/>
    <w:rsid w:val="1DDA0B91"/>
    <w:rsid w:val="1E212A6F"/>
    <w:rsid w:val="1E331F19"/>
    <w:rsid w:val="1E360353"/>
    <w:rsid w:val="1E3F22B3"/>
    <w:rsid w:val="1E471A6E"/>
    <w:rsid w:val="1E4779B9"/>
    <w:rsid w:val="1E9F1834"/>
    <w:rsid w:val="1EB33136"/>
    <w:rsid w:val="1EB47120"/>
    <w:rsid w:val="1EBB6248"/>
    <w:rsid w:val="1ED67807"/>
    <w:rsid w:val="1EE937D9"/>
    <w:rsid w:val="1F111512"/>
    <w:rsid w:val="1F3C0F4E"/>
    <w:rsid w:val="1F8D2032"/>
    <w:rsid w:val="1FCF0C21"/>
    <w:rsid w:val="1FF40688"/>
    <w:rsid w:val="2043516B"/>
    <w:rsid w:val="20820C62"/>
    <w:rsid w:val="208B0045"/>
    <w:rsid w:val="20E259AF"/>
    <w:rsid w:val="219C4D8C"/>
    <w:rsid w:val="21BC5882"/>
    <w:rsid w:val="21BF16DB"/>
    <w:rsid w:val="21C91F74"/>
    <w:rsid w:val="21EB6D87"/>
    <w:rsid w:val="21EF4232"/>
    <w:rsid w:val="221E1096"/>
    <w:rsid w:val="22417174"/>
    <w:rsid w:val="228357B3"/>
    <w:rsid w:val="22851F14"/>
    <w:rsid w:val="22882FA4"/>
    <w:rsid w:val="22937A29"/>
    <w:rsid w:val="229D04C5"/>
    <w:rsid w:val="22D97B1D"/>
    <w:rsid w:val="237E05CC"/>
    <w:rsid w:val="23841D23"/>
    <w:rsid w:val="238E3974"/>
    <w:rsid w:val="23A75A11"/>
    <w:rsid w:val="23AC4AA2"/>
    <w:rsid w:val="23C21A0E"/>
    <w:rsid w:val="24000214"/>
    <w:rsid w:val="241A3B58"/>
    <w:rsid w:val="2438180A"/>
    <w:rsid w:val="244B62E0"/>
    <w:rsid w:val="24581EC9"/>
    <w:rsid w:val="245C08ED"/>
    <w:rsid w:val="245D7AC3"/>
    <w:rsid w:val="24612217"/>
    <w:rsid w:val="246C7A5A"/>
    <w:rsid w:val="24967F5F"/>
    <w:rsid w:val="250D077C"/>
    <w:rsid w:val="2584425C"/>
    <w:rsid w:val="25B93555"/>
    <w:rsid w:val="25C66622"/>
    <w:rsid w:val="25D13487"/>
    <w:rsid w:val="25EA095E"/>
    <w:rsid w:val="25F12CF3"/>
    <w:rsid w:val="26211AAB"/>
    <w:rsid w:val="263374CD"/>
    <w:rsid w:val="26393AC2"/>
    <w:rsid w:val="2671382C"/>
    <w:rsid w:val="26AE7E29"/>
    <w:rsid w:val="26AF355A"/>
    <w:rsid w:val="26CA3EF0"/>
    <w:rsid w:val="27070CA1"/>
    <w:rsid w:val="27470160"/>
    <w:rsid w:val="27C052F3"/>
    <w:rsid w:val="27CE4396"/>
    <w:rsid w:val="28123AAF"/>
    <w:rsid w:val="287019A1"/>
    <w:rsid w:val="288D3224"/>
    <w:rsid w:val="28B55E2F"/>
    <w:rsid w:val="28BA7F95"/>
    <w:rsid w:val="28BD1C36"/>
    <w:rsid w:val="28EA204B"/>
    <w:rsid w:val="29583D25"/>
    <w:rsid w:val="296F6FD1"/>
    <w:rsid w:val="297354DE"/>
    <w:rsid w:val="29A97E89"/>
    <w:rsid w:val="29AD1F3E"/>
    <w:rsid w:val="29BF788B"/>
    <w:rsid w:val="29D4464A"/>
    <w:rsid w:val="2A1118F0"/>
    <w:rsid w:val="2A157B78"/>
    <w:rsid w:val="2A334727"/>
    <w:rsid w:val="2A571F3F"/>
    <w:rsid w:val="2A877B3A"/>
    <w:rsid w:val="2AEC5AB9"/>
    <w:rsid w:val="2B30453E"/>
    <w:rsid w:val="2B9A5BB7"/>
    <w:rsid w:val="2BA41D4A"/>
    <w:rsid w:val="2BFE5946"/>
    <w:rsid w:val="2C3D5164"/>
    <w:rsid w:val="2C42755D"/>
    <w:rsid w:val="2C5243EF"/>
    <w:rsid w:val="2C9E3204"/>
    <w:rsid w:val="2CBD60AC"/>
    <w:rsid w:val="2CE61600"/>
    <w:rsid w:val="2D1F0559"/>
    <w:rsid w:val="2D217C65"/>
    <w:rsid w:val="2D4759F0"/>
    <w:rsid w:val="2D4B17C9"/>
    <w:rsid w:val="2D5C5A09"/>
    <w:rsid w:val="2D9875C4"/>
    <w:rsid w:val="2DDA23E8"/>
    <w:rsid w:val="2DFB7085"/>
    <w:rsid w:val="2E346FDA"/>
    <w:rsid w:val="2E36070D"/>
    <w:rsid w:val="2E495A1C"/>
    <w:rsid w:val="2E646DE1"/>
    <w:rsid w:val="2E7164C1"/>
    <w:rsid w:val="2E9A064C"/>
    <w:rsid w:val="2ED80964"/>
    <w:rsid w:val="2F242FB8"/>
    <w:rsid w:val="2F4358AA"/>
    <w:rsid w:val="2F4867B2"/>
    <w:rsid w:val="2F4D6159"/>
    <w:rsid w:val="2F6C7AD8"/>
    <w:rsid w:val="2FA713A3"/>
    <w:rsid w:val="2FDC5ED2"/>
    <w:rsid w:val="2FDD5FA0"/>
    <w:rsid w:val="2FE222AB"/>
    <w:rsid w:val="2FF8474F"/>
    <w:rsid w:val="30204B81"/>
    <w:rsid w:val="3025663B"/>
    <w:rsid w:val="3054090C"/>
    <w:rsid w:val="305F6F5A"/>
    <w:rsid w:val="30766F52"/>
    <w:rsid w:val="31012C04"/>
    <w:rsid w:val="31174440"/>
    <w:rsid w:val="315301E3"/>
    <w:rsid w:val="315E08FB"/>
    <w:rsid w:val="3163566D"/>
    <w:rsid w:val="316B691F"/>
    <w:rsid w:val="3196654A"/>
    <w:rsid w:val="31AC19A4"/>
    <w:rsid w:val="31B301DE"/>
    <w:rsid w:val="31B97E17"/>
    <w:rsid w:val="31D97251"/>
    <w:rsid w:val="31FF7E7F"/>
    <w:rsid w:val="32323203"/>
    <w:rsid w:val="32384404"/>
    <w:rsid w:val="323B2146"/>
    <w:rsid w:val="32466B0F"/>
    <w:rsid w:val="327D1486"/>
    <w:rsid w:val="3281581E"/>
    <w:rsid w:val="32931F82"/>
    <w:rsid w:val="32A73153"/>
    <w:rsid w:val="32AC094E"/>
    <w:rsid w:val="32DD09B1"/>
    <w:rsid w:val="32DF2AD1"/>
    <w:rsid w:val="33103EA3"/>
    <w:rsid w:val="3316468C"/>
    <w:rsid w:val="332657EF"/>
    <w:rsid w:val="337F7BF3"/>
    <w:rsid w:val="338F3F5A"/>
    <w:rsid w:val="33951DBC"/>
    <w:rsid w:val="3398566D"/>
    <w:rsid w:val="33B84EB1"/>
    <w:rsid w:val="33BA180B"/>
    <w:rsid w:val="33CB74FA"/>
    <w:rsid w:val="33EF31E8"/>
    <w:rsid w:val="340561D4"/>
    <w:rsid w:val="34123199"/>
    <w:rsid w:val="34242DD3"/>
    <w:rsid w:val="34375174"/>
    <w:rsid w:val="343D702F"/>
    <w:rsid w:val="34692F9B"/>
    <w:rsid w:val="34735BC7"/>
    <w:rsid w:val="3474193F"/>
    <w:rsid w:val="34745AAA"/>
    <w:rsid w:val="34A57D4B"/>
    <w:rsid w:val="34BF0E0C"/>
    <w:rsid w:val="34BF3962"/>
    <w:rsid w:val="34EA3DEA"/>
    <w:rsid w:val="356103C1"/>
    <w:rsid w:val="35624307"/>
    <w:rsid w:val="35697DFF"/>
    <w:rsid w:val="35A324DC"/>
    <w:rsid w:val="35EF40B4"/>
    <w:rsid w:val="35FE7713"/>
    <w:rsid w:val="36100D36"/>
    <w:rsid w:val="3679469E"/>
    <w:rsid w:val="367C137F"/>
    <w:rsid w:val="36CC18AB"/>
    <w:rsid w:val="36F2243E"/>
    <w:rsid w:val="3711635E"/>
    <w:rsid w:val="371511B8"/>
    <w:rsid w:val="37316346"/>
    <w:rsid w:val="37476E97"/>
    <w:rsid w:val="37696BED"/>
    <w:rsid w:val="376D0FF4"/>
    <w:rsid w:val="37740FCE"/>
    <w:rsid w:val="37825A15"/>
    <w:rsid w:val="37B07132"/>
    <w:rsid w:val="37BB5BE3"/>
    <w:rsid w:val="3812008E"/>
    <w:rsid w:val="382B1C07"/>
    <w:rsid w:val="382C0303"/>
    <w:rsid w:val="38365225"/>
    <w:rsid w:val="38563836"/>
    <w:rsid w:val="385E298D"/>
    <w:rsid w:val="389820A0"/>
    <w:rsid w:val="389B4E02"/>
    <w:rsid w:val="38C56745"/>
    <w:rsid w:val="38ED5B17"/>
    <w:rsid w:val="38F521A0"/>
    <w:rsid w:val="391F5908"/>
    <w:rsid w:val="3967248F"/>
    <w:rsid w:val="396E4BAF"/>
    <w:rsid w:val="39DF5AAD"/>
    <w:rsid w:val="39F31703"/>
    <w:rsid w:val="39FA1197"/>
    <w:rsid w:val="3A310127"/>
    <w:rsid w:val="3A4A701C"/>
    <w:rsid w:val="3A7F08F8"/>
    <w:rsid w:val="3AA52853"/>
    <w:rsid w:val="3ABD3090"/>
    <w:rsid w:val="3AC405E4"/>
    <w:rsid w:val="3AC43FC1"/>
    <w:rsid w:val="3AEC222F"/>
    <w:rsid w:val="3AF31810"/>
    <w:rsid w:val="3B334A39"/>
    <w:rsid w:val="3B3B31B7"/>
    <w:rsid w:val="3B451940"/>
    <w:rsid w:val="3B4C6AF9"/>
    <w:rsid w:val="3B680882"/>
    <w:rsid w:val="3B7B35B3"/>
    <w:rsid w:val="3B8C3A12"/>
    <w:rsid w:val="3BB84807"/>
    <w:rsid w:val="3BBD1E1E"/>
    <w:rsid w:val="3BF84C04"/>
    <w:rsid w:val="3C3E4D0D"/>
    <w:rsid w:val="3C5740DD"/>
    <w:rsid w:val="3C806CA2"/>
    <w:rsid w:val="3C875BD5"/>
    <w:rsid w:val="3CF272AF"/>
    <w:rsid w:val="3D20040A"/>
    <w:rsid w:val="3D381598"/>
    <w:rsid w:val="3D3F6549"/>
    <w:rsid w:val="3D544A5A"/>
    <w:rsid w:val="3D6E3B32"/>
    <w:rsid w:val="3D773197"/>
    <w:rsid w:val="3D7F55DD"/>
    <w:rsid w:val="3DA476DF"/>
    <w:rsid w:val="3DA82AC2"/>
    <w:rsid w:val="3DC4168B"/>
    <w:rsid w:val="3DCF0FA0"/>
    <w:rsid w:val="3E0E070F"/>
    <w:rsid w:val="3E3D23ED"/>
    <w:rsid w:val="3E3D2DA2"/>
    <w:rsid w:val="3E504EFA"/>
    <w:rsid w:val="3E590BEC"/>
    <w:rsid w:val="3E6418D7"/>
    <w:rsid w:val="3E691AD9"/>
    <w:rsid w:val="3E8D7BD1"/>
    <w:rsid w:val="3E8E1D06"/>
    <w:rsid w:val="3E957D58"/>
    <w:rsid w:val="3EB43064"/>
    <w:rsid w:val="3EB771FA"/>
    <w:rsid w:val="3EFD0EAF"/>
    <w:rsid w:val="3F51170A"/>
    <w:rsid w:val="3F60554B"/>
    <w:rsid w:val="3FCA68B7"/>
    <w:rsid w:val="3FD074F4"/>
    <w:rsid w:val="3FD66319"/>
    <w:rsid w:val="404A1F34"/>
    <w:rsid w:val="407C1AED"/>
    <w:rsid w:val="40920F06"/>
    <w:rsid w:val="40AE6405"/>
    <w:rsid w:val="40D55514"/>
    <w:rsid w:val="40E2372C"/>
    <w:rsid w:val="4114603C"/>
    <w:rsid w:val="41432623"/>
    <w:rsid w:val="414D1D1E"/>
    <w:rsid w:val="41721DC3"/>
    <w:rsid w:val="417B430D"/>
    <w:rsid w:val="419D1E08"/>
    <w:rsid w:val="41A82C28"/>
    <w:rsid w:val="41F75B2D"/>
    <w:rsid w:val="41FA402F"/>
    <w:rsid w:val="420C4EF5"/>
    <w:rsid w:val="420E511A"/>
    <w:rsid w:val="42181E5B"/>
    <w:rsid w:val="425E4C07"/>
    <w:rsid w:val="426C3534"/>
    <w:rsid w:val="429105A6"/>
    <w:rsid w:val="42961B82"/>
    <w:rsid w:val="42B75819"/>
    <w:rsid w:val="42C65A5C"/>
    <w:rsid w:val="42D53B65"/>
    <w:rsid w:val="42E02E33"/>
    <w:rsid w:val="42F460AF"/>
    <w:rsid w:val="42F65BA4"/>
    <w:rsid w:val="43000F6E"/>
    <w:rsid w:val="43764BFE"/>
    <w:rsid w:val="43CF26EE"/>
    <w:rsid w:val="43E20C41"/>
    <w:rsid w:val="43F97022"/>
    <w:rsid w:val="44035AC2"/>
    <w:rsid w:val="440A24EA"/>
    <w:rsid w:val="442C2613"/>
    <w:rsid w:val="44307631"/>
    <w:rsid w:val="4453447A"/>
    <w:rsid w:val="44625310"/>
    <w:rsid w:val="449A0F4E"/>
    <w:rsid w:val="44BB2A9F"/>
    <w:rsid w:val="44E855CD"/>
    <w:rsid w:val="44EB10C3"/>
    <w:rsid w:val="44FC5765"/>
    <w:rsid w:val="450D6320"/>
    <w:rsid w:val="45156827"/>
    <w:rsid w:val="451E56DB"/>
    <w:rsid w:val="45305047"/>
    <w:rsid w:val="456017C3"/>
    <w:rsid w:val="45847714"/>
    <w:rsid w:val="459B770E"/>
    <w:rsid w:val="45D313A6"/>
    <w:rsid w:val="45D94A67"/>
    <w:rsid w:val="45E375FE"/>
    <w:rsid w:val="46560EA5"/>
    <w:rsid w:val="465F404D"/>
    <w:rsid w:val="46715CDF"/>
    <w:rsid w:val="46C17760"/>
    <w:rsid w:val="471C20EE"/>
    <w:rsid w:val="472509CB"/>
    <w:rsid w:val="47673460"/>
    <w:rsid w:val="477517FF"/>
    <w:rsid w:val="478A2A55"/>
    <w:rsid w:val="47986858"/>
    <w:rsid w:val="47B62CDD"/>
    <w:rsid w:val="47EA7AF7"/>
    <w:rsid w:val="47EB734B"/>
    <w:rsid w:val="47F33399"/>
    <w:rsid w:val="484F02A2"/>
    <w:rsid w:val="48587156"/>
    <w:rsid w:val="48617BD1"/>
    <w:rsid w:val="486C7808"/>
    <w:rsid w:val="486E372E"/>
    <w:rsid w:val="4876582E"/>
    <w:rsid w:val="48934AEB"/>
    <w:rsid w:val="48DC71AB"/>
    <w:rsid w:val="492B03C7"/>
    <w:rsid w:val="492E33C0"/>
    <w:rsid w:val="495261A3"/>
    <w:rsid w:val="4956400F"/>
    <w:rsid w:val="495F62C2"/>
    <w:rsid w:val="497E6723"/>
    <w:rsid w:val="49867716"/>
    <w:rsid w:val="499A379E"/>
    <w:rsid w:val="49BE56DF"/>
    <w:rsid w:val="49EF4693"/>
    <w:rsid w:val="49F56777"/>
    <w:rsid w:val="4A0550BC"/>
    <w:rsid w:val="4A06355C"/>
    <w:rsid w:val="4AB746EB"/>
    <w:rsid w:val="4ACE578E"/>
    <w:rsid w:val="4ADD1B95"/>
    <w:rsid w:val="4AF33166"/>
    <w:rsid w:val="4B1425FF"/>
    <w:rsid w:val="4B3D75FD"/>
    <w:rsid w:val="4BBA7A06"/>
    <w:rsid w:val="4C1823DA"/>
    <w:rsid w:val="4C4814B5"/>
    <w:rsid w:val="4C7327B1"/>
    <w:rsid w:val="4C83051A"/>
    <w:rsid w:val="4CB32302"/>
    <w:rsid w:val="4CD16F98"/>
    <w:rsid w:val="4CD846C7"/>
    <w:rsid w:val="4CF904BE"/>
    <w:rsid w:val="4CFB5CD8"/>
    <w:rsid w:val="4D3C68BD"/>
    <w:rsid w:val="4D3D7CDA"/>
    <w:rsid w:val="4D487C48"/>
    <w:rsid w:val="4D505D63"/>
    <w:rsid w:val="4D88228C"/>
    <w:rsid w:val="4D8C494F"/>
    <w:rsid w:val="4DEE5DF2"/>
    <w:rsid w:val="4E30647F"/>
    <w:rsid w:val="4E4C44BA"/>
    <w:rsid w:val="4E7C3AE4"/>
    <w:rsid w:val="4EC866B8"/>
    <w:rsid w:val="4F1813ED"/>
    <w:rsid w:val="4F2A2BCF"/>
    <w:rsid w:val="4F4C553B"/>
    <w:rsid w:val="4FA766A8"/>
    <w:rsid w:val="4FB96B4A"/>
    <w:rsid w:val="4FDA48F5"/>
    <w:rsid w:val="506B2B6E"/>
    <w:rsid w:val="507765E7"/>
    <w:rsid w:val="508B3E41"/>
    <w:rsid w:val="50D84A15"/>
    <w:rsid w:val="50E0418D"/>
    <w:rsid w:val="50F203E8"/>
    <w:rsid w:val="50F97A16"/>
    <w:rsid w:val="51171D45"/>
    <w:rsid w:val="51404F43"/>
    <w:rsid w:val="51856AE2"/>
    <w:rsid w:val="51870AAC"/>
    <w:rsid w:val="519805C3"/>
    <w:rsid w:val="519C21AA"/>
    <w:rsid w:val="51B11685"/>
    <w:rsid w:val="51CB0999"/>
    <w:rsid w:val="51F82BBB"/>
    <w:rsid w:val="522B7DE8"/>
    <w:rsid w:val="522D3402"/>
    <w:rsid w:val="52C2650E"/>
    <w:rsid w:val="52CC2C1B"/>
    <w:rsid w:val="52D25D57"/>
    <w:rsid w:val="52DC6BD6"/>
    <w:rsid w:val="52EB6588"/>
    <w:rsid w:val="52FE4D9E"/>
    <w:rsid w:val="53157C48"/>
    <w:rsid w:val="53224FA7"/>
    <w:rsid w:val="53BD303C"/>
    <w:rsid w:val="53C41B44"/>
    <w:rsid w:val="541F6D7A"/>
    <w:rsid w:val="542076D2"/>
    <w:rsid w:val="542D2B1D"/>
    <w:rsid w:val="54366397"/>
    <w:rsid w:val="54422A68"/>
    <w:rsid w:val="54A92AFF"/>
    <w:rsid w:val="54BF4DDE"/>
    <w:rsid w:val="54C45680"/>
    <w:rsid w:val="54D77655"/>
    <w:rsid w:val="550146D2"/>
    <w:rsid w:val="550357C4"/>
    <w:rsid w:val="551C7980"/>
    <w:rsid w:val="55311C75"/>
    <w:rsid w:val="5549056E"/>
    <w:rsid w:val="55546EF7"/>
    <w:rsid w:val="557F64B2"/>
    <w:rsid w:val="55933CB3"/>
    <w:rsid w:val="55B41744"/>
    <w:rsid w:val="55C07B2F"/>
    <w:rsid w:val="55C81AB9"/>
    <w:rsid w:val="55D844D3"/>
    <w:rsid w:val="564B20A8"/>
    <w:rsid w:val="5664557C"/>
    <w:rsid w:val="566C0D69"/>
    <w:rsid w:val="56BB3C75"/>
    <w:rsid w:val="56DE7067"/>
    <w:rsid w:val="570109B9"/>
    <w:rsid w:val="570955B4"/>
    <w:rsid w:val="5725657E"/>
    <w:rsid w:val="57425FEC"/>
    <w:rsid w:val="57527C3E"/>
    <w:rsid w:val="576B22D6"/>
    <w:rsid w:val="5783793E"/>
    <w:rsid w:val="57886463"/>
    <w:rsid w:val="57BC3D6B"/>
    <w:rsid w:val="57CC2BA0"/>
    <w:rsid w:val="580A1AEF"/>
    <w:rsid w:val="58133074"/>
    <w:rsid w:val="587F6039"/>
    <w:rsid w:val="58DC7930"/>
    <w:rsid w:val="58DF3A45"/>
    <w:rsid w:val="590D7AE9"/>
    <w:rsid w:val="59200E05"/>
    <w:rsid w:val="593330F2"/>
    <w:rsid w:val="593F79A0"/>
    <w:rsid w:val="594013EC"/>
    <w:rsid w:val="598A738C"/>
    <w:rsid w:val="598D26AC"/>
    <w:rsid w:val="599F77C9"/>
    <w:rsid w:val="59C95F43"/>
    <w:rsid w:val="59EC0FD0"/>
    <w:rsid w:val="5A93268F"/>
    <w:rsid w:val="5AB1171C"/>
    <w:rsid w:val="5AB2046A"/>
    <w:rsid w:val="5AC43179"/>
    <w:rsid w:val="5AC82B93"/>
    <w:rsid w:val="5AE14D89"/>
    <w:rsid w:val="5AE6318E"/>
    <w:rsid w:val="5B5419FF"/>
    <w:rsid w:val="5B9C5154"/>
    <w:rsid w:val="5BB3212F"/>
    <w:rsid w:val="5C125734"/>
    <w:rsid w:val="5C533A65"/>
    <w:rsid w:val="5C7A1030"/>
    <w:rsid w:val="5C856C16"/>
    <w:rsid w:val="5C8E651C"/>
    <w:rsid w:val="5D072AA1"/>
    <w:rsid w:val="5D120EE1"/>
    <w:rsid w:val="5D7C6FEB"/>
    <w:rsid w:val="5DA03386"/>
    <w:rsid w:val="5DB443B5"/>
    <w:rsid w:val="5DC012A8"/>
    <w:rsid w:val="5DCA7D57"/>
    <w:rsid w:val="5DE1278C"/>
    <w:rsid w:val="5DFC1EDA"/>
    <w:rsid w:val="5E2558D5"/>
    <w:rsid w:val="5E313880"/>
    <w:rsid w:val="5E4A37D5"/>
    <w:rsid w:val="5E803BCC"/>
    <w:rsid w:val="5E8A187A"/>
    <w:rsid w:val="5EAE4FD3"/>
    <w:rsid w:val="5F09244A"/>
    <w:rsid w:val="5F0E4D9B"/>
    <w:rsid w:val="5F3B04A6"/>
    <w:rsid w:val="5F61368C"/>
    <w:rsid w:val="5F63052E"/>
    <w:rsid w:val="5F9177D9"/>
    <w:rsid w:val="5FBA426A"/>
    <w:rsid w:val="5FF4555F"/>
    <w:rsid w:val="600D4872"/>
    <w:rsid w:val="60192D83"/>
    <w:rsid w:val="602A334A"/>
    <w:rsid w:val="6036225F"/>
    <w:rsid w:val="60831CFD"/>
    <w:rsid w:val="6085145A"/>
    <w:rsid w:val="60A41C39"/>
    <w:rsid w:val="60B25AEA"/>
    <w:rsid w:val="60D85EE9"/>
    <w:rsid w:val="60DF4E94"/>
    <w:rsid w:val="615C36F1"/>
    <w:rsid w:val="615C6151"/>
    <w:rsid w:val="61B72CE8"/>
    <w:rsid w:val="61BD2A1D"/>
    <w:rsid w:val="61C62F2B"/>
    <w:rsid w:val="61DC274E"/>
    <w:rsid w:val="62047871"/>
    <w:rsid w:val="622B0FE0"/>
    <w:rsid w:val="622B3906"/>
    <w:rsid w:val="62494283"/>
    <w:rsid w:val="62756DDC"/>
    <w:rsid w:val="62967EC8"/>
    <w:rsid w:val="62ED4EF7"/>
    <w:rsid w:val="62EF46F3"/>
    <w:rsid w:val="63295D1B"/>
    <w:rsid w:val="634C24E2"/>
    <w:rsid w:val="634C7342"/>
    <w:rsid w:val="637D586B"/>
    <w:rsid w:val="63A03DA6"/>
    <w:rsid w:val="63A07141"/>
    <w:rsid w:val="63B868A3"/>
    <w:rsid w:val="642E6B65"/>
    <w:rsid w:val="64805BFE"/>
    <w:rsid w:val="64AB045B"/>
    <w:rsid w:val="64BD0615"/>
    <w:rsid w:val="64CA3CB4"/>
    <w:rsid w:val="64EC0669"/>
    <w:rsid w:val="65044496"/>
    <w:rsid w:val="650A2C9A"/>
    <w:rsid w:val="65162C86"/>
    <w:rsid w:val="651B7F18"/>
    <w:rsid w:val="65221B38"/>
    <w:rsid w:val="6550225B"/>
    <w:rsid w:val="6559487C"/>
    <w:rsid w:val="65693C54"/>
    <w:rsid w:val="65711400"/>
    <w:rsid w:val="65821595"/>
    <w:rsid w:val="659A62FC"/>
    <w:rsid w:val="65A13CC9"/>
    <w:rsid w:val="65B01F28"/>
    <w:rsid w:val="65D200F0"/>
    <w:rsid w:val="65EF7DA6"/>
    <w:rsid w:val="66203120"/>
    <w:rsid w:val="663C2EEE"/>
    <w:rsid w:val="664520D4"/>
    <w:rsid w:val="66870296"/>
    <w:rsid w:val="66B76D00"/>
    <w:rsid w:val="66BA6E26"/>
    <w:rsid w:val="66F10A4A"/>
    <w:rsid w:val="672F4C93"/>
    <w:rsid w:val="673115B4"/>
    <w:rsid w:val="67335DCF"/>
    <w:rsid w:val="67477DD7"/>
    <w:rsid w:val="674E19F8"/>
    <w:rsid w:val="67923FAF"/>
    <w:rsid w:val="67A856DC"/>
    <w:rsid w:val="67AB689B"/>
    <w:rsid w:val="67CD5013"/>
    <w:rsid w:val="682E6AFE"/>
    <w:rsid w:val="6831217B"/>
    <w:rsid w:val="683C2B73"/>
    <w:rsid w:val="684921C0"/>
    <w:rsid w:val="684D1CB0"/>
    <w:rsid w:val="68827BC9"/>
    <w:rsid w:val="68906041"/>
    <w:rsid w:val="689D7DF8"/>
    <w:rsid w:val="68AC75FB"/>
    <w:rsid w:val="68AF4719"/>
    <w:rsid w:val="68B476C6"/>
    <w:rsid w:val="69303CF0"/>
    <w:rsid w:val="695B6585"/>
    <w:rsid w:val="69676C0C"/>
    <w:rsid w:val="698D10CC"/>
    <w:rsid w:val="698D1AA3"/>
    <w:rsid w:val="69AE1092"/>
    <w:rsid w:val="69B30239"/>
    <w:rsid w:val="69C959DF"/>
    <w:rsid w:val="6A130CD7"/>
    <w:rsid w:val="6A1C3F03"/>
    <w:rsid w:val="6A38073E"/>
    <w:rsid w:val="6A753B41"/>
    <w:rsid w:val="6A8E1836"/>
    <w:rsid w:val="6A967468"/>
    <w:rsid w:val="6AA84521"/>
    <w:rsid w:val="6AC00E8A"/>
    <w:rsid w:val="6AD10B21"/>
    <w:rsid w:val="6B1C1C99"/>
    <w:rsid w:val="6B525FA1"/>
    <w:rsid w:val="6B623CC4"/>
    <w:rsid w:val="6B98703D"/>
    <w:rsid w:val="6BC664F4"/>
    <w:rsid w:val="6BD36CF4"/>
    <w:rsid w:val="6C306864"/>
    <w:rsid w:val="6C9F6C69"/>
    <w:rsid w:val="6CDE2D6D"/>
    <w:rsid w:val="6D0A63C2"/>
    <w:rsid w:val="6D0F1C2A"/>
    <w:rsid w:val="6D2917A9"/>
    <w:rsid w:val="6D4E6E2B"/>
    <w:rsid w:val="6D514B1A"/>
    <w:rsid w:val="6D675648"/>
    <w:rsid w:val="6D9C2E25"/>
    <w:rsid w:val="6DC527AC"/>
    <w:rsid w:val="6DDE05B9"/>
    <w:rsid w:val="6DF826BE"/>
    <w:rsid w:val="6E2056EF"/>
    <w:rsid w:val="6E602011"/>
    <w:rsid w:val="6E6C0E13"/>
    <w:rsid w:val="6E8615C7"/>
    <w:rsid w:val="6EA4707E"/>
    <w:rsid w:val="6EDD1581"/>
    <w:rsid w:val="6EE37D9F"/>
    <w:rsid w:val="6EE96A10"/>
    <w:rsid w:val="6F152DFC"/>
    <w:rsid w:val="6F154B2D"/>
    <w:rsid w:val="6F157A32"/>
    <w:rsid w:val="6F1B757B"/>
    <w:rsid w:val="6F33431F"/>
    <w:rsid w:val="6F712CE6"/>
    <w:rsid w:val="6F840B6D"/>
    <w:rsid w:val="6F875D92"/>
    <w:rsid w:val="6FAB580C"/>
    <w:rsid w:val="6FE0340A"/>
    <w:rsid w:val="70166A0A"/>
    <w:rsid w:val="70227EC6"/>
    <w:rsid w:val="70375C5A"/>
    <w:rsid w:val="703F60A8"/>
    <w:rsid w:val="705D2071"/>
    <w:rsid w:val="70763D6E"/>
    <w:rsid w:val="70822713"/>
    <w:rsid w:val="70A66401"/>
    <w:rsid w:val="70B46F74"/>
    <w:rsid w:val="70C64CF5"/>
    <w:rsid w:val="70EB02B8"/>
    <w:rsid w:val="71005C9C"/>
    <w:rsid w:val="71032634"/>
    <w:rsid w:val="714E3B42"/>
    <w:rsid w:val="71943AB8"/>
    <w:rsid w:val="71E7047C"/>
    <w:rsid w:val="720A0C12"/>
    <w:rsid w:val="721B415E"/>
    <w:rsid w:val="72343EE1"/>
    <w:rsid w:val="72395053"/>
    <w:rsid w:val="72875C50"/>
    <w:rsid w:val="72C316B4"/>
    <w:rsid w:val="72C87897"/>
    <w:rsid w:val="72D03219"/>
    <w:rsid w:val="72D134DE"/>
    <w:rsid w:val="72D9617A"/>
    <w:rsid w:val="72FD1EE3"/>
    <w:rsid w:val="7316264A"/>
    <w:rsid w:val="731A5E0F"/>
    <w:rsid w:val="73465C7A"/>
    <w:rsid w:val="73900C02"/>
    <w:rsid w:val="73AA445A"/>
    <w:rsid w:val="73B735CB"/>
    <w:rsid w:val="73BE334D"/>
    <w:rsid w:val="73C3376E"/>
    <w:rsid w:val="73D94CFF"/>
    <w:rsid w:val="73DA4614"/>
    <w:rsid w:val="742D6E39"/>
    <w:rsid w:val="742E2236"/>
    <w:rsid w:val="744E238E"/>
    <w:rsid w:val="74533F57"/>
    <w:rsid w:val="746C5BB4"/>
    <w:rsid w:val="74E538AA"/>
    <w:rsid w:val="74F00593"/>
    <w:rsid w:val="751A116C"/>
    <w:rsid w:val="75360D61"/>
    <w:rsid w:val="75682033"/>
    <w:rsid w:val="75763A2E"/>
    <w:rsid w:val="757E5B9F"/>
    <w:rsid w:val="75AB44BA"/>
    <w:rsid w:val="75CC203F"/>
    <w:rsid w:val="75E11C8A"/>
    <w:rsid w:val="75F6021B"/>
    <w:rsid w:val="764864EC"/>
    <w:rsid w:val="767E397C"/>
    <w:rsid w:val="76A474C2"/>
    <w:rsid w:val="76A52F33"/>
    <w:rsid w:val="76AD3EE0"/>
    <w:rsid w:val="76B30E63"/>
    <w:rsid w:val="76CF5BB8"/>
    <w:rsid w:val="770D2568"/>
    <w:rsid w:val="77463913"/>
    <w:rsid w:val="774A385E"/>
    <w:rsid w:val="778E7BEF"/>
    <w:rsid w:val="77B3710F"/>
    <w:rsid w:val="77EE0719"/>
    <w:rsid w:val="7837549E"/>
    <w:rsid w:val="7863107C"/>
    <w:rsid w:val="78702E03"/>
    <w:rsid w:val="78AA56F0"/>
    <w:rsid w:val="78AE679B"/>
    <w:rsid w:val="78E05537"/>
    <w:rsid w:val="791A3E30"/>
    <w:rsid w:val="79905FE8"/>
    <w:rsid w:val="79992F3A"/>
    <w:rsid w:val="79A23380"/>
    <w:rsid w:val="79D02A72"/>
    <w:rsid w:val="79DD6C0C"/>
    <w:rsid w:val="79EC68CF"/>
    <w:rsid w:val="7A014471"/>
    <w:rsid w:val="7A1B4C87"/>
    <w:rsid w:val="7A805F15"/>
    <w:rsid w:val="7A921700"/>
    <w:rsid w:val="7A9D7487"/>
    <w:rsid w:val="7ABB519F"/>
    <w:rsid w:val="7AE77D48"/>
    <w:rsid w:val="7AEF0A4F"/>
    <w:rsid w:val="7B4179D0"/>
    <w:rsid w:val="7BBF4CC5"/>
    <w:rsid w:val="7BE7258B"/>
    <w:rsid w:val="7BF40B89"/>
    <w:rsid w:val="7C1A207B"/>
    <w:rsid w:val="7C30076C"/>
    <w:rsid w:val="7C537629"/>
    <w:rsid w:val="7C694787"/>
    <w:rsid w:val="7C9D2185"/>
    <w:rsid w:val="7CB705E1"/>
    <w:rsid w:val="7CC04CEF"/>
    <w:rsid w:val="7CC83F86"/>
    <w:rsid w:val="7CCA3711"/>
    <w:rsid w:val="7CFE770C"/>
    <w:rsid w:val="7D1F193A"/>
    <w:rsid w:val="7D2E5A63"/>
    <w:rsid w:val="7D324EEC"/>
    <w:rsid w:val="7D7A30EF"/>
    <w:rsid w:val="7D86745E"/>
    <w:rsid w:val="7D935920"/>
    <w:rsid w:val="7D984710"/>
    <w:rsid w:val="7DB77BF0"/>
    <w:rsid w:val="7DB84178"/>
    <w:rsid w:val="7DC61E5E"/>
    <w:rsid w:val="7DDA033E"/>
    <w:rsid w:val="7E0451D4"/>
    <w:rsid w:val="7E467C69"/>
    <w:rsid w:val="7EF95A5A"/>
    <w:rsid w:val="7F0B23D7"/>
    <w:rsid w:val="7F2E09F5"/>
    <w:rsid w:val="7F457E5E"/>
    <w:rsid w:val="7F636288"/>
    <w:rsid w:val="7F7D2A23"/>
    <w:rsid w:val="7FB27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Calibri" w:hAnsi="Calibri"/>
      <w:szCs w:val="20"/>
    </w:rPr>
  </w:style>
  <w:style w:type="paragraph" w:styleId="6">
    <w:name w:val="caption"/>
    <w:basedOn w:val="1"/>
    <w:next w:val="1"/>
    <w:autoRedefine/>
    <w:qFormat/>
    <w:uiPriority w:val="0"/>
    <w:rPr>
      <w:rFonts w:ascii="Arial" w:hAnsi="Arial" w:eastAsia="黑体" w:cstheme="minorBidi"/>
      <w:sz w:val="20"/>
    </w:rPr>
  </w:style>
  <w:style w:type="paragraph" w:styleId="7">
    <w:name w:val="toa heading"/>
    <w:basedOn w:val="1"/>
    <w:next w:val="1"/>
    <w:autoRedefine/>
    <w:unhideWhenUsed/>
    <w:qFormat/>
    <w:uiPriority w:val="99"/>
    <w:pPr>
      <w:spacing w:before="120"/>
    </w:pPr>
    <w:rPr>
      <w:rFonts w:ascii="Arial" w:hAnsi="Arial" w:cs="Arial"/>
      <w:sz w:val="24"/>
    </w:rPr>
  </w:style>
  <w:style w:type="paragraph" w:styleId="8">
    <w:name w:val="annotation text"/>
    <w:basedOn w:val="1"/>
    <w:autoRedefine/>
    <w:semiHidden/>
    <w:qFormat/>
    <w:uiPriority w:val="0"/>
    <w:pPr>
      <w:jc w:val="left"/>
    </w:pPr>
  </w:style>
  <w:style w:type="paragraph" w:styleId="9">
    <w:name w:val="Body Text 3"/>
    <w:basedOn w:val="1"/>
    <w:autoRedefine/>
    <w:unhideWhenUsed/>
    <w:qFormat/>
    <w:uiPriority w:val="0"/>
    <w:pPr>
      <w:spacing w:after="120"/>
    </w:pPr>
    <w:rPr>
      <w:rFonts w:ascii="Times New Roman" w:hAnsi="Times New Roman"/>
      <w:sz w:val="16"/>
      <w:szCs w:val="16"/>
    </w:rPr>
  </w:style>
  <w:style w:type="paragraph" w:styleId="10">
    <w:name w:val="Body Text"/>
    <w:basedOn w:val="1"/>
    <w:next w:val="11"/>
    <w:link w:val="67"/>
    <w:autoRedefine/>
    <w:qFormat/>
    <w:uiPriority w:val="0"/>
    <w:rPr>
      <w:rFonts w:ascii="Times New Roman" w:hAnsi="Times New Roman"/>
    </w:rPr>
  </w:style>
  <w:style w:type="paragraph" w:customStyle="1" w:styleId="11">
    <w:name w:val="正文文本 21"/>
    <w:basedOn w:val="1"/>
    <w:autoRedefine/>
    <w:qFormat/>
    <w:uiPriority w:val="0"/>
    <w:rPr>
      <w:rFonts w:ascii="Times New Roman" w:hAnsi="Times New Roman"/>
      <w:sz w:val="28"/>
    </w:rPr>
  </w:style>
  <w:style w:type="paragraph" w:styleId="12">
    <w:name w:val="Body Text Indent"/>
    <w:basedOn w:val="1"/>
    <w:autoRedefine/>
    <w:qFormat/>
    <w:uiPriority w:val="0"/>
    <w:pPr>
      <w:ind w:firstLine="560" w:firstLineChars="200"/>
    </w:pPr>
    <w:rPr>
      <w:rFonts w:ascii="Times New Roman" w:hAnsi="Times New Roman"/>
    </w:rPr>
  </w:style>
  <w:style w:type="paragraph" w:styleId="13">
    <w:name w:val="toc 3"/>
    <w:basedOn w:val="1"/>
    <w:next w:val="1"/>
    <w:autoRedefine/>
    <w:qFormat/>
    <w:uiPriority w:val="0"/>
    <w:pPr>
      <w:ind w:left="840" w:leftChars="400"/>
    </w:pPr>
  </w:style>
  <w:style w:type="paragraph" w:styleId="14">
    <w:name w:val="Plain Text"/>
    <w:basedOn w:val="1"/>
    <w:link w:val="63"/>
    <w:autoRedefine/>
    <w:qFormat/>
    <w:uiPriority w:val="0"/>
    <w:rPr>
      <w:rFonts w:hint="eastAsia" w:ascii="宋体" w:hAnsi="Courier New"/>
      <w:szCs w:val="21"/>
    </w:rPr>
  </w:style>
  <w:style w:type="paragraph" w:styleId="15">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8">
    <w:name w:val="toc 1"/>
    <w:basedOn w:val="1"/>
    <w:next w:val="1"/>
    <w:autoRedefine/>
    <w:qFormat/>
    <w:uiPriority w:val="0"/>
    <w:rPr>
      <w:rFonts w:ascii="Times New Roman" w:hAnsi="Times New Roman"/>
    </w:rPr>
  </w:style>
  <w:style w:type="paragraph" w:styleId="19">
    <w:name w:val="toc 2"/>
    <w:basedOn w:val="1"/>
    <w:next w:val="1"/>
    <w:autoRedefine/>
    <w:qFormat/>
    <w:uiPriority w:val="0"/>
    <w:pPr>
      <w:ind w:left="420" w:leftChars="200"/>
    </w:pPr>
  </w:style>
  <w:style w:type="paragraph" w:styleId="20">
    <w:name w:val="Body Text 2"/>
    <w:basedOn w:val="1"/>
    <w:autoRedefine/>
    <w:unhideWhenUsed/>
    <w:qFormat/>
    <w:uiPriority w:val="0"/>
    <w:pPr>
      <w:spacing w:after="120" w:line="480" w:lineRule="auto"/>
    </w:pPr>
    <w:rPr>
      <w:rFonts w:ascii="Times New Roman" w:hAnsi="Times New Roman"/>
    </w:rPr>
  </w:style>
  <w:style w:type="paragraph" w:styleId="2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4">
    <w:name w:val="annotation subject"/>
    <w:basedOn w:val="8"/>
    <w:next w:val="1"/>
    <w:autoRedefine/>
    <w:qFormat/>
    <w:uiPriority w:val="0"/>
    <w:rPr>
      <w:b/>
      <w:bCs/>
    </w:rPr>
  </w:style>
  <w:style w:type="paragraph" w:styleId="25">
    <w:name w:val="Body Text First Indent"/>
    <w:basedOn w:val="10"/>
    <w:next w:val="26"/>
    <w:link w:val="68"/>
    <w:autoRedefine/>
    <w:unhideWhenUsed/>
    <w:qFormat/>
    <w:uiPriority w:val="0"/>
    <w:pPr>
      <w:ind w:firstLine="420" w:firstLineChars="100"/>
    </w:pPr>
    <w:rPr>
      <w:rFonts w:hint="eastAsia" w:ascii="楷体_GB2312" w:eastAsia="楷体_GB2312"/>
      <w:sz w:val="32"/>
    </w:rPr>
  </w:style>
  <w:style w:type="paragraph" w:styleId="26">
    <w:name w:val="Body Text First Indent 2"/>
    <w:basedOn w:val="12"/>
    <w:next w:val="1"/>
    <w:autoRedefine/>
    <w:qFormat/>
    <w:uiPriority w:val="0"/>
    <w:pPr>
      <w:ind w:firstLine="42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vanish/>
    </w:rPr>
  </w:style>
  <w:style w:type="character" w:styleId="31">
    <w:name w:val="Hyperlink"/>
    <w:autoRedefine/>
    <w:qFormat/>
    <w:uiPriority w:val="99"/>
    <w:rPr>
      <w:rFonts w:cs="Times New Roman"/>
      <w:color w:val="0000FF"/>
      <w:u w:val="single"/>
    </w:rPr>
  </w:style>
  <w:style w:type="paragraph" w:customStyle="1" w:styleId="32">
    <w:name w:val="Default"/>
    <w:basedOn w:val="1"/>
    <w:next w:val="33"/>
    <w:autoRedefine/>
    <w:qFormat/>
    <w:uiPriority w:val="0"/>
    <w:pPr>
      <w:autoSpaceDE w:val="0"/>
      <w:autoSpaceDN w:val="0"/>
      <w:adjustRightInd w:val="0"/>
      <w:jc w:val="left"/>
    </w:pPr>
    <w:rPr>
      <w:rFonts w:hint="eastAsia" w:ascii="宋体" w:hAnsi="Calibri"/>
      <w:color w:val="000000"/>
      <w:kern w:val="0"/>
      <w:sz w:val="24"/>
    </w:rPr>
  </w:style>
  <w:style w:type="paragraph" w:customStyle="1" w:styleId="33">
    <w:name w:val="大标题"/>
    <w:basedOn w:val="1"/>
    <w:next w:val="26"/>
    <w:autoRedefine/>
    <w:qFormat/>
    <w:uiPriority w:val="0"/>
    <w:pPr>
      <w:widowControl w:val="0"/>
      <w:spacing w:after="0" w:line="240" w:lineRule="auto"/>
      <w:ind w:firstLine="0" w:firstLineChars="0"/>
      <w:jc w:val="center"/>
    </w:pPr>
    <w:rPr>
      <w:rFonts w:ascii="@仿宋_GB2312" w:hAnsi="@仿宋_GB2312" w:eastAsia="华文中宋"/>
      <w:b/>
      <w:sz w:val="28"/>
      <w:szCs w:val="24"/>
    </w:rPr>
  </w:style>
  <w:style w:type="paragraph" w:customStyle="1" w:styleId="34">
    <w:name w:val="BodyText1I2"/>
    <w:basedOn w:val="35"/>
    <w:autoRedefine/>
    <w:qFormat/>
    <w:uiPriority w:val="0"/>
    <w:pPr>
      <w:ind w:firstLine="420" w:firstLineChars="200"/>
    </w:pPr>
  </w:style>
  <w:style w:type="paragraph" w:customStyle="1" w:styleId="35">
    <w:name w:val="BodyTextIndent"/>
    <w:basedOn w:val="1"/>
    <w:autoRedefine/>
    <w:qFormat/>
    <w:uiPriority w:val="0"/>
    <w:pPr>
      <w:spacing w:after="120"/>
      <w:ind w:left="420" w:leftChars="200"/>
      <w:textAlignment w:val="baseline"/>
    </w:pPr>
  </w:style>
  <w:style w:type="paragraph" w:customStyle="1" w:styleId="36">
    <w:name w:val="无间隔1"/>
    <w:basedOn w:val="1"/>
    <w:next w:val="37"/>
    <w:autoRedefine/>
    <w:qFormat/>
    <w:uiPriority w:val="0"/>
    <w:pPr>
      <w:spacing w:line="400" w:lineRule="exact"/>
    </w:pPr>
    <w:rPr>
      <w:sz w:val="24"/>
    </w:rPr>
  </w:style>
  <w:style w:type="paragraph" w:customStyle="1" w:styleId="37">
    <w:name w:val="正文（首行缩进） Char"/>
    <w:basedOn w:val="1"/>
    <w:next w:val="38"/>
    <w:autoRedefine/>
    <w:qFormat/>
    <w:uiPriority w:val="0"/>
    <w:pPr>
      <w:spacing w:line="360" w:lineRule="auto"/>
      <w:ind w:firstLine="480"/>
    </w:pPr>
    <w:rPr>
      <w:rFonts w:ascii="Arial"/>
      <w:color w:val="000000"/>
      <w:sz w:val="24"/>
    </w:rPr>
  </w:style>
  <w:style w:type="paragraph" w:customStyle="1" w:styleId="38">
    <w:name w:val="2号黑体加粗"/>
    <w:basedOn w:val="1"/>
    <w:next w:val="39"/>
    <w:autoRedefine/>
    <w:qFormat/>
    <w:uiPriority w:val="0"/>
    <w:pPr>
      <w:jc w:val="center"/>
    </w:pPr>
    <w:rPr>
      <w:rFonts w:ascii="Calibri" w:eastAsia="黑体"/>
      <w:b/>
      <w:sz w:val="44"/>
    </w:rPr>
  </w:style>
  <w:style w:type="paragraph" w:customStyle="1" w:styleId="39">
    <w:name w:val="表格文字"/>
    <w:basedOn w:val="1"/>
    <w:next w:val="1"/>
    <w:autoRedefine/>
    <w:qFormat/>
    <w:uiPriority w:val="0"/>
    <w:pPr>
      <w:adjustRightInd w:val="0"/>
      <w:spacing w:line="420" w:lineRule="atLeast"/>
      <w:jc w:val="left"/>
      <w:textAlignment w:val="baseline"/>
    </w:pPr>
    <w:rPr>
      <w:kern w:val="0"/>
    </w:rPr>
  </w:style>
  <w:style w:type="paragraph" w:customStyle="1" w:styleId="40">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41">
    <w:name w:val="style4"/>
    <w:basedOn w:val="42"/>
    <w:next w:val="43"/>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正文_0"/>
    <w:next w:val="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Style1"/>
    <w:next w:val="45"/>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5">
    <w:name w:val="*正文"/>
    <w:basedOn w:val="1"/>
    <w:autoRedefine/>
    <w:qFormat/>
    <w:uiPriority w:val="0"/>
    <w:pPr>
      <w:ind w:firstLine="200" w:firstLineChars="200"/>
    </w:pPr>
    <w:rPr>
      <w:rFonts w:ascii="宋体" w:hAnsi="宋体"/>
      <w:szCs w:val="22"/>
    </w:rPr>
  </w:style>
  <w:style w:type="paragraph" w:customStyle="1" w:styleId="46">
    <w:name w:val="Body Text First Indent1"/>
    <w:basedOn w:val="10"/>
    <w:autoRedefine/>
    <w:qFormat/>
    <w:uiPriority w:val="0"/>
    <w:pPr>
      <w:ind w:firstLine="420" w:firstLineChars="100"/>
    </w:pPr>
  </w:style>
  <w:style w:type="paragraph" w:customStyle="1" w:styleId="47">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8">
    <w:name w:val="p0"/>
    <w:basedOn w:val="49"/>
    <w:autoRedefine/>
    <w:qFormat/>
    <w:uiPriority w:val="0"/>
    <w:pPr>
      <w:widowControl/>
    </w:pPr>
    <w:rPr>
      <w:kern w:val="0"/>
      <w:szCs w:val="21"/>
    </w:rPr>
  </w:style>
  <w:style w:type="paragraph" w:customStyle="1" w:styleId="49">
    <w:name w:val="正文1"/>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文本1"/>
    <w:basedOn w:val="49"/>
    <w:autoRedefine/>
    <w:qFormat/>
    <w:uiPriority w:val="99"/>
    <w:rPr>
      <w:rFonts w:eastAsia="楷体_GB2312"/>
      <w:sz w:val="28"/>
    </w:rPr>
  </w:style>
  <w:style w:type="character" w:customStyle="1" w:styleId="51">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52">
    <w:name w:val="BodyText1I"/>
    <w:basedOn w:val="53"/>
    <w:next w:val="34"/>
    <w:autoRedefine/>
    <w:qFormat/>
    <w:uiPriority w:val="0"/>
    <w:pPr>
      <w:ind w:firstLine="420" w:firstLineChars="100"/>
    </w:pPr>
    <w:rPr>
      <w:rFonts w:ascii="楷体_GB2312"/>
      <w:sz w:val="32"/>
    </w:rPr>
  </w:style>
  <w:style w:type="paragraph" w:customStyle="1" w:styleId="53">
    <w:name w:val="BodyText"/>
    <w:basedOn w:val="1"/>
    <w:next w:val="54"/>
    <w:autoRedefine/>
    <w:qFormat/>
    <w:uiPriority w:val="0"/>
    <w:pPr>
      <w:textAlignment w:val="baseline"/>
    </w:pPr>
    <w:rPr>
      <w:rFonts w:ascii="Calibri" w:hAnsi="Calibri" w:eastAsia="楷体_GB2312"/>
      <w:kern w:val="0"/>
      <w:sz w:val="28"/>
    </w:rPr>
  </w:style>
  <w:style w:type="paragraph" w:customStyle="1" w:styleId="54">
    <w:name w:val="BodyText2"/>
    <w:basedOn w:val="1"/>
    <w:next w:val="53"/>
    <w:autoRedefine/>
    <w:qFormat/>
    <w:uiPriority w:val="0"/>
    <w:pPr>
      <w:spacing w:after="120" w:line="480" w:lineRule="auto"/>
      <w:textAlignment w:val="baseline"/>
    </w:pPr>
  </w:style>
  <w:style w:type="paragraph" w:customStyle="1" w:styleId="55">
    <w:name w:val="TOAHeading"/>
    <w:basedOn w:val="1"/>
    <w:next w:val="1"/>
    <w:autoRedefine/>
    <w:qFormat/>
    <w:uiPriority w:val="0"/>
    <w:pPr>
      <w:spacing w:before="120"/>
      <w:textAlignment w:val="baseline"/>
    </w:pPr>
    <w:rPr>
      <w:rFonts w:ascii="Arial" w:hAnsi="Arial"/>
      <w:sz w:val="24"/>
      <w:szCs w:val="22"/>
    </w:rPr>
  </w:style>
  <w:style w:type="paragraph" w:customStyle="1" w:styleId="56">
    <w:name w:val="Table Paragraph"/>
    <w:basedOn w:val="1"/>
    <w:autoRedefine/>
    <w:qFormat/>
    <w:uiPriority w:val="1"/>
    <w:rPr>
      <w:rFonts w:ascii="宋体" w:hAnsi="宋体" w:cs="宋体"/>
      <w:lang w:val="zh-CN" w:bidi="zh-CN"/>
    </w:rPr>
  </w:style>
  <w:style w:type="paragraph" w:styleId="57">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8">
    <w:name w:val="_Style 41"/>
    <w:basedOn w:val="1"/>
    <w:next w:val="57"/>
    <w:autoRedefine/>
    <w:qFormat/>
    <w:uiPriority w:val="34"/>
    <w:pPr>
      <w:ind w:firstLine="420" w:firstLineChars="200"/>
    </w:pPr>
    <w:rPr>
      <w:rFonts w:ascii="等线" w:hAnsi="等线" w:eastAsia="等线"/>
      <w:szCs w:val="22"/>
    </w:rPr>
  </w:style>
  <w:style w:type="paragraph" w:customStyle="1" w:styleId="59">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列出段落1"/>
    <w:basedOn w:val="1"/>
    <w:autoRedefine/>
    <w:qFormat/>
    <w:uiPriority w:val="34"/>
    <w:pPr>
      <w:ind w:firstLine="420" w:firstLineChars="200"/>
    </w:pPr>
    <w:rPr>
      <w:rFonts w:ascii="Calibri" w:hAnsi="Calibri"/>
      <w:szCs w:val="22"/>
    </w:rPr>
  </w:style>
  <w:style w:type="paragraph" w:customStyle="1" w:styleId="62">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纯文本 字符"/>
    <w:basedOn w:val="29"/>
    <w:link w:val="14"/>
    <w:autoRedefine/>
    <w:qFormat/>
    <w:uiPriority w:val="0"/>
    <w:rPr>
      <w:rFonts w:ascii="宋体" w:hAnsi="Courier New"/>
      <w:kern w:val="2"/>
      <w:sz w:val="21"/>
      <w:szCs w:val="21"/>
    </w:rPr>
  </w:style>
  <w:style w:type="paragraph" w:customStyle="1" w:styleId="64">
    <w:name w:val="首行缩进"/>
    <w:basedOn w:val="1"/>
    <w:autoRedefine/>
    <w:qFormat/>
    <w:uiPriority w:val="0"/>
    <w:pPr>
      <w:ind w:firstLine="480"/>
    </w:pPr>
    <w:rPr>
      <w:rFonts w:ascii="Arial" w:hAnsi="Arial"/>
      <w:szCs w:val="20"/>
      <w:lang w:val="zh-CN"/>
    </w:rPr>
  </w:style>
  <w:style w:type="paragraph" w:customStyle="1" w:styleId="65">
    <w:name w:val="Table Text"/>
    <w:basedOn w:val="1"/>
    <w:autoRedefine/>
    <w:semiHidden/>
    <w:qFormat/>
    <w:uiPriority w:val="0"/>
    <w:rPr>
      <w:rFonts w:ascii="宋体" w:hAnsi="宋体" w:eastAsia="宋体" w:cs="宋体"/>
      <w:sz w:val="24"/>
      <w:szCs w:val="24"/>
      <w:lang w:val="en-US" w:eastAsia="en-US" w:bidi="ar-SA"/>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character" w:customStyle="1" w:styleId="67">
    <w:name w:val="正文文本 Char"/>
    <w:basedOn w:val="29"/>
    <w:link w:val="10"/>
    <w:autoRedefine/>
    <w:qFormat/>
    <w:uiPriority w:val="0"/>
    <w:rPr>
      <w:rFonts w:hint="default" w:ascii="Book Antiqua" w:hAnsi="Book Antiqua" w:eastAsia="Book Antiqua" w:cs="Book Antiqua"/>
      <w:kern w:val="2"/>
      <w:sz w:val="21"/>
      <w:szCs w:val="24"/>
    </w:rPr>
  </w:style>
  <w:style w:type="character" w:customStyle="1" w:styleId="68">
    <w:name w:val="正文首行缩进 Char"/>
    <w:basedOn w:val="67"/>
    <w:link w:val="25"/>
    <w:autoRedefine/>
    <w:qFormat/>
    <w:uiPriority w:val="0"/>
    <w:rPr>
      <w:rFonts w:hint="default" w:ascii="Book Antiqua" w:hAnsi="Book Antiqua" w:eastAsia="Book Antiqua" w:cs="Book Antiqua"/>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4188</Words>
  <Characters>23874</Characters>
  <Lines>198</Lines>
  <Paragraphs>56</Paragraphs>
  <TotalTime>0</TotalTime>
  <ScaleCrop>false</ScaleCrop>
  <LinksUpToDate>false</LinksUpToDate>
  <CharactersWithSpaces>28006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WPS_1655562561</cp:lastModifiedBy>
  <cp:lastPrinted>2024-04-16T03:00:00Z</cp:lastPrinted>
  <dcterms:modified xsi:type="dcterms:W3CDTF">2024-04-18T08:47:46Z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C831449D358A466BA54B0B51DE202B3B_13</vt:lpwstr>
  </property>
</Properties>
</file>