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Theme="minorEastAsia" w:hAnsiTheme="minorEastAsia" w:eastAsiaTheme="minorEastAsia" w:cstheme="minorEastAsia"/>
        </w:rPr>
      </w:pPr>
      <w:bookmarkStart w:id="0" w:name="_Toc281574833"/>
    </w:p>
    <w:p>
      <w:pPr>
        <w:pStyle w:val="12"/>
      </w:pPr>
    </w:p>
    <w:p>
      <w:pPr>
        <w:pStyle w:val="12"/>
        <w:rPr>
          <w:rFonts w:asciiTheme="minorEastAsia" w:hAnsiTheme="minorEastAsia" w:eastAsiaTheme="minorEastAsia" w:cstheme="minorEastAsia"/>
        </w:rPr>
      </w:pPr>
    </w:p>
    <w:p>
      <w:pPr>
        <w:spacing w:line="360"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博爱县产业园箱式变压器采购项目（二次）</w:t>
      </w:r>
    </w:p>
    <w:p>
      <w:pPr>
        <w:spacing w:line="360" w:lineRule="auto"/>
        <w:jc w:val="center"/>
        <w:rPr>
          <w:rFonts w:asciiTheme="minorEastAsia" w:hAnsiTheme="minorEastAsia" w:eastAsiaTheme="minorEastAsia" w:cstheme="minorEastAsia"/>
          <w:b/>
          <w:sz w:val="120"/>
          <w:szCs w:val="120"/>
        </w:rPr>
      </w:pPr>
      <w:r>
        <w:rPr>
          <w:rFonts w:hint="eastAsia" w:asciiTheme="majorEastAsia" w:hAnsiTheme="majorEastAsia" w:eastAsiaTheme="majorEastAsia" w:cstheme="majorEastAsia"/>
          <w:b/>
          <w:bCs/>
          <w:sz w:val="44"/>
          <w:szCs w:val="44"/>
        </w:rPr>
        <w:t xml:space="preserve"> </w:t>
      </w:r>
    </w:p>
    <w:p>
      <w:pPr>
        <w:pStyle w:val="11"/>
      </w:pPr>
    </w:p>
    <w:p>
      <w:pPr>
        <w:spacing w:line="360" w:lineRule="auto"/>
        <w:jc w:val="center"/>
        <w:rPr>
          <w:rFonts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pPr>
        <w:jc w:val="center"/>
        <w:rPr>
          <w:rFonts w:asciiTheme="minorEastAsia" w:hAnsiTheme="minorEastAsia" w:eastAsiaTheme="minorEastAsia" w:cstheme="minorEastAsia"/>
          <w:sz w:val="30"/>
        </w:rPr>
      </w:pPr>
    </w:p>
    <w:p>
      <w:pPr>
        <w:rPr>
          <w:rFonts w:asciiTheme="minorEastAsia" w:hAnsiTheme="minorEastAsia" w:eastAsiaTheme="minorEastAsia" w:cstheme="minorEastAsia"/>
          <w:sz w:val="30"/>
        </w:rPr>
      </w:pPr>
    </w:p>
    <w:p>
      <w:pPr>
        <w:rPr>
          <w:rFonts w:asciiTheme="minorEastAsia" w:hAnsiTheme="minorEastAsia" w:eastAsiaTheme="minorEastAsia" w:cstheme="minorEastAsia"/>
        </w:rPr>
      </w:pPr>
    </w:p>
    <w:p>
      <w:pPr>
        <w:pStyle w:val="11"/>
        <w:rPr>
          <w:rFonts w:asciiTheme="minorEastAsia" w:hAnsiTheme="minorEastAsia" w:eastAsiaTheme="minorEastAsia" w:cstheme="minorEastAsia"/>
        </w:rPr>
      </w:pPr>
    </w:p>
    <w:p>
      <w:pPr>
        <w:pStyle w:val="11"/>
      </w:pPr>
    </w:p>
    <w:p>
      <w:pPr>
        <w:ind w:firstLine="1928" w:firstLineChars="6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采 购 人：</w:t>
      </w:r>
      <w:r>
        <w:rPr>
          <w:rFonts w:hint="eastAsia" w:asciiTheme="minorEastAsia" w:hAnsiTheme="minorEastAsia" w:eastAsiaTheme="minorEastAsia" w:cstheme="minorEastAsia"/>
          <w:b/>
          <w:bCs/>
          <w:sz w:val="32"/>
          <w:szCs w:val="32"/>
          <w:lang w:eastAsia="zh-CN"/>
        </w:rPr>
        <w:t>博爱县时代交通投资发展有限公司</w:t>
      </w:r>
    </w:p>
    <w:p>
      <w:pPr>
        <w:ind w:firstLine="1928" w:firstLineChars="6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代理机构：河南众成工程管理有限公司</w:t>
      </w:r>
    </w:p>
    <w:p>
      <w:pPr>
        <w:ind w:firstLine="1928" w:firstLineChars="600"/>
        <w:rPr>
          <w:rFonts w:asciiTheme="minorEastAsia" w:hAnsiTheme="minorEastAsia" w:eastAsiaTheme="minorEastAsia" w:cstheme="minorEastAsia"/>
          <w:b/>
          <w:bCs/>
          <w:sz w:val="32"/>
          <w:szCs w:val="32"/>
        </w:rPr>
        <w:sectPr>
          <w:footerReference r:id="rId4" w:type="first"/>
          <w:footerReference r:id="rId3" w:type="default"/>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期：2024年</w:t>
      </w:r>
      <w:r>
        <w:rPr>
          <w:rFonts w:hint="eastAsia" w:asciiTheme="minorEastAsia" w:hAnsiTheme="minorEastAsia" w:eastAsiaTheme="minorEastAsia" w:cstheme="minorEastAsia"/>
          <w:b/>
          <w:bCs/>
          <w:sz w:val="32"/>
          <w:szCs w:val="32"/>
          <w:lang w:val="en-US" w:eastAsia="zh-CN"/>
        </w:rPr>
        <w:t>2</w:t>
      </w:r>
      <w:r>
        <w:rPr>
          <w:rFonts w:hint="eastAsia" w:asciiTheme="minorEastAsia" w:hAnsiTheme="minorEastAsia" w:eastAsiaTheme="minorEastAsia" w:cstheme="minorEastAsia"/>
          <w:b/>
          <w:bCs/>
          <w:sz w:val="32"/>
          <w:szCs w:val="32"/>
        </w:rPr>
        <w:t>月</w:t>
      </w:r>
    </w:p>
    <w:p>
      <w:pPr>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     录</w:t>
      </w:r>
    </w:p>
    <w:p>
      <w:pPr>
        <w:pStyle w:val="16"/>
        <w:tabs>
          <w:tab w:val="right" w:leader="dot" w:pos="9880"/>
        </w:tabs>
      </w:pPr>
      <w:r>
        <w:rPr>
          <w:rFonts w:hint="eastAsia" w:asciiTheme="minorEastAsia" w:hAnsiTheme="minorEastAsia" w:eastAsiaTheme="minorEastAsia" w:cstheme="minorEastAsia"/>
          <w:b/>
          <w:bCs/>
          <w:szCs w:val="21"/>
          <w:lang w:val="zh-CN"/>
        </w:rPr>
        <w:fldChar w:fldCharType="begin"/>
      </w:r>
      <w:r>
        <w:rPr>
          <w:rFonts w:hint="eastAsia" w:asciiTheme="minorEastAsia" w:hAnsiTheme="minorEastAsia" w:eastAsiaTheme="minorEastAsia" w:cstheme="minorEastAsia"/>
          <w:b/>
          <w:bCs/>
          <w:szCs w:val="21"/>
          <w:lang w:val="zh-CN"/>
        </w:rPr>
        <w:instrText xml:space="preserve"> TOC \o "1-3" \h \z \u </w:instrText>
      </w:r>
      <w:r>
        <w:rPr>
          <w:rFonts w:hint="eastAsia" w:asciiTheme="minorEastAsia" w:hAnsiTheme="minorEastAsia" w:eastAsiaTheme="minorEastAsia" w:cstheme="minorEastAsia"/>
          <w:b/>
          <w:bCs/>
          <w:szCs w:val="21"/>
          <w:lang w:val="zh-CN"/>
        </w:rPr>
        <w:fldChar w:fldCharType="separate"/>
      </w:r>
      <w:r>
        <w:fldChar w:fldCharType="begin"/>
      </w:r>
      <w:r>
        <w:instrText xml:space="preserve"> HYPERLINK \l "_Toc27735" </w:instrText>
      </w:r>
      <w:r>
        <w:fldChar w:fldCharType="separate"/>
      </w:r>
      <w:r>
        <w:rPr>
          <w:rFonts w:hint="eastAsia"/>
        </w:rPr>
        <w:t>重要事项提示</w:t>
      </w:r>
      <w:r>
        <w:tab/>
      </w:r>
      <w:r>
        <w:fldChar w:fldCharType="begin"/>
      </w:r>
      <w:r>
        <w:instrText xml:space="preserve"> PAGEREF _Toc27735 \h </w:instrText>
      </w:r>
      <w:r>
        <w:fldChar w:fldCharType="separate"/>
      </w:r>
      <w:r>
        <w:t>- 3 -</w:t>
      </w:r>
      <w:r>
        <w:fldChar w:fldCharType="end"/>
      </w:r>
      <w:r>
        <w:fldChar w:fldCharType="end"/>
      </w:r>
    </w:p>
    <w:p>
      <w:pPr>
        <w:pStyle w:val="16"/>
        <w:tabs>
          <w:tab w:val="right" w:leader="dot" w:pos="9880"/>
        </w:tabs>
      </w:pPr>
      <w:r>
        <w:fldChar w:fldCharType="begin"/>
      </w:r>
      <w:r>
        <w:instrText xml:space="preserve"> HYPERLINK \l "_Toc23622" </w:instrText>
      </w:r>
      <w:r>
        <w:fldChar w:fldCharType="separate"/>
      </w:r>
      <w:r>
        <w:rPr>
          <w:rFonts w:hint="eastAsia"/>
        </w:rPr>
        <w:t xml:space="preserve">第一章 </w:t>
      </w:r>
      <w:r>
        <w:rPr>
          <w:rFonts w:hint="eastAsia" w:asciiTheme="minorEastAsia" w:hAnsiTheme="minorEastAsia" w:eastAsiaTheme="minorEastAsia" w:cstheme="minorEastAsia"/>
          <w:bCs/>
        </w:rPr>
        <w:t>招标公告</w:t>
      </w:r>
      <w:r>
        <w:tab/>
      </w:r>
      <w:r>
        <w:fldChar w:fldCharType="begin"/>
      </w:r>
      <w:r>
        <w:instrText xml:space="preserve"> PAGEREF _Toc23622 \h </w:instrText>
      </w:r>
      <w:r>
        <w:fldChar w:fldCharType="separate"/>
      </w:r>
      <w:r>
        <w:t>- 5 -</w:t>
      </w:r>
      <w:r>
        <w:fldChar w:fldCharType="end"/>
      </w:r>
      <w:r>
        <w:fldChar w:fldCharType="end"/>
      </w:r>
    </w:p>
    <w:p>
      <w:pPr>
        <w:pStyle w:val="16"/>
        <w:tabs>
          <w:tab w:val="right" w:leader="dot" w:pos="9880"/>
        </w:tabs>
      </w:pPr>
      <w:r>
        <w:fldChar w:fldCharType="begin"/>
      </w:r>
      <w:r>
        <w:instrText xml:space="preserve"> HYPERLINK \l "_Toc21974" </w:instrText>
      </w:r>
      <w:r>
        <w:fldChar w:fldCharType="separate"/>
      </w:r>
      <w:r>
        <w:rPr>
          <w:rFonts w:hint="eastAsia" w:asciiTheme="minorEastAsia" w:hAnsiTheme="minorEastAsia" w:eastAsiaTheme="minorEastAsia" w:cstheme="minorEastAsia"/>
          <w:szCs w:val="32"/>
        </w:rPr>
        <w:t>第二章  供应商须知</w:t>
      </w:r>
      <w:r>
        <w:tab/>
      </w:r>
      <w:r>
        <w:fldChar w:fldCharType="begin"/>
      </w:r>
      <w:r>
        <w:instrText xml:space="preserve"> PAGEREF _Toc21974 \h </w:instrText>
      </w:r>
      <w:r>
        <w:fldChar w:fldCharType="separate"/>
      </w:r>
      <w:r>
        <w:t>- 8 -</w:t>
      </w:r>
      <w:r>
        <w:fldChar w:fldCharType="end"/>
      </w:r>
      <w:r>
        <w:fldChar w:fldCharType="end"/>
      </w:r>
    </w:p>
    <w:p>
      <w:pPr>
        <w:pStyle w:val="16"/>
        <w:tabs>
          <w:tab w:val="right" w:leader="dot" w:pos="9880"/>
        </w:tabs>
      </w:pPr>
      <w:r>
        <w:fldChar w:fldCharType="begin"/>
      </w:r>
      <w:r>
        <w:instrText xml:space="preserve"> HYPERLINK \l "_Toc8251" </w:instrText>
      </w:r>
      <w:r>
        <w:fldChar w:fldCharType="separate"/>
      </w:r>
      <w:r>
        <w:rPr>
          <w:rFonts w:asciiTheme="minorEastAsia" w:hAnsiTheme="minorEastAsia" w:eastAsiaTheme="minorEastAsia" w:cstheme="minorEastAsia"/>
          <w:szCs w:val="36"/>
        </w:rPr>
        <w:t xml:space="preserve">第三章 </w:t>
      </w:r>
      <w:r>
        <w:rPr>
          <w:rFonts w:hint="eastAsia" w:asciiTheme="minorEastAsia" w:hAnsiTheme="minorEastAsia" w:eastAsiaTheme="minorEastAsia" w:cstheme="minorEastAsia"/>
          <w:szCs w:val="36"/>
        </w:rPr>
        <w:t>评标办法（综合评分法）</w:t>
      </w:r>
      <w:r>
        <w:tab/>
      </w:r>
      <w:r>
        <w:fldChar w:fldCharType="begin"/>
      </w:r>
      <w:r>
        <w:instrText xml:space="preserve"> PAGEREF _Toc8251 \h </w:instrText>
      </w:r>
      <w:r>
        <w:fldChar w:fldCharType="separate"/>
      </w:r>
      <w:r>
        <w:t>- 21 -</w:t>
      </w:r>
      <w:r>
        <w:fldChar w:fldCharType="end"/>
      </w:r>
      <w:r>
        <w:fldChar w:fldCharType="end"/>
      </w:r>
    </w:p>
    <w:p>
      <w:pPr>
        <w:pStyle w:val="16"/>
        <w:tabs>
          <w:tab w:val="right" w:leader="dot" w:pos="9880"/>
        </w:tabs>
      </w:pPr>
      <w:r>
        <w:fldChar w:fldCharType="begin"/>
      </w:r>
      <w:r>
        <w:instrText xml:space="preserve"> HYPERLINK \l "_Toc7325" </w:instrText>
      </w:r>
      <w:r>
        <w:fldChar w:fldCharType="separate"/>
      </w:r>
      <w:r>
        <w:rPr>
          <w:rFonts w:hint="eastAsia" w:asciiTheme="minorEastAsia" w:hAnsiTheme="minorEastAsia" w:eastAsiaTheme="minorEastAsia" w:cstheme="minorEastAsia"/>
          <w:szCs w:val="36"/>
        </w:rPr>
        <w:t>第四章 合同条款及格式</w:t>
      </w:r>
      <w:r>
        <w:tab/>
      </w:r>
      <w:r>
        <w:fldChar w:fldCharType="begin"/>
      </w:r>
      <w:r>
        <w:instrText xml:space="preserve"> PAGEREF _Toc7325 \h </w:instrText>
      </w:r>
      <w:r>
        <w:fldChar w:fldCharType="separate"/>
      </w:r>
      <w:r>
        <w:t>- 27 -</w:t>
      </w:r>
      <w:r>
        <w:fldChar w:fldCharType="end"/>
      </w:r>
      <w:r>
        <w:fldChar w:fldCharType="end"/>
      </w:r>
    </w:p>
    <w:p>
      <w:pPr>
        <w:pStyle w:val="16"/>
        <w:tabs>
          <w:tab w:val="right" w:leader="dot" w:pos="9880"/>
        </w:tabs>
        <w:rPr>
          <w:lang w:val="zh-CN"/>
        </w:rPr>
      </w:pPr>
      <w:r>
        <w:fldChar w:fldCharType="begin"/>
      </w:r>
      <w:r>
        <w:instrText xml:space="preserve"> HYPERLINK \l "_Toc18967" </w:instrText>
      </w:r>
      <w:r>
        <w:fldChar w:fldCharType="separate"/>
      </w:r>
      <w:r>
        <w:rPr>
          <w:rFonts w:hint="eastAsia"/>
        </w:rPr>
        <w:t>第五章采购内容及需求</w:t>
      </w:r>
      <w:r>
        <w:tab/>
      </w:r>
      <w:r>
        <w:fldChar w:fldCharType="begin"/>
      </w:r>
      <w:r>
        <w:instrText xml:space="preserve"> PAGEREF _Toc18967 \h </w:instrText>
      </w:r>
      <w:r>
        <w:fldChar w:fldCharType="separate"/>
      </w:r>
      <w:r>
        <w:t>- 29 -</w:t>
      </w:r>
      <w:r>
        <w:fldChar w:fldCharType="end"/>
      </w:r>
      <w:r>
        <w:fldChar w:fldCharType="end"/>
      </w:r>
    </w:p>
    <w:p>
      <w:pPr>
        <w:pStyle w:val="16"/>
        <w:tabs>
          <w:tab w:val="right" w:leader="dot" w:pos="9880"/>
        </w:tabs>
      </w:pPr>
      <w:r>
        <w:rPr>
          <w:rFonts w:hint="eastAsia"/>
        </w:rPr>
        <w:t>第六章 质疑与投诉...................................................................................................................................................-35-</w:t>
      </w:r>
    </w:p>
    <w:p>
      <w:pPr>
        <w:pStyle w:val="16"/>
        <w:tabs>
          <w:tab w:val="right" w:leader="dot" w:pos="9880"/>
        </w:tabs>
      </w:pPr>
      <w:r>
        <w:rPr>
          <w:rFonts w:hint="eastAsia"/>
        </w:rPr>
        <w:t>第七章 履约验收................................................................................................................................................. .....-37-</w:t>
      </w:r>
    </w:p>
    <w:p>
      <w:pPr>
        <w:pStyle w:val="16"/>
        <w:tabs>
          <w:tab w:val="right" w:leader="dot" w:pos="9880"/>
        </w:tabs>
      </w:pPr>
      <w:r>
        <w:rPr>
          <w:rFonts w:hint="eastAsia"/>
        </w:rPr>
        <w:t>第八章  投标文件格式.......................................................................................................................... ................</w:t>
      </w:r>
      <w:r>
        <w:fldChar w:fldCharType="begin"/>
      </w:r>
      <w:r>
        <w:instrText xml:space="preserve"> PAGEREF _Toc12999 \h </w:instrText>
      </w:r>
      <w:r>
        <w:fldChar w:fldCharType="separate"/>
      </w:r>
      <w:r>
        <w:t>- 3</w:t>
      </w:r>
      <w:r>
        <w:rPr>
          <w:rFonts w:hint="eastAsia"/>
        </w:rPr>
        <w:t>8</w:t>
      </w:r>
      <w:r>
        <w:t xml:space="preserve"> -</w:t>
      </w:r>
      <w:r>
        <w:fldChar w:fldCharType="end"/>
      </w:r>
    </w:p>
    <w:p>
      <w:pPr>
        <w:pStyle w:val="17"/>
        <w:tabs>
          <w:tab w:val="right" w:leader="dot" w:pos="9880"/>
        </w:tabs>
      </w:pPr>
    </w:p>
    <w:p>
      <w:pPr>
        <w:spacing w:line="520" w:lineRule="exact"/>
        <w:ind w:right="-273" w:rightChars="-130"/>
        <w:rPr>
          <w:rFonts w:asciiTheme="minorEastAsia" w:hAnsiTheme="minorEastAsia" w:eastAsiaTheme="minorEastAsia" w:cstheme="minorEastAsia"/>
          <w:bCs/>
        </w:rPr>
      </w:pPr>
      <w:r>
        <w:rPr>
          <w:rFonts w:hint="eastAsia" w:asciiTheme="minorEastAsia" w:hAnsiTheme="minorEastAsia" w:eastAsiaTheme="minorEastAsia" w:cstheme="minorEastAsia"/>
          <w:bCs/>
          <w:caps/>
          <w:szCs w:val="21"/>
          <w:lang w:val="zh-CN"/>
        </w:rPr>
        <w:fldChar w:fldCharType="end"/>
      </w:r>
    </w:p>
    <w:p>
      <w:pPr>
        <w:pStyle w:val="19"/>
        <w:spacing w:line="360" w:lineRule="auto"/>
        <w:ind w:right="-63" w:rightChars="-30"/>
        <w:outlineLvl w:val="9"/>
        <w:rPr>
          <w:rFonts w:asciiTheme="minorEastAsia" w:hAnsiTheme="minorEastAsia" w:eastAsiaTheme="minorEastAsia" w:cstheme="minorEastAsia"/>
          <w:bCs/>
        </w:rPr>
      </w:pPr>
    </w:p>
    <w:p>
      <w:pPr>
        <w:pStyle w:val="19"/>
        <w:spacing w:line="360" w:lineRule="auto"/>
        <w:ind w:right="-63" w:rightChars="-30"/>
        <w:outlineLvl w:val="9"/>
        <w:rPr>
          <w:rFonts w:asciiTheme="minorEastAsia" w:hAnsiTheme="minorEastAsia" w:eastAsiaTheme="minorEastAsia" w:cstheme="minorEastAsia"/>
          <w:bCs/>
        </w:rPr>
      </w:pPr>
    </w:p>
    <w:p>
      <w:pPr>
        <w:pStyle w:val="19"/>
        <w:spacing w:line="360" w:lineRule="auto"/>
        <w:ind w:right="-63" w:rightChars="-30"/>
        <w:outlineLvl w:val="9"/>
        <w:rPr>
          <w:rFonts w:asciiTheme="minorEastAsia" w:hAnsiTheme="minorEastAsia" w:eastAsiaTheme="minorEastAsia" w:cstheme="minorEastAsia"/>
          <w:bCs/>
        </w:rPr>
      </w:pPr>
    </w:p>
    <w:p>
      <w:pPr>
        <w:pStyle w:val="19"/>
        <w:spacing w:line="360" w:lineRule="auto"/>
        <w:ind w:right="-63" w:rightChars="-30"/>
        <w:outlineLvl w:val="9"/>
        <w:rPr>
          <w:rFonts w:asciiTheme="minorEastAsia" w:hAnsiTheme="minorEastAsia" w:eastAsiaTheme="minorEastAsia" w:cstheme="minorEastAsia"/>
          <w:bCs/>
        </w:rPr>
      </w:pPr>
    </w:p>
    <w:p>
      <w:pPr>
        <w:pStyle w:val="19"/>
        <w:spacing w:line="360" w:lineRule="auto"/>
        <w:ind w:right="-63" w:rightChars="-30"/>
        <w:outlineLvl w:val="9"/>
        <w:rPr>
          <w:rFonts w:asciiTheme="minorEastAsia" w:hAnsiTheme="minorEastAsia" w:eastAsiaTheme="minorEastAsia" w:cstheme="minorEastAsia"/>
          <w:bCs/>
        </w:rPr>
      </w:pPr>
    </w:p>
    <w:p>
      <w:pPr>
        <w:pStyle w:val="19"/>
        <w:spacing w:line="360" w:lineRule="auto"/>
        <w:ind w:right="-63" w:rightChars="-30"/>
        <w:outlineLvl w:val="9"/>
        <w:rPr>
          <w:rFonts w:asciiTheme="minorEastAsia" w:hAnsiTheme="minorEastAsia" w:eastAsiaTheme="minorEastAsia" w:cstheme="minorEastAsia"/>
          <w:bCs/>
        </w:rPr>
      </w:pPr>
    </w:p>
    <w:p>
      <w:pPr>
        <w:pStyle w:val="19"/>
        <w:spacing w:line="360" w:lineRule="auto"/>
        <w:ind w:right="-63" w:rightChars="-30"/>
        <w:outlineLvl w:val="9"/>
        <w:rPr>
          <w:rFonts w:asciiTheme="minorEastAsia" w:hAnsiTheme="minorEastAsia" w:eastAsiaTheme="minorEastAsia" w:cstheme="minorEastAsia"/>
          <w:bCs/>
        </w:rPr>
      </w:pPr>
    </w:p>
    <w:p>
      <w:pPr>
        <w:pStyle w:val="19"/>
        <w:spacing w:line="360" w:lineRule="auto"/>
        <w:ind w:right="-63" w:rightChars="-30"/>
        <w:outlineLvl w:val="9"/>
        <w:rPr>
          <w:rFonts w:asciiTheme="minorEastAsia" w:hAnsiTheme="minorEastAsia" w:eastAsiaTheme="minorEastAsia" w:cstheme="minorEastAsia"/>
          <w:bCs/>
        </w:rPr>
      </w:pPr>
    </w:p>
    <w:p>
      <w:pPr>
        <w:pStyle w:val="5"/>
        <w:rPr>
          <w:rFonts w:ascii="宋体" w:hAnsi="宋体" w:cs="宋体"/>
        </w:rPr>
      </w:pPr>
      <w:bookmarkStart w:id="1" w:name="_Toc27735"/>
      <w:r>
        <w:rPr>
          <w:rFonts w:hint="eastAsia"/>
        </w:rPr>
        <w:t>重要事项提示</w:t>
      </w:r>
      <w:bookmarkEnd w:id="1"/>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各潜在投标人：</w:t>
      </w:r>
    </w:p>
    <w:p>
      <w:pPr>
        <w:spacing w:line="360" w:lineRule="auto"/>
        <w:ind w:firstLine="480" w:firstLineChars="200"/>
        <w:rPr>
          <w:rFonts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以下环节是此采购文件中需要重点关注的环节，对以下内容的忽视，可能是影响贵公司中标的重要因素。请在编制相应文件参与政府采购时高度重视。</w:t>
      </w:r>
    </w:p>
    <w:p>
      <w:pPr>
        <w:spacing w:line="360" w:lineRule="auto"/>
        <w:ind w:firstLine="480" w:firstLineChars="200"/>
        <w:rPr>
          <w:rFonts w:ascii="宋体" w:hAnsi="宋体" w:cs="宋体"/>
          <w:sz w:val="24"/>
        </w:rPr>
      </w:pPr>
      <w:r>
        <w:rPr>
          <w:rFonts w:hint="eastAsia" w:ascii="宋体" w:hAnsi="宋体" w:cs="宋体"/>
          <w:sz w:val="24"/>
        </w:rPr>
        <w:t>1、采购文件应通过焦作市公共资源交易中心网站会员系统进行网上下载；未使用</w:t>
      </w:r>
      <w:r>
        <w:rPr>
          <w:rFonts w:hint="eastAsia" w:ascii="宋体" w:hAnsi="宋体"/>
          <w:bCs/>
          <w:kern w:val="0"/>
          <w:sz w:val="24"/>
        </w:rPr>
        <w:t>企业 CA 密匙</w:t>
      </w:r>
      <w:r>
        <w:rPr>
          <w:rFonts w:hint="eastAsia" w:ascii="宋体" w:hAnsi="宋体" w:cs="宋体"/>
          <w:sz w:val="24"/>
        </w:rPr>
        <w:t>登录焦作市公共资源交易中心网站会员系统进行网上下载文件的，投标视为无效；</w:t>
      </w:r>
    </w:p>
    <w:p>
      <w:pPr>
        <w:pStyle w:val="18"/>
        <w:spacing w:before="0" w:beforeAutospacing="0" w:after="0" w:afterAutospacing="0" w:line="360" w:lineRule="auto"/>
        <w:ind w:firstLine="480" w:firstLineChars="200"/>
        <w:jc w:val="both"/>
      </w:pPr>
      <w:r>
        <w:rPr>
          <w:rFonts w:hint="eastAsia"/>
        </w:rPr>
        <w:t xml:space="preserve">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 </w:t>
      </w:r>
    </w:p>
    <w:p>
      <w:pPr>
        <w:pStyle w:val="18"/>
        <w:spacing w:before="0" w:beforeAutospacing="0" w:after="0" w:afterAutospacing="0" w:line="360" w:lineRule="auto"/>
        <w:jc w:val="both"/>
      </w:pPr>
      <w:r>
        <w:rPr>
          <w:rFonts w:hint="eastAsia"/>
        </w:rPr>
        <w:t>止时间前登录不见面开标大厅进行签到，按要求解密投标文件。因文件未及时上传导致投标失败的责任由投标人自行承担，具体要求详见招标文件。 平台统一技术服务电话：400-998-0000，服务 QQ：4008503300，服务时间：周一至周日 8：00-17：30。</w:t>
      </w:r>
    </w:p>
    <w:p>
      <w:pPr>
        <w:pStyle w:val="18"/>
        <w:spacing w:before="0" w:beforeAutospacing="0" w:after="0" w:afterAutospacing="0" w:line="360" w:lineRule="auto"/>
        <w:ind w:firstLine="480" w:firstLineChars="200"/>
        <w:jc w:val="both"/>
      </w:pPr>
      <w:r>
        <w:rPr>
          <w:rFonts w:hint="eastAsia"/>
        </w:rPr>
        <w:t>投标人无需到现场参加开标会议，无需到达现场提交原件资料。投标人应当在投标截止前，</w:t>
      </w:r>
    </w:p>
    <w:p>
      <w:pPr>
        <w:pStyle w:val="18"/>
        <w:spacing w:before="0" w:beforeAutospacing="0" w:after="0" w:afterAutospacing="0" w:line="360" w:lineRule="auto"/>
        <w:jc w:val="both"/>
      </w:pPr>
      <w:r>
        <w:rPr>
          <w:rFonts w:hint="eastAsia"/>
        </w:rPr>
        <w:t>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pStyle w:val="18"/>
        <w:numPr>
          <w:ilvl w:val="0"/>
          <w:numId w:val="1"/>
        </w:numPr>
        <w:spacing w:before="0" w:beforeAutospacing="0" w:after="0" w:afterAutospacing="0" w:line="360" w:lineRule="auto"/>
        <w:ind w:firstLine="480" w:firstLineChars="200"/>
        <w:jc w:val="both"/>
      </w:pPr>
      <w:r>
        <w:rPr>
          <w:rFonts w:hint="eastAsia"/>
        </w:rPr>
        <w:t>有下列情形之一的，将作为自动放弃、无效投标或废标处理：</w:t>
      </w:r>
    </w:p>
    <w:p>
      <w:pPr>
        <w:pStyle w:val="18"/>
        <w:numPr>
          <w:ilvl w:val="0"/>
          <w:numId w:val="2"/>
        </w:numPr>
        <w:spacing w:before="0" w:beforeAutospacing="0" w:after="0" w:afterAutospacing="0" w:line="360" w:lineRule="auto"/>
        <w:ind w:left="0" w:firstLine="480" w:firstLineChars="200"/>
        <w:jc w:val="both"/>
        <w:rPr>
          <w:rFonts w:cs="Times New Roman"/>
        </w:rPr>
      </w:pPr>
      <w:r>
        <w:rPr>
          <w:rFonts w:hint="eastAsia" w:cs="Times New Roman"/>
        </w:rPr>
        <w:t>未按招标文件明示的规定签字盖章的；</w:t>
      </w:r>
    </w:p>
    <w:p>
      <w:pPr>
        <w:pStyle w:val="18"/>
        <w:numPr>
          <w:ilvl w:val="0"/>
          <w:numId w:val="2"/>
        </w:numPr>
        <w:spacing w:before="0" w:beforeAutospacing="0" w:after="0" w:afterAutospacing="0" w:line="360" w:lineRule="auto"/>
        <w:ind w:left="0" w:firstLine="480" w:firstLineChars="200"/>
        <w:jc w:val="both"/>
        <w:rPr>
          <w:rFonts w:cs="Times New Roman"/>
        </w:rPr>
      </w:pPr>
      <w:r>
        <w:rPr>
          <w:rFonts w:hint="eastAsia" w:cs="Times New Roman"/>
        </w:rPr>
        <w:t>投标文件的关键内容（供货安装期、质量标准、品牌、型号等）未填写或填写字迹模糊、达不到采购要求的；</w:t>
      </w:r>
    </w:p>
    <w:p>
      <w:pPr>
        <w:pStyle w:val="18"/>
        <w:numPr>
          <w:ilvl w:val="0"/>
          <w:numId w:val="2"/>
        </w:numPr>
        <w:spacing w:before="0" w:beforeAutospacing="0" w:after="0" w:afterAutospacing="0" w:line="360" w:lineRule="auto"/>
        <w:ind w:left="0" w:firstLine="480" w:firstLineChars="200"/>
        <w:jc w:val="both"/>
        <w:rPr>
          <w:rFonts w:cs="Times New Roman"/>
        </w:rPr>
      </w:pPr>
      <w:r>
        <w:rPr>
          <w:rFonts w:hint="eastAsia" w:cs="Times New Roman"/>
        </w:rPr>
        <w:t>投标报价超出招标控制价的；</w:t>
      </w:r>
    </w:p>
    <w:p>
      <w:pPr>
        <w:pStyle w:val="18"/>
        <w:numPr>
          <w:ilvl w:val="0"/>
          <w:numId w:val="2"/>
        </w:numPr>
        <w:spacing w:before="0" w:beforeAutospacing="0" w:after="0" w:afterAutospacing="0" w:line="360" w:lineRule="auto"/>
        <w:ind w:left="0" w:firstLine="480" w:firstLineChars="200"/>
        <w:jc w:val="both"/>
        <w:rPr>
          <w:rFonts w:cs="Times New Roman"/>
        </w:rPr>
      </w:pPr>
      <w:r>
        <w:rPr>
          <w:rFonts w:hint="eastAsia" w:cs="Times New Roman"/>
        </w:rPr>
        <w:t>供应商递交两份或多份内容不同的投标文件，或在一份投标文件中对同一招标项目有两个或多个报价，且未声明哪一个有效的；</w:t>
      </w:r>
    </w:p>
    <w:p>
      <w:pPr>
        <w:pStyle w:val="18"/>
        <w:numPr>
          <w:ilvl w:val="0"/>
          <w:numId w:val="2"/>
        </w:numPr>
        <w:spacing w:before="0" w:beforeAutospacing="0" w:after="0" w:afterAutospacing="0" w:line="360" w:lineRule="auto"/>
        <w:ind w:left="0" w:firstLine="480" w:firstLineChars="200"/>
        <w:jc w:val="both"/>
        <w:rPr>
          <w:rFonts w:cs="Times New Roman"/>
        </w:rPr>
      </w:pPr>
      <w:r>
        <w:rPr>
          <w:rFonts w:hint="eastAsia" w:cs="Times New Roman"/>
        </w:rPr>
        <w:t>相关资格证明文件不合格的；</w:t>
      </w:r>
    </w:p>
    <w:p>
      <w:pPr>
        <w:pStyle w:val="18"/>
        <w:numPr>
          <w:ilvl w:val="0"/>
          <w:numId w:val="2"/>
        </w:numPr>
        <w:spacing w:before="0" w:beforeAutospacing="0" w:after="0" w:afterAutospacing="0" w:line="360" w:lineRule="auto"/>
        <w:ind w:left="0" w:firstLine="480" w:firstLineChars="200"/>
        <w:jc w:val="both"/>
        <w:rPr>
          <w:rFonts w:cs="Times New Roman"/>
        </w:rPr>
      </w:pPr>
      <w:r>
        <w:rPr>
          <w:rFonts w:hint="eastAsia" w:cs="Times New Roman"/>
        </w:rPr>
        <w:t>未按要求在报价明细表中标明品牌、型号及技术参数的。</w:t>
      </w:r>
    </w:p>
    <w:p>
      <w:pPr>
        <w:pStyle w:val="18"/>
        <w:numPr>
          <w:ilvl w:val="0"/>
          <w:numId w:val="2"/>
        </w:numPr>
        <w:spacing w:before="0" w:beforeAutospacing="0" w:after="0" w:afterAutospacing="0" w:line="360" w:lineRule="auto"/>
        <w:ind w:left="0" w:firstLine="480" w:firstLineChars="200"/>
        <w:jc w:val="both"/>
        <w:rPr>
          <w:rFonts w:cs="Times New Roman"/>
        </w:rPr>
      </w:pPr>
      <w:r>
        <w:rPr>
          <w:rFonts w:hint="eastAsia" w:cs="Times New Roman"/>
        </w:rPr>
        <w:t>附有采购人不能接受的条件的；</w:t>
      </w:r>
    </w:p>
    <w:p>
      <w:pPr>
        <w:pStyle w:val="18"/>
        <w:numPr>
          <w:ilvl w:val="0"/>
          <w:numId w:val="2"/>
        </w:numPr>
        <w:spacing w:before="0" w:beforeAutospacing="0" w:after="0" w:afterAutospacing="0" w:line="360" w:lineRule="auto"/>
        <w:ind w:left="0" w:firstLine="480" w:firstLineChars="200"/>
        <w:jc w:val="both"/>
        <w:rPr>
          <w:rFonts w:cs="Times New Roman"/>
        </w:rPr>
      </w:pPr>
      <w:r>
        <w:rPr>
          <w:rFonts w:hint="eastAsia" w:cs="Times New Roman"/>
        </w:rPr>
        <w:t>评标过程中，如因两个或两个以上投标人在同一台计算或同一个IP上传响应文件，而被不见面开标系统提示为“投标文件制作机器码一致”的，则视其投标无效。</w:t>
      </w:r>
    </w:p>
    <w:p>
      <w:pPr>
        <w:pStyle w:val="18"/>
        <w:numPr>
          <w:ilvl w:val="0"/>
          <w:numId w:val="2"/>
        </w:numPr>
        <w:spacing w:before="0" w:beforeAutospacing="0" w:after="0" w:afterAutospacing="0" w:line="360" w:lineRule="auto"/>
        <w:ind w:left="0" w:firstLine="480" w:firstLineChars="200"/>
        <w:jc w:val="both"/>
        <w:rPr>
          <w:rFonts w:cs="Times New Roman"/>
        </w:rPr>
      </w:pPr>
      <w:r>
        <w:rPr>
          <w:rFonts w:hint="eastAsia" w:cs="Times New Roman"/>
        </w:rPr>
        <w:t>投标文件有明显不符合招标文件其它要求和有关法律法规的。</w:t>
      </w:r>
    </w:p>
    <w:p>
      <w:pPr>
        <w:rPr>
          <w:rFonts w:ascii="宋体" w:hAnsi="宋体" w:cs="宋体"/>
          <w:sz w:val="32"/>
          <w:szCs w:val="32"/>
        </w:rPr>
      </w:pPr>
    </w:p>
    <w:p>
      <w:pPr>
        <w:rPr>
          <w:rFonts w:ascii="宋体" w:hAnsi="宋体" w:cs="宋体"/>
          <w:sz w:val="32"/>
          <w:szCs w:val="32"/>
        </w:rPr>
      </w:pPr>
    </w:p>
    <w:p>
      <w:pPr>
        <w:rPr>
          <w:rFonts w:ascii="宋体" w:hAnsi="宋体" w:cs="宋体"/>
          <w:b/>
          <w:bCs/>
          <w:sz w:val="32"/>
          <w:szCs w:val="32"/>
        </w:rPr>
      </w:pPr>
    </w:p>
    <w:p>
      <w:pPr>
        <w:jc w:val="center"/>
        <w:rPr>
          <w:rFonts w:asciiTheme="minorEastAsia" w:hAnsiTheme="minorEastAsia" w:eastAsiaTheme="minorEastAsia" w:cstheme="minorEastAsia"/>
          <w:b/>
          <w:bCs/>
          <w:sz w:val="32"/>
          <w:szCs w:val="32"/>
        </w:rPr>
      </w:pPr>
    </w:p>
    <w:p>
      <w:pPr>
        <w:pStyle w:val="19"/>
        <w:spacing w:line="360" w:lineRule="auto"/>
        <w:ind w:right="-63" w:rightChars="-30"/>
        <w:jc w:val="both"/>
        <w:outlineLvl w:val="9"/>
        <w:rPr>
          <w:rFonts w:asciiTheme="minorEastAsia" w:hAnsiTheme="minorEastAsia" w:eastAsiaTheme="minorEastAsia" w:cstheme="minorEastAsia"/>
          <w:bCs/>
        </w:rPr>
      </w:pPr>
    </w:p>
    <w:p>
      <w:pPr>
        <w:rPr>
          <w:rFonts w:asciiTheme="minorEastAsia" w:hAnsiTheme="minorEastAsia" w:eastAsiaTheme="minorEastAsia" w:cstheme="minorEastAsia"/>
          <w:bCs/>
        </w:rPr>
      </w:pPr>
    </w:p>
    <w:p>
      <w:pPr>
        <w:pStyle w:val="11"/>
        <w:rPr>
          <w:rFonts w:asciiTheme="minorEastAsia" w:hAnsiTheme="minorEastAsia" w:eastAsiaTheme="minorEastAsia" w:cstheme="minorEastAsia"/>
          <w:bCs/>
        </w:rPr>
      </w:pPr>
    </w:p>
    <w:p>
      <w:pPr>
        <w:pStyle w:val="12"/>
        <w:rPr>
          <w:rFonts w:asciiTheme="minorEastAsia" w:hAnsiTheme="minorEastAsia" w:eastAsiaTheme="minorEastAsia" w:cstheme="minorEastAsia"/>
          <w:bCs/>
        </w:rPr>
      </w:pPr>
    </w:p>
    <w:p>
      <w:pPr>
        <w:pStyle w:val="11"/>
        <w:rPr>
          <w:rFonts w:asciiTheme="minorEastAsia" w:hAnsiTheme="minorEastAsia" w:eastAsiaTheme="minorEastAsia" w:cstheme="minorEastAsia"/>
          <w:bCs/>
        </w:rPr>
      </w:pPr>
    </w:p>
    <w:p>
      <w:pPr>
        <w:pStyle w:val="12"/>
        <w:rPr>
          <w:rFonts w:asciiTheme="minorEastAsia" w:hAnsiTheme="minorEastAsia" w:eastAsiaTheme="minorEastAsia" w:cstheme="minorEastAsia"/>
          <w:bCs/>
        </w:rPr>
      </w:pPr>
    </w:p>
    <w:p>
      <w:pPr>
        <w:pStyle w:val="11"/>
        <w:rPr>
          <w:rFonts w:asciiTheme="minorEastAsia" w:hAnsiTheme="minorEastAsia" w:eastAsiaTheme="minorEastAsia" w:cstheme="minorEastAsia"/>
          <w:bCs/>
        </w:rPr>
      </w:pPr>
    </w:p>
    <w:p>
      <w:pPr>
        <w:pStyle w:val="12"/>
      </w:pPr>
    </w:p>
    <w:p>
      <w:pPr>
        <w:pStyle w:val="11"/>
      </w:pPr>
    </w:p>
    <w:p>
      <w:pPr>
        <w:pStyle w:val="11"/>
      </w:pPr>
    </w:p>
    <w:p>
      <w:pPr>
        <w:pStyle w:val="19"/>
        <w:numPr>
          <w:ilvl w:val="0"/>
          <w:numId w:val="3"/>
        </w:numPr>
        <w:spacing w:line="360" w:lineRule="auto"/>
        <w:ind w:right="-63" w:rightChars="-30"/>
      </w:pPr>
      <w:r>
        <w:rPr>
          <w:rFonts w:hint="eastAsia" w:asciiTheme="minorEastAsia" w:hAnsiTheme="minorEastAsia" w:eastAsiaTheme="minorEastAsia" w:cstheme="minorEastAsia"/>
          <w:bCs/>
        </w:rPr>
        <w:t xml:space="preserve">  </w:t>
      </w:r>
      <w:bookmarkStart w:id="2" w:name="_Toc23622"/>
      <w:r>
        <w:rPr>
          <w:rFonts w:hint="eastAsia" w:asciiTheme="minorEastAsia" w:hAnsiTheme="minorEastAsia" w:eastAsiaTheme="minorEastAsia" w:cstheme="minorEastAsia"/>
          <w:bCs/>
        </w:rPr>
        <w:t>招标公告</w:t>
      </w:r>
      <w:bookmarkEnd w:id="2"/>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博爱县产业园箱式变压器采购项目（二次）</w:t>
      </w:r>
      <w:r>
        <w:rPr>
          <w:rFonts w:hint="eastAsia" w:asciiTheme="minorEastAsia" w:hAnsiTheme="minorEastAsia" w:eastAsiaTheme="minorEastAsia" w:cstheme="minorEastAsia"/>
          <w:b/>
          <w:bCs/>
          <w:sz w:val="32"/>
          <w:szCs w:val="32"/>
        </w:rPr>
        <w:t>招标公告（不见面开标）</w:t>
      </w:r>
    </w:p>
    <w:tbl>
      <w:tblPr>
        <w:tblStyle w:val="21"/>
        <w:tblW w:w="87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2" w:type="dxa"/>
          </w:tcPr>
          <w:p>
            <w:pPr>
              <w:pStyle w:val="2"/>
              <w:spacing w:line="440" w:lineRule="exact"/>
              <w:ind w:firstLine="480"/>
              <w:rPr>
                <w:rFonts w:ascii="宋体" w:hAnsi="宋体" w:cs="宋体"/>
                <w:sz w:val="24"/>
              </w:rPr>
            </w:pPr>
            <w:r>
              <w:rPr>
                <w:rFonts w:hint="eastAsia" w:ascii="宋体" w:hAnsi="宋体" w:cs="宋体"/>
                <w:sz w:val="24"/>
              </w:rPr>
              <w:t>项目概况：</w:t>
            </w:r>
            <w:r>
              <w:rPr>
                <w:rFonts w:hint="eastAsia" w:ascii="宋体" w:hAnsi="宋体" w:cs="宋体"/>
                <w:sz w:val="24"/>
                <w:lang w:eastAsia="zh-CN"/>
              </w:rPr>
              <w:t>博爱县产业园箱式变压器采购项目（二次）</w:t>
            </w:r>
            <w:r>
              <w:rPr>
                <w:rFonts w:hint="eastAsia" w:ascii="宋体" w:hAnsi="宋体" w:cs="宋体"/>
                <w:sz w:val="24"/>
              </w:rPr>
              <w:t>的潜在供应商应在焦作市公共资源交易中心网站获取采购文件，并</w:t>
            </w:r>
            <w:r>
              <w:rPr>
                <w:rFonts w:hint="eastAsia" w:ascii="宋体" w:hAnsi="宋体" w:cs="宋体"/>
                <w:sz w:val="24"/>
                <w:highlight w:val="none"/>
              </w:rPr>
              <w:t>于</w:t>
            </w:r>
            <w:r>
              <w:rPr>
                <w:rFonts w:hint="eastAsia" w:ascii="宋体" w:hAnsi="宋体" w:cs="宋体"/>
                <w:color w:val="auto"/>
                <w:kern w:val="0"/>
                <w:sz w:val="24"/>
                <w:highlight w:val="none"/>
                <w:u w:val="single"/>
              </w:rPr>
              <w:t>2024年</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21</w:t>
            </w:r>
            <w:r>
              <w:rPr>
                <w:rFonts w:hint="eastAsia" w:ascii="宋体" w:hAnsi="宋体" w:cs="宋体"/>
                <w:color w:val="auto"/>
                <w:kern w:val="0"/>
                <w:sz w:val="24"/>
                <w:highlight w:val="none"/>
                <w:u w:val="single"/>
              </w:rPr>
              <w:t>日上午9点</w:t>
            </w:r>
            <w:r>
              <w:rPr>
                <w:rFonts w:hint="eastAsia" w:ascii="宋体" w:hAnsi="宋体" w:cs="宋体"/>
                <w:kern w:val="0"/>
                <w:sz w:val="24"/>
                <w:highlight w:val="none"/>
                <w:u w:val="single"/>
              </w:rPr>
              <w:t>00分</w:t>
            </w:r>
            <w:r>
              <w:rPr>
                <w:rFonts w:hint="eastAsia" w:ascii="宋体" w:hAnsi="宋体" w:cs="宋体"/>
                <w:sz w:val="24"/>
                <w:u w:val="single"/>
              </w:rPr>
              <w:t>（北京时间）</w:t>
            </w:r>
            <w:r>
              <w:rPr>
                <w:rFonts w:hint="eastAsia" w:ascii="宋体" w:hAnsi="宋体" w:cs="宋体"/>
                <w:sz w:val="24"/>
              </w:rPr>
              <w:t>前提交响应文件。</w:t>
            </w:r>
          </w:p>
        </w:tc>
      </w:tr>
    </w:tbl>
    <w:p>
      <w:pPr>
        <w:pStyle w:val="25"/>
        <w:spacing w:line="440" w:lineRule="exact"/>
        <w:ind w:left="0" w:firstLine="0"/>
        <w:rPr>
          <w:b/>
          <w:bCs/>
          <w:sz w:val="24"/>
          <w:lang w:eastAsia="zh-CN"/>
        </w:rPr>
      </w:pPr>
      <w:r>
        <w:rPr>
          <w:rFonts w:hint="eastAsia"/>
          <w:b/>
          <w:bCs/>
          <w:sz w:val="24"/>
          <w:lang w:eastAsia="zh-CN"/>
        </w:rPr>
        <w:t>一、项目基本情况</w:t>
      </w:r>
    </w:p>
    <w:p>
      <w:pPr>
        <w:widowControl/>
        <w:spacing w:line="440" w:lineRule="exact"/>
        <w:ind w:firstLine="480" w:firstLineChars="200"/>
        <w:jc w:val="left"/>
        <w:rPr>
          <w:rFonts w:hint="eastAsia" w:ascii="宋体" w:hAnsi="宋体" w:eastAsia="宋体" w:cs="宋体"/>
          <w:kern w:val="0"/>
          <w:sz w:val="24"/>
          <w:lang w:eastAsia="zh-CN"/>
        </w:rPr>
      </w:pPr>
      <w:bookmarkStart w:id="3" w:name="_Toc118912435"/>
      <w:r>
        <w:rPr>
          <w:rFonts w:hint="eastAsia" w:ascii="宋体" w:hAnsi="宋体" w:cs="宋体"/>
          <w:kern w:val="0"/>
          <w:sz w:val="24"/>
        </w:rPr>
        <w:t>1.项目名称：</w:t>
      </w:r>
      <w:bookmarkEnd w:id="3"/>
      <w:r>
        <w:rPr>
          <w:rFonts w:hint="eastAsia" w:ascii="宋体" w:hAnsi="宋体" w:cs="宋体"/>
          <w:kern w:val="0"/>
          <w:sz w:val="24"/>
          <w:lang w:eastAsia="zh-CN"/>
        </w:rPr>
        <w:t>博爱县产业园箱式变压器采购项目（二次）</w:t>
      </w:r>
    </w:p>
    <w:p>
      <w:pPr>
        <w:widowControl/>
        <w:spacing w:line="440" w:lineRule="exact"/>
        <w:ind w:firstLine="480" w:firstLineChars="200"/>
        <w:jc w:val="left"/>
        <w:rPr>
          <w:rFonts w:ascii="宋体" w:hAnsi="宋体" w:cs="宋体"/>
          <w:kern w:val="0"/>
          <w:sz w:val="24"/>
        </w:rPr>
      </w:pPr>
      <w:bookmarkStart w:id="4" w:name="_Toc118912436"/>
      <w:r>
        <w:rPr>
          <w:rFonts w:hint="eastAsia" w:ascii="宋体" w:hAnsi="宋体" w:cs="宋体"/>
          <w:kern w:val="0"/>
          <w:sz w:val="24"/>
        </w:rPr>
        <w:t>2.采购方式：公开招标</w:t>
      </w:r>
      <w:bookmarkEnd w:id="4"/>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3.预算金额：</w:t>
      </w:r>
      <w:r>
        <w:rPr>
          <w:rFonts w:hint="eastAsia" w:ascii="宋体" w:hAnsi="宋体" w:cs="宋体"/>
          <w:kern w:val="0"/>
          <w:sz w:val="24"/>
          <w:lang w:val="zh-CN"/>
        </w:rPr>
        <w:t>1920000.00</w:t>
      </w:r>
      <w:r>
        <w:rPr>
          <w:rFonts w:hint="eastAsia" w:ascii="宋体" w:hAnsi="宋体" w:cs="宋体"/>
          <w:kern w:val="0"/>
          <w:sz w:val="24"/>
        </w:rPr>
        <w:t>元</w:t>
      </w:r>
    </w:p>
    <w:p>
      <w:pPr>
        <w:widowControl/>
        <w:spacing w:line="440" w:lineRule="exact"/>
        <w:ind w:firstLine="720" w:firstLineChars="300"/>
        <w:jc w:val="left"/>
        <w:rPr>
          <w:rFonts w:ascii="宋体" w:hAnsi="宋体" w:cs="宋体"/>
          <w:kern w:val="0"/>
          <w:sz w:val="24"/>
        </w:rPr>
      </w:pPr>
      <w:r>
        <w:rPr>
          <w:rFonts w:hint="eastAsia" w:ascii="宋体" w:hAnsi="宋体" w:cs="宋体"/>
          <w:kern w:val="0"/>
          <w:sz w:val="24"/>
        </w:rPr>
        <w:t>最高限价：</w:t>
      </w:r>
      <w:r>
        <w:rPr>
          <w:rFonts w:hint="eastAsia" w:ascii="宋体" w:hAnsi="宋体" w:cs="宋体"/>
          <w:kern w:val="0"/>
          <w:sz w:val="24"/>
          <w:lang w:val="zh-CN"/>
        </w:rPr>
        <w:t>1920000.00 元</w:t>
      </w:r>
    </w:p>
    <w:tbl>
      <w:tblPr>
        <w:tblStyle w:val="21"/>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18"/>
        <w:gridCol w:w="2610"/>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序号</w:t>
            </w:r>
          </w:p>
        </w:tc>
        <w:tc>
          <w:tcPr>
            <w:tcW w:w="1818" w:type="dxa"/>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包号</w:t>
            </w:r>
          </w:p>
        </w:tc>
        <w:tc>
          <w:tcPr>
            <w:tcW w:w="2610" w:type="dxa"/>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包名称</w:t>
            </w:r>
          </w:p>
        </w:tc>
        <w:tc>
          <w:tcPr>
            <w:tcW w:w="1701" w:type="dxa"/>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包预算（元）</w:t>
            </w:r>
          </w:p>
        </w:tc>
        <w:tc>
          <w:tcPr>
            <w:tcW w:w="198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5" w:type="dxa"/>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1</w:t>
            </w:r>
          </w:p>
        </w:tc>
        <w:tc>
          <w:tcPr>
            <w:tcW w:w="1818" w:type="dxa"/>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w:t>
            </w:r>
          </w:p>
        </w:tc>
        <w:tc>
          <w:tcPr>
            <w:tcW w:w="2610" w:type="dxa"/>
            <w:noWrap/>
            <w:vAlign w:val="center"/>
          </w:tcPr>
          <w:p>
            <w:pPr>
              <w:widowControl/>
              <w:spacing w:line="440" w:lineRule="exact"/>
              <w:jc w:val="center"/>
              <w:rPr>
                <w:rFonts w:hint="eastAsia" w:ascii="宋体" w:hAnsi="宋体" w:eastAsia="宋体" w:cs="宋体"/>
                <w:kern w:val="0"/>
                <w:sz w:val="24"/>
                <w:lang w:eastAsia="zh-CN"/>
              </w:rPr>
            </w:pPr>
            <w:r>
              <w:rPr>
                <w:rFonts w:hint="eastAsia" w:ascii="宋体" w:hAnsi="宋体" w:cs="宋体"/>
                <w:kern w:val="0"/>
                <w:sz w:val="24"/>
                <w:lang w:eastAsia="zh-CN"/>
              </w:rPr>
              <w:t>博爱县产业园箱式变压器采购项目（二次）</w:t>
            </w:r>
          </w:p>
        </w:tc>
        <w:tc>
          <w:tcPr>
            <w:tcW w:w="1701" w:type="dxa"/>
            <w:noWrap/>
            <w:vAlign w:val="center"/>
          </w:tcPr>
          <w:p>
            <w:pPr>
              <w:widowControl/>
              <w:spacing w:line="440" w:lineRule="exact"/>
              <w:jc w:val="center"/>
              <w:rPr>
                <w:rFonts w:ascii="宋体" w:hAnsi="宋体" w:cs="宋体"/>
                <w:kern w:val="0"/>
                <w:sz w:val="24"/>
              </w:rPr>
            </w:pPr>
            <w:r>
              <w:rPr>
                <w:rFonts w:hint="eastAsia" w:ascii="宋体" w:hAnsi="宋体" w:cs="宋体"/>
                <w:kern w:val="0"/>
                <w:sz w:val="24"/>
                <w:lang w:val="zh-CN"/>
              </w:rPr>
              <w:t>1920000.00</w:t>
            </w:r>
          </w:p>
        </w:tc>
        <w:tc>
          <w:tcPr>
            <w:tcW w:w="1984" w:type="dxa"/>
            <w:vAlign w:val="center"/>
          </w:tcPr>
          <w:p>
            <w:pPr>
              <w:widowControl/>
              <w:spacing w:line="440" w:lineRule="exact"/>
              <w:jc w:val="center"/>
              <w:rPr>
                <w:rFonts w:hint="eastAsia" w:ascii="宋体" w:hAnsi="宋体" w:eastAsia="宋体" w:cs="宋体"/>
                <w:kern w:val="0"/>
                <w:sz w:val="24"/>
                <w:lang w:eastAsia="zh-CN"/>
              </w:rPr>
            </w:pPr>
            <w:r>
              <w:rPr>
                <w:rFonts w:hint="eastAsia" w:ascii="宋体" w:hAnsi="宋体" w:cs="宋体"/>
                <w:kern w:val="0"/>
                <w:sz w:val="24"/>
                <w:lang w:eastAsia="zh-CN"/>
              </w:rPr>
              <w:t>1920000.00</w:t>
            </w:r>
          </w:p>
        </w:tc>
      </w:tr>
    </w:tbl>
    <w:p>
      <w:pPr>
        <w:widowControl/>
        <w:spacing w:line="440" w:lineRule="exact"/>
        <w:ind w:firstLine="480" w:firstLineChars="200"/>
        <w:jc w:val="left"/>
        <w:rPr>
          <w:rFonts w:ascii="宋体" w:hAnsi="宋体" w:cs="宋体"/>
          <w:kern w:val="0"/>
          <w:sz w:val="24"/>
          <w:highlight w:val="none"/>
        </w:rPr>
      </w:pPr>
      <w:bookmarkStart w:id="5" w:name="_Toc19521"/>
      <w:bookmarkStart w:id="6" w:name="_Toc21071"/>
      <w:bookmarkStart w:id="7" w:name="_Toc26079"/>
      <w:bookmarkStart w:id="8" w:name="_Toc27913"/>
      <w:bookmarkStart w:id="9" w:name="_Toc24040"/>
      <w:r>
        <w:rPr>
          <w:rFonts w:hint="eastAsia" w:ascii="宋体" w:hAnsi="宋体" w:cs="宋体"/>
          <w:kern w:val="0"/>
          <w:sz w:val="24"/>
        </w:rPr>
        <w:t>4.采购需求</w:t>
      </w:r>
      <w:bookmarkEnd w:id="5"/>
      <w:bookmarkEnd w:id="6"/>
      <w:bookmarkEnd w:id="7"/>
      <w:bookmarkEnd w:id="8"/>
      <w:bookmarkEnd w:id="9"/>
      <w:r>
        <w:rPr>
          <w:rFonts w:ascii="宋体" w:hAnsi="宋体" w:cs="宋体"/>
          <w:kern w:val="0"/>
          <w:sz w:val="24"/>
        </w:rPr>
        <w:t>（</w:t>
      </w:r>
      <w:r>
        <w:rPr>
          <w:rFonts w:hint="eastAsia" w:ascii="宋体" w:hAnsi="宋体" w:cs="宋体"/>
          <w:kern w:val="0"/>
          <w:sz w:val="24"/>
          <w:highlight w:val="none"/>
        </w:rPr>
        <w:t>包括但不限于标的的名称、数量、简要技术需求或服务要求等):采购 10台箱式变压器及配套设施(详见招标文件)。</w:t>
      </w:r>
    </w:p>
    <w:p>
      <w:pPr>
        <w:widowControl/>
        <w:spacing w:line="440" w:lineRule="exact"/>
        <w:ind w:firstLine="480" w:firstLineChars="200"/>
        <w:jc w:val="left"/>
        <w:rPr>
          <w:rFonts w:hint="eastAsia" w:ascii="宋体" w:hAnsi="宋体" w:cs="宋体"/>
          <w:kern w:val="0"/>
          <w:sz w:val="24"/>
          <w:highlight w:val="none"/>
        </w:rPr>
      </w:pPr>
      <w:bookmarkStart w:id="10" w:name="_Toc118912437"/>
      <w:r>
        <w:rPr>
          <w:rFonts w:hint="eastAsia" w:ascii="宋体" w:hAnsi="宋体" w:cs="宋体"/>
          <w:kern w:val="0"/>
          <w:sz w:val="24"/>
          <w:highlight w:val="none"/>
        </w:rPr>
        <w:t>5.供货安装期：</w:t>
      </w:r>
      <w:bookmarkEnd w:id="10"/>
      <w:r>
        <w:rPr>
          <w:rFonts w:hint="eastAsia" w:ascii="宋体" w:hAnsi="宋体" w:cs="宋体"/>
          <w:kern w:val="0"/>
          <w:sz w:val="24"/>
          <w:szCs w:val="24"/>
          <w:highlight w:val="none"/>
        </w:rPr>
        <w:t>合</w:t>
      </w:r>
      <w:r>
        <w:rPr>
          <w:rFonts w:hint="eastAsia" w:ascii="宋体" w:hAnsi="宋体" w:eastAsia="宋体" w:cs="宋体"/>
          <w:kern w:val="0"/>
          <w:sz w:val="24"/>
          <w:szCs w:val="24"/>
          <w:highlight w:val="none"/>
          <w:lang w:val="en-US" w:eastAsia="zh-CN" w:bidi="ar-SA"/>
        </w:rPr>
        <w:t>同签订后30日历天</w:t>
      </w:r>
    </w:p>
    <w:p>
      <w:pPr>
        <w:widowControl/>
        <w:spacing w:line="440" w:lineRule="exact"/>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6.本项目是否接受联合体投标：</w:t>
      </w:r>
      <w:r>
        <w:rPr>
          <w:rFonts w:hint="eastAsia" w:ascii="宋体" w:hAnsi="宋体" w:cs="宋体"/>
          <w:kern w:val="0"/>
          <w:sz w:val="24"/>
          <w:lang w:val="en-US" w:eastAsia="zh-CN"/>
        </w:rPr>
        <w:t>否</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7.是否接受进口产品：否</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8.</w:t>
      </w:r>
      <w:r>
        <w:rPr>
          <w:rFonts w:ascii="宋体" w:hAnsi="宋体" w:cs="宋体"/>
          <w:kern w:val="0"/>
          <w:sz w:val="24"/>
        </w:rPr>
        <w:t>是否专门面向中小企业：否</w:t>
      </w:r>
    </w:p>
    <w:p>
      <w:pPr>
        <w:adjustRightInd w:val="0"/>
        <w:snapToGrid w:val="0"/>
        <w:spacing w:line="440" w:lineRule="exact"/>
        <w:rPr>
          <w:rFonts w:ascii="宋体" w:hAnsi="宋体" w:cs="宋体"/>
          <w:kern w:val="0"/>
          <w:sz w:val="24"/>
        </w:rPr>
      </w:pPr>
      <w:r>
        <w:rPr>
          <w:rFonts w:hint="eastAsia" w:ascii="宋体" w:hAnsi="宋体" w:cs="宋体"/>
          <w:b/>
          <w:bCs/>
          <w:kern w:val="0"/>
          <w:sz w:val="24"/>
        </w:rPr>
        <w:t>二、申请人资格要求：</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1.满足《中华人民共和国政府采购法》第二十二条规定； </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2.落实政府采购政策满足的资格要求：促进中小企业和监狱企业发展扶持政策、政府强制采购节能产品强制采购、节能产品及环境标志产品优先采购、促进残疾人就业政府采购政策； </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3.本项目的特定资格要求 </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3.1供应商须具有有效的营业执照，并具有实施完成本项目的经营实力和完善的售后服务体系；</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3.3本项目</w:t>
      </w:r>
      <w:r>
        <w:rPr>
          <w:rFonts w:hint="eastAsia" w:ascii="宋体" w:hAnsi="宋体" w:cs="宋体"/>
          <w:sz w:val="24"/>
          <w:shd w:val="clear" w:color="auto" w:fill="FFFFFF"/>
          <w:lang w:val="en-US" w:eastAsia="zh-CN"/>
        </w:rPr>
        <w:t>不</w:t>
      </w:r>
      <w:r>
        <w:rPr>
          <w:rFonts w:hint="eastAsia" w:ascii="宋体" w:hAnsi="宋体" w:cs="宋体"/>
          <w:sz w:val="24"/>
          <w:shd w:val="clear" w:color="auto" w:fill="FFFFFF"/>
        </w:rPr>
        <w:t>接受联合体投标；</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3.4资格审查方式：资格后审。</w:t>
      </w:r>
    </w:p>
    <w:p>
      <w:pPr>
        <w:widowControl/>
        <w:spacing w:line="440" w:lineRule="exact"/>
        <w:jc w:val="left"/>
        <w:rPr>
          <w:rFonts w:ascii="宋体" w:hAnsi="宋体" w:cs="宋体"/>
          <w:b/>
          <w:bCs/>
          <w:kern w:val="0"/>
          <w:sz w:val="24"/>
        </w:rPr>
      </w:pPr>
      <w:r>
        <w:rPr>
          <w:rFonts w:hint="eastAsia" w:ascii="宋体" w:hAnsi="宋体" w:cs="宋体"/>
          <w:b/>
          <w:bCs/>
          <w:kern w:val="0"/>
          <w:sz w:val="24"/>
        </w:rPr>
        <w:t>三、获取采购文件</w:t>
      </w:r>
    </w:p>
    <w:p>
      <w:pPr>
        <w:pStyle w:val="18"/>
        <w:shd w:val="clear" w:color="auto" w:fill="FFFFFF"/>
        <w:autoSpaceDE w:val="0"/>
        <w:spacing w:before="0" w:beforeAutospacing="0" w:after="0" w:afterAutospacing="0" w:line="440" w:lineRule="atLeast"/>
        <w:ind w:firstLine="480" w:firstLineChars="200"/>
      </w:pPr>
      <w:bookmarkStart w:id="11" w:name="_Toc10738"/>
      <w:bookmarkStart w:id="12" w:name="_Toc25869"/>
      <w:bookmarkStart w:id="13" w:name="_Toc15111"/>
      <w:bookmarkStart w:id="14" w:name="_Toc27480"/>
      <w:bookmarkStart w:id="15" w:name="_Toc15135"/>
      <w:r>
        <w:rPr>
          <w:rFonts w:hint="eastAsia"/>
        </w:rPr>
        <w:t>1.时间</w:t>
      </w:r>
      <w:r>
        <w:rPr>
          <w:rFonts w:hint="eastAsia"/>
          <w:highlight w:val="none"/>
        </w:rPr>
        <w:t>：</w:t>
      </w:r>
      <w:r>
        <w:rPr>
          <w:rFonts w:hint="eastAsia"/>
          <w:highlight w:val="none"/>
          <w:lang w:eastAsia="zh-CN"/>
        </w:rPr>
        <w:t>2024</w:t>
      </w:r>
      <w:r>
        <w:rPr>
          <w:rFonts w:hint="eastAsia"/>
          <w:highlight w:val="none"/>
        </w:rPr>
        <w:t>年</w:t>
      </w:r>
      <w:r>
        <w:rPr>
          <w:rFonts w:hint="eastAsia"/>
          <w:highlight w:val="none"/>
          <w:lang w:val="en-US" w:eastAsia="zh-CN"/>
        </w:rPr>
        <w:t>2</w:t>
      </w:r>
      <w:r>
        <w:rPr>
          <w:rFonts w:hint="eastAsia"/>
          <w:highlight w:val="none"/>
        </w:rPr>
        <w:t>月</w:t>
      </w:r>
      <w:r>
        <w:rPr>
          <w:rFonts w:hint="eastAsia"/>
          <w:highlight w:val="none"/>
          <w:lang w:val="en-US" w:eastAsia="zh-CN"/>
        </w:rPr>
        <w:t>28</w:t>
      </w:r>
      <w:r>
        <w:rPr>
          <w:rFonts w:hint="eastAsia"/>
          <w:highlight w:val="none"/>
        </w:rPr>
        <w:t>日至</w:t>
      </w:r>
      <w:r>
        <w:rPr>
          <w:rFonts w:hint="eastAsia"/>
          <w:highlight w:val="none"/>
          <w:lang w:eastAsia="zh-CN"/>
        </w:rPr>
        <w:t>2024</w:t>
      </w:r>
      <w:r>
        <w:rPr>
          <w:rFonts w:hint="eastAsia"/>
          <w:highlight w:val="none"/>
        </w:rPr>
        <w:t>年</w:t>
      </w:r>
      <w:r>
        <w:rPr>
          <w:rFonts w:hint="eastAsia"/>
          <w:highlight w:val="none"/>
          <w:lang w:val="en-US" w:eastAsia="zh-CN"/>
        </w:rPr>
        <w:t xml:space="preserve">3月5 </w:t>
      </w:r>
      <w:r>
        <w:rPr>
          <w:rFonts w:hint="eastAsia"/>
          <w:highlight w:val="none"/>
        </w:rPr>
        <w:t>日每天上午</w:t>
      </w:r>
      <w:r>
        <w:rPr>
          <w:rFonts w:hint="eastAsia"/>
        </w:rPr>
        <w:t>08:00至12:00，下午12:00至23:</w:t>
      </w:r>
      <w:r>
        <w:rPr>
          <w:rFonts w:hint="eastAsia"/>
          <w:lang w:val="en-US" w:eastAsia="zh-CN"/>
        </w:rPr>
        <w:t>59</w:t>
      </w:r>
      <w:r>
        <w:rPr>
          <w:rFonts w:hint="eastAsia"/>
        </w:rPr>
        <w:t>（北京时间，法定节假日除外。）</w:t>
      </w:r>
    </w:p>
    <w:p>
      <w:pPr>
        <w:pStyle w:val="18"/>
        <w:shd w:val="clear" w:color="auto" w:fill="FFFFFF"/>
        <w:autoSpaceDE w:val="0"/>
        <w:spacing w:before="0" w:beforeAutospacing="0" w:after="0" w:afterAutospacing="0" w:line="440" w:lineRule="atLeast"/>
        <w:ind w:firstLine="480" w:firstLineChars="200"/>
      </w:pPr>
      <w:r>
        <w:rPr>
          <w:rFonts w:hint="eastAsia"/>
        </w:rPr>
        <w:t>2.地点：焦作市公共资源交易中心网站交易平台。</w:t>
      </w:r>
    </w:p>
    <w:p>
      <w:pPr>
        <w:pStyle w:val="18"/>
        <w:shd w:val="clear" w:color="auto" w:fill="FFFFFF"/>
        <w:autoSpaceDE w:val="0"/>
        <w:spacing w:before="0" w:beforeAutospacing="0" w:after="0" w:afterAutospacing="0" w:line="440" w:lineRule="atLeast"/>
        <w:ind w:firstLine="480" w:firstLineChars="200"/>
      </w:pPr>
      <w:r>
        <w:rPr>
          <w:rFonts w:hint="eastAsia"/>
        </w:rPr>
        <w:t>3.方式：本项目采用电子开评标（不见面开标），凡有意参加投标者，请登陆焦作市公共资源交易中心网站交易平台“交易主体登录”栏目下载招标文件。</w:t>
      </w:r>
    </w:p>
    <w:p>
      <w:pPr>
        <w:pStyle w:val="18"/>
        <w:shd w:val="clear" w:color="auto" w:fill="FFFFFF"/>
        <w:autoSpaceDE w:val="0"/>
        <w:spacing w:before="0" w:beforeAutospacing="0" w:after="0" w:afterAutospacing="0" w:line="440" w:lineRule="atLeast"/>
        <w:ind w:firstLine="480" w:firstLineChars="200"/>
      </w:pPr>
      <w:r>
        <w:rPr>
          <w:rFonts w:hint="eastAsia"/>
        </w:rPr>
        <w:t>4.售价： 0元。</w:t>
      </w:r>
      <w:bookmarkEnd w:id="11"/>
      <w:bookmarkEnd w:id="12"/>
      <w:bookmarkEnd w:id="13"/>
      <w:bookmarkEnd w:id="14"/>
      <w:bookmarkEnd w:id="15"/>
    </w:p>
    <w:p>
      <w:pPr>
        <w:adjustRightInd w:val="0"/>
        <w:snapToGrid w:val="0"/>
        <w:spacing w:line="440" w:lineRule="exact"/>
        <w:rPr>
          <w:rFonts w:ascii="宋体" w:hAnsi="宋体" w:cs="宋体"/>
          <w:b/>
          <w:kern w:val="0"/>
          <w:sz w:val="24"/>
        </w:rPr>
      </w:pPr>
      <w:r>
        <w:rPr>
          <w:rFonts w:hint="eastAsia" w:ascii="宋体" w:hAnsi="宋体" w:cs="宋体"/>
          <w:b/>
          <w:kern w:val="0"/>
          <w:sz w:val="24"/>
        </w:rPr>
        <w:t>四、投标截止时间及地点：</w:t>
      </w:r>
    </w:p>
    <w:p>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rPr>
        <w:t>1.时间</w:t>
      </w:r>
      <w:r>
        <w:rPr>
          <w:rFonts w:hint="eastAsia" w:ascii="宋体" w:hAnsi="宋体" w:cs="宋体"/>
          <w:kern w:val="0"/>
          <w:sz w:val="24"/>
          <w:highlight w:val="none"/>
        </w:rPr>
        <w:t>：</w:t>
      </w:r>
      <w:r>
        <w:rPr>
          <w:rFonts w:hint="eastAsia" w:ascii="宋体" w:hAnsi="宋体" w:cs="宋体"/>
          <w:kern w:val="0"/>
          <w:sz w:val="24"/>
          <w:highlight w:val="none"/>
          <w:lang w:eastAsia="zh-CN"/>
        </w:rPr>
        <w:t>2024</w:t>
      </w:r>
      <w:r>
        <w:rPr>
          <w:rFonts w:hint="eastAsia" w:ascii="宋体" w:hAnsi="宋体" w:cs="宋体"/>
          <w:kern w:val="0"/>
          <w:sz w:val="24"/>
          <w:highlight w:val="none"/>
        </w:rPr>
        <w:t>年</w:t>
      </w:r>
      <w:r>
        <w:rPr>
          <w:rFonts w:hint="eastAsia" w:ascii="宋体" w:hAnsi="宋体" w:cs="宋体"/>
          <w:kern w:val="0"/>
          <w:sz w:val="24"/>
          <w:highlight w:val="none"/>
          <w:lang w:val="en-US" w:eastAsia="zh-CN"/>
        </w:rPr>
        <w:t>3</w:t>
      </w:r>
      <w:r>
        <w:rPr>
          <w:rFonts w:hint="eastAsia" w:ascii="宋体" w:hAnsi="宋体" w:cs="宋体"/>
          <w:kern w:val="0"/>
          <w:sz w:val="24"/>
          <w:highlight w:val="none"/>
        </w:rPr>
        <w:t>月</w:t>
      </w:r>
      <w:r>
        <w:rPr>
          <w:rFonts w:hint="eastAsia" w:ascii="宋体" w:hAnsi="宋体" w:cs="宋体"/>
          <w:kern w:val="0"/>
          <w:sz w:val="24"/>
          <w:highlight w:val="none"/>
          <w:lang w:val="en-US" w:eastAsia="zh-CN"/>
        </w:rPr>
        <w:t>21</w:t>
      </w:r>
      <w:r>
        <w:rPr>
          <w:rFonts w:hint="eastAsia" w:ascii="宋体" w:hAnsi="宋体" w:cs="宋体"/>
          <w:kern w:val="0"/>
          <w:sz w:val="24"/>
          <w:highlight w:val="none"/>
        </w:rPr>
        <w:t>日09时00分（北京时间）。</w:t>
      </w:r>
    </w:p>
    <w:p>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2.地点：博爱县公共资源交易中心二楼不见面开标二室。</w:t>
      </w:r>
    </w:p>
    <w:p>
      <w:pPr>
        <w:adjustRightInd w:val="0"/>
        <w:snapToGrid w:val="0"/>
        <w:spacing w:line="440" w:lineRule="exact"/>
        <w:rPr>
          <w:rFonts w:ascii="宋体" w:hAnsi="宋体" w:cs="宋体"/>
          <w:b/>
          <w:kern w:val="0"/>
          <w:sz w:val="24"/>
          <w:highlight w:val="none"/>
        </w:rPr>
      </w:pPr>
      <w:r>
        <w:rPr>
          <w:rFonts w:hint="eastAsia" w:ascii="宋体" w:hAnsi="宋体" w:cs="宋体"/>
          <w:b/>
          <w:kern w:val="0"/>
          <w:sz w:val="24"/>
          <w:highlight w:val="none"/>
        </w:rPr>
        <w:t>五、开标时间及地点：</w:t>
      </w:r>
    </w:p>
    <w:p>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1.时间：</w:t>
      </w:r>
      <w:r>
        <w:rPr>
          <w:rFonts w:hint="eastAsia" w:ascii="宋体" w:hAnsi="宋体" w:cs="宋体"/>
          <w:kern w:val="0"/>
          <w:sz w:val="24"/>
          <w:highlight w:val="none"/>
          <w:u w:val="none"/>
        </w:rPr>
        <w:t>2024年</w:t>
      </w:r>
      <w:r>
        <w:rPr>
          <w:rFonts w:hint="eastAsia" w:ascii="宋体" w:hAnsi="宋体" w:cs="宋体"/>
          <w:kern w:val="0"/>
          <w:sz w:val="24"/>
          <w:highlight w:val="none"/>
          <w:u w:val="none"/>
          <w:lang w:val="en-US" w:eastAsia="zh-CN"/>
        </w:rPr>
        <w:t>3</w:t>
      </w:r>
      <w:r>
        <w:rPr>
          <w:rFonts w:hint="eastAsia" w:ascii="宋体" w:hAnsi="宋体" w:cs="宋体"/>
          <w:kern w:val="0"/>
          <w:sz w:val="24"/>
          <w:highlight w:val="none"/>
          <w:u w:val="none"/>
        </w:rPr>
        <w:t>月</w:t>
      </w:r>
      <w:r>
        <w:rPr>
          <w:rFonts w:hint="eastAsia" w:ascii="宋体" w:hAnsi="宋体" w:cs="宋体"/>
          <w:kern w:val="0"/>
          <w:sz w:val="24"/>
          <w:highlight w:val="none"/>
          <w:u w:val="none"/>
          <w:lang w:val="en-US" w:eastAsia="zh-CN"/>
        </w:rPr>
        <w:t>21</w:t>
      </w:r>
      <w:r>
        <w:rPr>
          <w:rFonts w:hint="eastAsia" w:ascii="宋体" w:hAnsi="宋体" w:cs="宋体"/>
          <w:kern w:val="0"/>
          <w:sz w:val="24"/>
          <w:highlight w:val="none"/>
          <w:u w:val="none"/>
        </w:rPr>
        <w:t>日上午</w:t>
      </w:r>
      <w:r>
        <w:rPr>
          <w:rFonts w:hint="eastAsia" w:ascii="宋体" w:hAnsi="宋体" w:cs="宋体"/>
          <w:kern w:val="0"/>
          <w:sz w:val="24"/>
          <w:highlight w:val="none"/>
          <w:u w:val="none"/>
          <w:lang w:val="en-US" w:eastAsia="zh-CN"/>
        </w:rPr>
        <w:t>0</w:t>
      </w:r>
      <w:r>
        <w:rPr>
          <w:rFonts w:hint="eastAsia" w:ascii="宋体" w:hAnsi="宋体" w:cs="宋体"/>
          <w:kern w:val="0"/>
          <w:sz w:val="24"/>
          <w:highlight w:val="none"/>
          <w:u w:val="none"/>
        </w:rPr>
        <w:t>9点00分（北京时间）；</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2.地点：博爱县公共资源交易中心二楼不见面开标二室；</w:t>
      </w:r>
    </w:p>
    <w:p>
      <w:pPr>
        <w:adjustRightInd w:val="0"/>
        <w:snapToGrid w:val="0"/>
        <w:spacing w:line="440" w:lineRule="exact"/>
        <w:rPr>
          <w:rFonts w:ascii="宋体" w:hAnsi="宋体" w:cs="宋体"/>
          <w:b/>
          <w:bCs/>
          <w:sz w:val="24"/>
        </w:rPr>
      </w:pPr>
      <w:r>
        <w:rPr>
          <w:rFonts w:hint="eastAsia" w:ascii="宋体" w:hAnsi="宋体" w:cs="宋体"/>
          <w:b/>
          <w:bCs/>
          <w:sz w:val="24"/>
        </w:rPr>
        <w:t>六、发布公告的媒介及招标公告期限：</w:t>
      </w:r>
    </w:p>
    <w:p>
      <w:pPr>
        <w:adjustRightInd w:val="0"/>
        <w:snapToGrid w:val="0"/>
        <w:spacing w:line="440" w:lineRule="exact"/>
        <w:ind w:firstLine="480" w:firstLineChars="200"/>
        <w:rPr>
          <w:rFonts w:ascii="宋体" w:hAnsi="宋体" w:cs="宋体"/>
          <w:kern w:val="0"/>
          <w:sz w:val="24"/>
        </w:rPr>
      </w:pPr>
      <w:r>
        <w:rPr>
          <w:rFonts w:hint="eastAsia" w:ascii="宋体" w:hAnsi="宋体" w:cs="宋体"/>
          <w:sz w:val="24"/>
        </w:rPr>
        <w:t>本次招标公告在中国招标投标公共服务平台、焦作市公共资源交易中心网、博爱县人民政府网、博爱县公共资源交易中心网http://www.baxggzyjyzx.cn/上发布， 招标公告期限为五个工作日</w:t>
      </w:r>
      <w:r>
        <w:rPr>
          <w:rFonts w:hint="eastAsia" w:ascii="宋体" w:hAnsi="宋体" w:cs="宋体"/>
          <w:kern w:val="0"/>
          <w:sz w:val="24"/>
        </w:rPr>
        <w:t>。</w:t>
      </w:r>
    </w:p>
    <w:p>
      <w:pPr>
        <w:pStyle w:val="18"/>
        <w:numPr>
          <w:ilvl w:val="0"/>
          <w:numId w:val="4"/>
        </w:numPr>
        <w:shd w:val="clear" w:color="auto" w:fill="FFFFFF"/>
        <w:autoSpaceDE w:val="0"/>
        <w:spacing w:before="0" w:beforeAutospacing="0" w:after="0" w:afterAutospacing="0" w:line="440" w:lineRule="exact"/>
        <w:rPr>
          <w:b/>
          <w:shd w:val="clear" w:color="auto" w:fill="FFFFFF"/>
        </w:rPr>
      </w:pPr>
      <w:r>
        <w:rPr>
          <w:rFonts w:hint="eastAsia"/>
          <w:b/>
          <w:shd w:val="clear" w:color="auto" w:fill="FFFFFF"/>
        </w:rPr>
        <w:t>其他补充事宜</w:t>
      </w:r>
    </w:p>
    <w:p>
      <w:pPr>
        <w:pStyle w:val="18"/>
        <w:spacing w:beforeAutospacing="0" w:afterAutospacing="0" w:line="440" w:lineRule="exact"/>
        <w:ind w:firstLine="468" w:firstLineChars="195"/>
        <w:jc w:val="both"/>
      </w:pPr>
      <w:r>
        <w:rPr>
          <w:rFonts w:hint="eastAsia"/>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pPr>
        <w:pStyle w:val="18"/>
        <w:spacing w:beforeAutospacing="0" w:afterAutospacing="0" w:line="440" w:lineRule="exact"/>
        <w:ind w:firstLine="468" w:firstLineChars="195"/>
        <w:jc w:val="both"/>
      </w:pPr>
      <w:r>
        <w:rPr>
          <w:rFonts w:hint="eastAsia"/>
        </w:rPr>
        <w:t>2.投标人无需到现场参加开标会议，无需到达现场提交原件资料。投标人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kern w:val="0"/>
          <w:sz w:val="24"/>
        </w:rPr>
      </w:pPr>
      <w:r>
        <w:rPr>
          <w:rFonts w:hint="eastAsia" w:ascii="宋体" w:hAnsi="宋体" w:cs="宋体"/>
          <w:b/>
          <w:kern w:val="0"/>
          <w:sz w:val="24"/>
        </w:rPr>
        <w:t>八、</w:t>
      </w:r>
      <w:r>
        <w:rPr>
          <w:rFonts w:hint="eastAsia" w:ascii="宋体" w:hAnsi="宋体" w:cs="宋体"/>
          <w:b/>
          <w:sz w:val="24"/>
          <w:shd w:val="clear" w:color="auto" w:fill="FFFFFF"/>
        </w:rPr>
        <w:t>凡对本次采购提出询问，请按以下方式联系</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1、采购人信息</w:t>
      </w:r>
    </w:p>
    <w:p>
      <w:pPr>
        <w:adjustRightInd w:val="0"/>
        <w:snapToGrid w:val="0"/>
        <w:spacing w:line="44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名称：</w:t>
      </w:r>
      <w:r>
        <w:rPr>
          <w:rFonts w:hint="eastAsia" w:ascii="宋体" w:hAnsi="宋体" w:cs="宋体"/>
          <w:kern w:val="0"/>
          <w:sz w:val="24"/>
          <w:lang w:eastAsia="zh-CN"/>
        </w:rPr>
        <w:t>博爱县时代交通投资发展有限公司</w:t>
      </w:r>
    </w:p>
    <w:p>
      <w:pPr>
        <w:adjustRightInd w:val="0"/>
        <w:snapToGrid w:val="0"/>
        <w:spacing w:line="44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联系人：</w:t>
      </w:r>
      <w:r>
        <w:rPr>
          <w:rFonts w:hint="eastAsia" w:ascii="宋体" w:hAnsi="宋体" w:cs="宋体"/>
          <w:kern w:val="0"/>
          <w:sz w:val="24"/>
          <w:lang w:eastAsia="zh-CN"/>
        </w:rPr>
        <w:t>周先生</w:t>
      </w:r>
    </w:p>
    <w:p>
      <w:pPr>
        <w:adjustRightInd w:val="0"/>
        <w:snapToGrid w:val="0"/>
        <w:spacing w:line="44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联系电话：</w:t>
      </w:r>
      <w:r>
        <w:rPr>
          <w:rFonts w:hint="eastAsia" w:ascii="宋体" w:hAnsi="宋体" w:cs="宋体"/>
          <w:kern w:val="0"/>
          <w:sz w:val="24"/>
          <w:lang w:eastAsia="zh-CN"/>
        </w:rPr>
        <w:t>18639166773</w:t>
      </w:r>
    </w:p>
    <w:p>
      <w:pPr>
        <w:adjustRightInd w:val="0"/>
        <w:snapToGrid w:val="0"/>
        <w:spacing w:line="44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地址：</w:t>
      </w:r>
      <w:r>
        <w:rPr>
          <w:rFonts w:hint="eastAsia" w:ascii="宋体" w:hAnsi="宋体" w:cs="宋体"/>
          <w:kern w:val="0"/>
          <w:sz w:val="24"/>
          <w:lang w:eastAsia="zh-CN"/>
        </w:rPr>
        <w:t>博爱县综合办公楼东配楼8楼</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2、采购代理机构信息（如有）</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名称：河南众成工程管理有限公司</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联系人：</w:t>
      </w:r>
      <w:r>
        <w:rPr>
          <w:rFonts w:hint="eastAsia" w:ascii="宋体" w:hAnsi="宋体" w:cs="宋体"/>
          <w:kern w:val="0"/>
          <w:sz w:val="24"/>
          <w:lang w:val="en-US" w:eastAsia="zh-CN"/>
        </w:rPr>
        <w:t>康</w:t>
      </w:r>
      <w:r>
        <w:rPr>
          <w:rFonts w:hint="eastAsia" w:ascii="宋体" w:hAnsi="宋体" w:cs="宋体"/>
          <w:kern w:val="0"/>
          <w:sz w:val="24"/>
        </w:rPr>
        <w:t>女士</w:t>
      </w:r>
    </w:p>
    <w:p>
      <w:pPr>
        <w:adjustRightInd w:val="0"/>
        <w:snapToGrid w:val="0"/>
        <w:spacing w:line="440" w:lineRule="exact"/>
        <w:ind w:firstLine="480" w:firstLineChars="200"/>
        <w:rPr>
          <w:rFonts w:hint="default" w:ascii="宋体" w:hAnsi="宋体" w:eastAsia="宋体" w:cs="宋体"/>
          <w:kern w:val="0"/>
          <w:sz w:val="24"/>
          <w:lang w:val="en-US" w:eastAsia="zh-CN"/>
        </w:rPr>
      </w:pPr>
      <w:r>
        <w:rPr>
          <w:rFonts w:hint="eastAsia" w:ascii="宋体" w:hAnsi="宋体" w:cs="宋体"/>
          <w:kern w:val="0"/>
          <w:sz w:val="24"/>
        </w:rPr>
        <w:t>电话：15</w:t>
      </w:r>
      <w:r>
        <w:rPr>
          <w:rFonts w:hint="eastAsia" w:ascii="宋体" w:hAnsi="宋体" w:cs="宋体"/>
          <w:kern w:val="0"/>
          <w:sz w:val="24"/>
          <w:lang w:val="en-US" w:eastAsia="zh-CN"/>
        </w:rPr>
        <w:t>538963371</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地址：郑州市金水区青年路145号6号楼14层1408号</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3、项目联系方式</w:t>
      </w:r>
    </w:p>
    <w:p>
      <w:pPr>
        <w:adjustRightInd w:val="0"/>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项目联系人：</w:t>
      </w:r>
      <w:r>
        <w:rPr>
          <w:rFonts w:hint="eastAsia" w:ascii="宋体" w:hAnsi="宋体" w:cs="宋体"/>
          <w:kern w:val="0"/>
          <w:sz w:val="24"/>
          <w:lang w:eastAsia="zh-CN"/>
        </w:rPr>
        <w:t>周先生</w:t>
      </w:r>
      <w:r>
        <w:rPr>
          <w:rFonts w:hint="eastAsia" w:ascii="宋体" w:hAnsi="宋体" w:cs="宋体"/>
          <w:kern w:val="0"/>
          <w:sz w:val="24"/>
        </w:rPr>
        <w:t xml:space="preserve">       </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联系方式：</w:t>
      </w:r>
      <w:r>
        <w:rPr>
          <w:rFonts w:hint="eastAsia" w:ascii="宋体" w:hAnsi="宋体" w:cs="宋体"/>
          <w:kern w:val="0"/>
          <w:sz w:val="24"/>
          <w:lang w:eastAsia="zh-CN"/>
        </w:rPr>
        <w:t>18639166773</w:t>
      </w:r>
      <w:r>
        <w:rPr>
          <w:rFonts w:hint="eastAsia" w:ascii="宋体" w:hAnsi="宋体" w:cs="宋体"/>
          <w:kern w:val="0"/>
          <w:sz w:val="24"/>
        </w:rPr>
        <w:t xml:space="preserve">     </w:t>
      </w:r>
    </w:p>
    <w:p>
      <w:pPr>
        <w:widowControl/>
        <w:spacing w:line="440" w:lineRule="exact"/>
        <w:ind w:left="2940" w:firstLine="420"/>
        <w:rPr>
          <w:rFonts w:ascii="宋体" w:hAnsi="宋体" w:cs="宋体"/>
          <w:sz w:val="24"/>
        </w:rPr>
      </w:pPr>
    </w:p>
    <w:p>
      <w:pPr>
        <w:widowControl/>
        <w:tabs>
          <w:tab w:val="left" w:pos="4270"/>
          <w:tab w:val="right" w:pos="10000"/>
        </w:tabs>
        <w:spacing w:line="440" w:lineRule="exact"/>
        <w:ind w:left="2940" w:firstLine="420"/>
        <w:jc w:val="left"/>
        <w:rPr>
          <w:rFonts w:hint="eastAsia" w:ascii="宋体" w:hAnsi="宋体" w:eastAsia="宋体" w:cs="宋体"/>
          <w:sz w:val="24"/>
          <w:shd w:val="clear" w:color="auto" w:fill="FFFFFF"/>
          <w:lang w:eastAsia="zh-CN"/>
        </w:rPr>
      </w:pPr>
      <w:r>
        <w:rPr>
          <w:rFonts w:hint="eastAsia" w:ascii="宋体" w:hAnsi="宋体" w:cs="宋体"/>
          <w:sz w:val="24"/>
          <w:lang w:eastAsia="zh-CN"/>
        </w:rPr>
        <w:tab/>
      </w:r>
      <w:r>
        <w:rPr>
          <w:rFonts w:hint="eastAsia" w:ascii="宋体" w:hAnsi="宋体" w:cs="宋体"/>
          <w:sz w:val="24"/>
          <w:lang w:eastAsia="zh-CN"/>
        </w:rPr>
        <w:tab/>
      </w:r>
      <w:r>
        <w:rPr>
          <w:rFonts w:hint="eastAsia" w:ascii="宋体" w:hAnsi="宋体" w:cs="宋体"/>
          <w:sz w:val="24"/>
        </w:rPr>
        <w:t>采购人：</w:t>
      </w:r>
      <w:r>
        <w:rPr>
          <w:rFonts w:hint="eastAsia" w:ascii="宋体" w:hAnsi="宋体" w:cs="宋体"/>
          <w:sz w:val="24"/>
          <w:shd w:val="clear" w:color="auto" w:fill="FFFFFF"/>
          <w:lang w:eastAsia="zh-CN"/>
        </w:rPr>
        <w:t>博爱县时代交通投资发展有限公司</w:t>
      </w:r>
    </w:p>
    <w:p>
      <w:pPr>
        <w:widowControl/>
        <w:spacing w:line="440" w:lineRule="exact"/>
        <w:ind w:left="2940" w:firstLine="420"/>
        <w:jc w:val="right"/>
        <w:rPr>
          <w:rFonts w:ascii="宋体" w:hAnsi="宋体" w:cs="宋体"/>
          <w:sz w:val="24"/>
          <w:shd w:val="clear" w:color="auto" w:fill="FFFFFF"/>
        </w:rPr>
      </w:pPr>
      <w:r>
        <w:rPr>
          <w:rFonts w:hint="eastAsia" w:ascii="宋体" w:hAnsi="宋体" w:cs="宋体"/>
          <w:sz w:val="24"/>
          <w:shd w:val="clear" w:color="auto" w:fill="FFFFFF"/>
        </w:rPr>
        <w:t>采购代理机构：河南众成工程管理有限公司</w:t>
      </w:r>
    </w:p>
    <w:p>
      <w:pPr>
        <w:widowControl/>
        <w:spacing w:line="440" w:lineRule="exact"/>
        <w:ind w:left="2940" w:firstLine="420"/>
        <w:jc w:val="right"/>
        <w:rPr>
          <w:highlight w:val="none"/>
        </w:rPr>
      </w:pPr>
      <w:r>
        <w:rPr>
          <w:rFonts w:hint="eastAsia" w:ascii="宋体" w:hAnsi="宋体" w:cs="宋体"/>
          <w:sz w:val="24"/>
          <w:highlight w:val="none"/>
        </w:rPr>
        <w:t>发布时间：2024年</w:t>
      </w:r>
      <w:r>
        <w:rPr>
          <w:rFonts w:hint="eastAsia" w:ascii="宋体" w:hAnsi="宋体" w:cs="宋体"/>
          <w:sz w:val="24"/>
          <w:highlight w:val="none"/>
          <w:lang w:val="en-US" w:eastAsia="zh-CN"/>
        </w:rPr>
        <w:t>2</w:t>
      </w:r>
      <w:r>
        <w:rPr>
          <w:rFonts w:hint="eastAsia" w:ascii="宋体" w:hAnsi="宋体" w:cs="宋体"/>
          <w:sz w:val="24"/>
          <w:highlight w:val="none"/>
        </w:rPr>
        <w:t>月</w:t>
      </w:r>
      <w:r>
        <w:rPr>
          <w:rFonts w:hint="eastAsia" w:ascii="宋体" w:hAnsi="宋体" w:cs="宋体"/>
          <w:sz w:val="24"/>
          <w:highlight w:val="none"/>
          <w:lang w:val="en-US" w:eastAsia="zh-CN"/>
        </w:rPr>
        <w:t>27</w:t>
      </w:r>
      <w:r>
        <w:rPr>
          <w:rFonts w:hint="eastAsia" w:ascii="宋体" w:hAnsi="宋体" w:cs="宋体"/>
          <w:sz w:val="24"/>
          <w:highlight w:val="none"/>
        </w:rPr>
        <w:t>日</w:t>
      </w:r>
    </w:p>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bookmarkStart w:id="16" w:name="_Toc21974"/>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第二章  供应商须知</w:t>
      </w:r>
      <w:bookmarkEnd w:id="16"/>
    </w:p>
    <w:bookmarkEnd w:id="0"/>
    <w:p>
      <w:pPr>
        <w:pStyle w:val="19"/>
        <w:spacing w:before="0" w:after="0" w:line="360" w:lineRule="auto"/>
        <w:ind w:right="-23" w:rightChars="-11"/>
        <w:outlineLvl w:val="1"/>
        <w:rPr>
          <w:rFonts w:asciiTheme="minorEastAsia" w:hAnsiTheme="minorEastAsia" w:eastAsiaTheme="minorEastAsia" w:cstheme="minorEastAsia"/>
          <w:sz w:val="30"/>
          <w:szCs w:val="30"/>
        </w:rPr>
      </w:pPr>
      <w:bookmarkStart w:id="17" w:name="_Toc14655"/>
      <w:bookmarkStart w:id="18" w:name="_Toc426369478"/>
      <w:bookmarkStart w:id="19" w:name="_Toc9161"/>
      <w:bookmarkStart w:id="20" w:name="_Toc403122490"/>
      <w:bookmarkStart w:id="21" w:name="_Toc32497"/>
      <w:r>
        <w:rPr>
          <w:rFonts w:hint="eastAsia" w:asciiTheme="minorEastAsia" w:hAnsiTheme="minorEastAsia" w:eastAsiaTheme="minorEastAsia" w:cstheme="minorEastAsia"/>
          <w:sz w:val="30"/>
          <w:szCs w:val="30"/>
        </w:rPr>
        <w:t>供应商须知前附表</w:t>
      </w:r>
      <w:bookmarkEnd w:id="17"/>
      <w:bookmarkEnd w:id="18"/>
      <w:bookmarkEnd w:id="19"/>
      <w:bookmarkEnd w:id="20"/>
      <w:bookmarkEnd w:id="21"/>
    </w:p>
    <w:tbl>
      <w:tblPr>
        <w:tblStyle w:val="21"/>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条款号</w:t>
            </w:r>
          </w:p>
        </w:tc>
        <w:tc>
          <w:tcPr>
            <w:tcW w:w="2318" w:type="dxa"/>
            <w:vAlign w:val="center"/>
          </w:tcPr>
          <w:p>
            <w:pPr>
              <w:pStyle w:val="13"/>
              <w:spacing w:line="360" w:lineRule="exact"/>
              <w:jc w:val="center"/>
              <w:rPr>
                <w:rFonts w:hint="default"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条款名称</w:t>
            </w:r>
          </w:p>
        </w:tc>
        <w:tc>
          <w:tcPr>
            <w:tcW w:w="6112" w:type="dxa"/>
            <w:vAlign w:val="center"/>
          </w:tcPr>
          <w:p>
            <w:pPr>
              <w:pStyle w:val="13"/>
              <w:spacing w:line="360" w:lineRule="exact"/>
              <w:jc w:val="center"/>
              <w:rPr>
                <w:rFonts w:hint="default"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1.1.2</w:t>
            </w:r>
          </w:p>
        </w:tc>
        <w:tc>
          <w:tcPr>
            <w:tcW w:w="2318"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w:t>
            </w:r>
          </w:p>
        </w:tc>
        <w:tc>
          <w:tcPr>
            <w:tcW w:w="6112" w:type="dxa"/>
            <w:vAlign w:val="center"/>
          </w:tcPr>
          <w:p>
            <w:pPr>
              <w:pStyle w:val="13"/>
              <w:spacing w:line="360" w:lineRule="exact"/>
              <w:rPr>
                <w:rFonts w:hint="eastAsia" w:asciiTheme="minorEastAsia" w:hAnsiTheme="minorEastAsia" w:eastAsiaTheme="minorEastAsia" w:cstheme="minorEastAsia"/>
                <w:highlight w:val="none"/>
                <w:lang w:eastAsia="zh-CN"/>
              </w:rPr>
            </w:pPr>
            <w:r>
              <w:rPr>
                <w:rFonts w:asciiTheme="minorEastAsia" w:hAnsiTheme="minorEastAsia" w:eastAsiaTheme="minorEastAsia" w:cstheme="minorEastAsia"/>
                <w:highlight w:val="none"/>
              </w:rPr>
              <w:t>名称：</w:t>
            </w:r>
            <w:r>
              <w:rPr>
                <w:rFonts w:hint="eastAsia" w:asciiTheme="minorEastAsia" w:hAnsiTheme="minorEastAsia" w:eastAsiaTheme="minorEastAsia" w:cstheme="minorEastAsia"/>
                <w:highlight w:val="none"/>
                <w:lang w:eastAsia="zh-CN"/>
              </w:rPr>
              <w:t>博爱县时代交通投资发展有限公司</w:t>
            </w:r>
          </w:p>
          <w:p>
            <w:pPr>
              <w:pStyle w:val="13"/>
              <w:spacing w:line="360" w:lineRule="exact"/>
              <w:rPr>
                <w:rFonts w:hint="eastAsia" w:asciiTheme="minorEastAsia" w:hAnsiTheme="minorEastAsia" w:eastAsiaTheme="minorEastAsia" w:cstheme="minorEastAsia"/>
                <w:highlight w:val="none"/>
                <w:lang w:eastAsia="zh-CN"/>
              </w:rPr>
            </w:pPr>
            <w:r>
              <w:rPr>
                <w:rFonts w:asciiTheme="minorEastAsia" w:hAnsiTheme="minorEastAsia" w:eastAsiaTheme="minorEastAsia" w:cstheme="minorEastAsia"/>
                <w:highlight w:val="none"/>
              </w:rPr>
              <w:t>联系人：</w:t>
            </w:r>
            <w:r>
              <w:rPr>
                <w:rFonts w:hint="eastAsia" w:asciiTheme="minorEastAsia" w:hAnsiTheme="minorEastAsia" w:eastAsiaTheme="minorEastAsia" w:cstheme="minorEastAsia"/>
                <w:highlight w:val="none"/>
                <w:lang w:eastAsia="zh-CN"/>
              </w:rPr>
              <w:t>周先生</w:t>
            </w:r>
          </w:p>
          <w:p>
            <w:pPr>
              <w:pStyle w:val="13"/>
              <w:spacing w:line="360" w:lineRule="exact"/>
              <w:rPr>
                <w:rFonts w:hint="eastAsia" w:asciiTheme="minorEastAsia" w:hAnsiTheme="minorEastAsia" w:eastAsiaTheme="minorEastAsia" w:cstheme="minorEastAsia"/>
                <w:highlight w:val="none"/>
                <w:lang w:eastAsia="zh-CN"/>
              </w:rPr>
            </w:pPr>
            <w:r>
              <w:rPr>
                <w:rFonts w:asciiTheme="minorEastAsia" w:hAnsiTheme="minorEastAsia" w:eastAsiaTheme="minorEastAsia" w:cstheme="minorEastAsia"/>
                <w:highlight w:val="none"/>
              </w:rPr>
              <w:t>电话：</w:t>
            </w:r>
            <w:r>
              <w:rPr>
                <w:rFonts w:hint="eastAsia" w:asciiTheme="minorEastAsia" w:hAnsiTheme="minorEastAsia" w:eastAsiaTheme="minorEastAsia" w:cstheme="minorEastAsia"/>
                <w:highlight w:val="none"/>
                <w:lang w:eastAsia="zh-CN"/>
              </w:rPr>
              <w:t>18639166773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1.1.3</w:t>
            </w:r>
          </w:p>
        </w:tc>
        <w:tc>
          <w:tcPr>
            <w:tcW w:w="2318"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采购代理机构</w:t>
            </w:r>
          </w:p>
        </w:tc>
        <w:tc>
          <w:tcPr>
            <w:tcW w:w="6112" w:type="dxa"/>
            <w:vAlign w:val="center"/>
          </w:tcPr>
          <w:p>
            <w:pPr>
              <w:pStyle w:val="13"/>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采购代理机构：河南众成工程管理有限公司 </w:t>
            </w:r>
          </w:p>
          <w:p>
            <w:pPr>
              <w:pStyle w:val="13"/>
              <w:spacing w:line="360" w:lineRule="exact"/>
              <w:rPr>
                <w:rFonts w:hint="default" w:asciiTheme="minorEastAsia" w:hAnsiTheme="minorEastAsia" w:eastAsiaTheme="minorEastAsia" w:cstheme="minorEastAsia"/>
                <w:bCs/>
                <w:iCs/>
                <w:highlight w:val="none"/>
              </w:rPr>
            </w:pPr>
            <w:r>
              <w:rPr>
                <w:rFonts w:asciiTheme="minorEastAsia" w:hAnsiTheme="minorEastAsia" w:eastAsiaTheme="minorEastAsia" w:cstheme="minorEastAsia"/>
                <w:highlight w:val="none"/>
              </w:rPr>
              <w:t>联</w:t>
            </w:r>
            <w:r>
              <w:rPr>
                <w:rFonts w:asciiTheme="minorEastAsia" w:hAnsiTheme="minorEastAsia" w:eastAsiaTheme="minorEastAsia" w:cstheme="minorEastAsia"/>
                <w:bCs/>
                <w:iCs/>
                <w:highlight w:val="none"/>
              </w:rPr>
              <w:t>系人：</w:t>
            </w:r>
            <w:r>
              <w:rPr>
                <w:rFonts w:hint="eastAsia" w:asciiTheme="minorEastAsia" w:hAnsiTheme="minorEastAsia" w:eastAsiaTheme="minorEastAsia" w:cstheme="minorEastAsia"/>
                <w:bCs/>
                <w:iCs/>
                <w:highlight w:val="none"/>
                <w:lang w:val="en-US" w:eastAsia="zh-CN"/>
              </w:rPr>
              <w:t>康</w:t>
            </w:r>
            <w:r>
              <w:rPr>
                <w:rFonts w:asciiTheme="minorEastAsia" w:hAnsiTheme="minorEastAsia" w:eastAsiaTheme="minorEastAsia" w:cstheme="minorEastAsia"/>
                <w:bCs/>
                <w:iCs/>
                <w:highlight w:val="none"/>
              </w:rPr>
              <w:t xml:space="preserve">女士     </w:t>
            </w:r>
          </w:p>
          <w:p>
            <w:pPr>
              <w:pStyle w:val="13"/>
              <w:spacing w:line="360" w:lineRule="exact"/>
              <w:rPr>
                <w:rFonts w:hint="default" w:asciiTheme="minorEastAsia" w:hAnsiTheme="minorEastAsia" w:eastAsiaTheme="minorEastAsia" w:cstheme="minorEastAsia"/>
                <w:highlight w:val="none"/>
                <w:lang w:val="en-US" w:eastAsia="zh-CN"/>
              </w:rPr>
            </w:pPr>
            <w:r>
              <w:rPr>
                <w:rFonts w:asciiTheme="minorEastAsia" w:hAnsiTheme="minorEastAsia" w:eastAsiaTheme="minorEastAsia" w:cstheme="minorEastAsia"/>
                <w:bCs/>
                <w:iCs/>
                <w:highlight w:val="none"/>
              </w:rPr>
              <w:t>电话：15</w:t>
            </w:r>
            <w:r>
              <w:rPr>
                <w:rFonts w:hint="eastAsia" w:asciiTheme="minorEastAsia" w:hAnsiTheme="minorEastAsia" w:eastAsiaTheme="minorEastAsia" w:cstheme="minorEastAsia"/>
                <w:bCs/>
                <w:iCs/>
                <w:highlight w:val="none"/>
                <w:lang w:val="en-US" w:eastAsia="zh-CN"/>
              </w:rPr>
              <w:t>538963371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1.1.4</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项目名称</w:t>
            </w:r>
          </w:p>
        </w:tc>
        <w:tc>
          <w:tcPr>
            <w:tcW w:w="6112" w:type="dxa"/>
            <w:vAlign w:val="center"/>
          </w:tcPr>
          <w:p>
            <w:pPr>
              <w:adjustRightInd w:val="0"/>
              <w:snapToGrid w:val="0"/>
              <w:spacing w:line="46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bCs/>
                <w:iCs/>
                <w:szCs w:val="21"/>
                <w:highlight w:val="none"/>
                <w:lang w:eastAsia="zh-CN"/>
              </w:rPr>
              <w:t>博爱县产业园箱式变压器采购项目（二次）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1.1.5</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iCs/>
                <w:szCs w:val="21"/>
                <w:highlight w:val="none"/>
              </w:rPr>
              <w:t>项目地点</w:t>
            </w:r>
          </w:p>
        </w:tc>
        <w:tc>
          <w:tcPr>
            <w:tcW w:w="6112" w:type="dxa"/>
            <w:vAlign w:val="center"/>
          </w:tcPr>
          <w:p>
            <w:pPr>
              <w:pStyle w:val="13"/>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1.2.1</w:t>
            </w:r>
          </w:p>
        </w:tc>
        <w:tc>
          <w:tcPr>
            <w:tcW w:w="2318"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资金来源</w:t>
            </w:r>
          </w:p>
        </w:tc>
        <w:tc>
          <w:tcPr>
            <w:tcW w:w="6112" w:type="dxa"/>
            <w:vAlign w:val="center"/>
          </w:tcPr>
          <w:p>
            <w:pPr>
              <w:pStyle w:val="13"/>
              <w:spacing w:line="360" w:lineRule="exact"/>
              <w:rPr>
                <w:rFonts w:hint="eastAsia" w:asciiTheme="minorEastAsia" w:hAnsiTheme="minorEastAsia" w:eastAsiaTheme="minorEastAsia" w:cstheme="minorEastAsia"/>
                <w:i/>
                <w:iCs/>
                <w:highlight w:val="none"/>
                <w:lang w:eastAsia="zh-CN"/>
              </w:rPr>
            </w:pPr>
            <w:r>
              <w:rPr>
                <w:rFonts w:hint="eastAsia" w:asciiTheme="minorEastAsia" w:hAnsiTheme="minorEastAsia" w:eastAsiaTheme="minorEastAsia" w:cstheme="minorEastAsia"/>
                <w:highlight w:val="none"/>
                <w:lang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1.2.2</w:t>
            </w:r>
          </w:p>
        </w:tc>
        <w:tc>
          <w:tcPr>
            <w:tcW w:w="2318"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bCs/>
                <w:iCs/>
                <w:highlight w:val="none"/>
              </w:rPr>
              <w:t>资金落实情况</w:t>
            </w:r>
          </w:p>
        </w:tc>
        <w:tc>
          <w:tcPr>
            <w:tcW w:w="6112" w:type="dxa"/>
            <w:vAlign w:val="center"/>
          </w:tcPr>
          <w:p>
            <w:pPr>
              <w:pStyle w:val="13"/>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1.3.1</w:t>
            </w:r>
          </w:p>
        </w:tc>
        <w:tc>
          <w:tcPr>
            <w:tcW w:w="2318" w:type="dxa"/>
            <w:vAlign w:val="center"/>
          </w:tcPr>
          <w:p>
            <w:pPr>
              <w:pStyle w:val="13"/>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采购内容</w:t>
            </w:r>
          </w:p>
        </w:tc>
        <w:tc>
          <w:tcPr>
            <w:tcW w:w="6112" w:type="dxa"/>
          </w:tcPr>
          <w:p>
            <w:pPr>
              <w:pStyle w:val="13"/>
              <w:spacing w:line="36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val="en-US" w:eastAsia="zh-CN"/>
              </w:rPr>
              <w:t>包括但不限于标的的名称、数量、简要技术需求或服务要求等):采购 10台箱式变压器及配套设施(</w:t>
            </w:r>
            <w:bookmarkStart w:id="323" w:name="_GoBack"/>
            <w:bookmarkEnd w:id="323"/>
            <w:r>
              <w:rPr>
                <w:rFonts w:hint="eastAsia" w:asciiTheme="minorEastAsia" w:hAnsiTheme="minorEastAsia" w:eastAsiaTheme="minorEastAsia" w:cstheme="minorEastAsia"/>
                <w:highlight w:val="none"/>
                <w:lang w:val="en-US" w:eastAsia="zh-CN"/>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1.3.2</w:t>
            </w:r>
          </w:p>
        </w:tc>
        <w:tc>
          <w:tcPr>
            <w:tcW w:w="2318" w:type="dxa"/>
            <w:vAlign w:val="center"/>
          </w:tcPr>
          <w:p>
            <w:pPr>
              <w:pStyle w:val="13"/>
              <w:spacing w:line="360" w:lineRule="exact"/>
              <w:jc w:val="center"/>
              <w:rPr>
                <w:rFonts w:hint="default" w:hAnsi="宋体" w:cs="宋体"/>
                <w:kern w:val="0"/>
                <w:highlight w:val="none"/>
              </w:rPr>
            </w:pPr>
            <w:r>
              <w:rPr>
                <w:rFonts w:asciiTheme="minorEastAsia" w:hAnsiTheme="minorEastAsia" w:eastAsiaTheme="minorEastAsia" w:cstheme="minorEastAsia"/>
                <w:bCs/>
                <w:iCs/>
                <w:highlight w:val="none"/>
              </w:rPr>
              <w:t>供货安装期</w:t>
            </w:r>
          </w:p>
        </w:tc>
        <w:tc>
          <w:tcPr>
            <w:tcW w:w="6112" w:type="dxa"/>
            <w:vAlign w:val="center"/>
          </w:tcPr>
          <w:p>
            <w:pPr>
              <w:adjustRightInd w:val="0"/>
              <w:snapToGrid w:val="0"/>
              <w:spacing w:line="560" w:lineRule="exact"/>
              <w:rPr>
                <w:rFonts w:ascii="宋体" w:hAnsi="宋体" w:cs="宋体"/>
                <w:kern w:val="0"/>
                <w:szCs w:val="21"/>
                <w:highlight w:val="none"/>
              </w:rPr>
            </w:pPr>
            <w:r>
              <w:rPr>
                <w:rFonts w:hint="eastAsia" w:ascii="宋体" w:hAnsi="宋体" w:cs="宋体"/>
                <w:kern w:val="0"/>
                <w:szCs w:val="21"/>
                <w:highlight w:val="none"/>
              </w:rPr>
              <w:t>合</w:t>
            </w:r>
            <w:r>
              <w:rPr>
                <w:rFonts w:hint="eastAsia" w:asciiTheme="minorEastAsia" w:hAnsiTheme="minorEastAsia" w:eastAsiaTheme="minorEastAsia" w:cstheme="minorEastAsia"/>
                <w:kern w:val="2"/>
                <w:sz w:val="21"/>
                <w:szCs w:val="21"/>
                <w:highlight w:val="none"/>
                <w:lang w:val="en-US" w:eastAsia="zh-CN" w:bidi="ar-SA"/>
              </w:rPr>
              <w:t>同签订后30日历天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1.3.3</w:t>
            </w:r>
          </w:p>
        </w:tc>
        <w:tc>
          <w:tcPr>
            <w:tcW w:w="2318" w:type="dxa"/>
            <w:vAlign w:val="center"/>
          </w:tcPr>
          <w:p>
            <w:pPr>
              <w:pStyle w:val="13"/>
              <w:spacing w:line="360" w:lineRule="exact"/>
              <w:jc w:val="center"/>
              <w:rPr>
                <w:rFonts w:hint="default" w:hAnsi="宋体" w:cs="宋体"/>
                <w:kern w:val="0"/>
                <w:highlight w:val="none"/>
              </w:rPr>
            </w:pPr>
            <w:r>
              <w:rPr>
                <w:rFonts w:hint="default" w:hAnsi="宋体" w:cs="宋体"/>
                <w:kern w:val="0"/>
                <w:highlight w:val="none"/>
              </w:rPr>
              <w:t>质量标准</w:t>
            </w:r>
          </w:p>
        </w:tc>
        <w:tc>
          <w:tcPr>
            <w:tcW w:w="6112" w:type="dxa"/>
            <w:vAlign w:val="center"/>
          </w:tcPr>
          <w:p>
            <w:pPr>
              <w:spacing w:line="400" w:lineRule="exact"/>
              <w:rPr>
                <w:rFonts w:ascii="宋体" w:hAnsi="宋体" w:cs="宋体"/>
                <w:kern w:val="0"/>
                <w:szCs w:val="21"/>
                <w:highlight w:val="none"/>
              </w:rPr>
            </w:pPr>
            <w:r>
              <w:rPr>
                <w:rFonts w:ascii="宋体" w:hAnsi="宋体" w:cs="宋体"/>
                <w:kern w:val="0"/>
                <w:szCs w:val="21"/>
                <w:highlight w:val="none"/>
              </w:rPr>
              <w:t>合格，符合国家</w:t>
            </w:r>
            <w:r>
              <w:rPr>
                <w:rFonts w:hint="eastAsia" w:ascii="宋体" w:hAnsi="宋体" w:cs="宋体"/>
                <w:kern w:val="0"/>
                <w:szCs w:val="21"/>
                <w:highlight w:val="none"/>
              </w:rPr>
              <w:t>及</w:t>
            </w:r>
            <w:r>
              <w:rPr>
                <w:rFonts w:ascii="宋体" w:hAnsi="宋体" w:cs="宋体"/>
                <w:kern w:val="0"/>
                <w:szCs w:val="21"/>
                <w:highlight w:val="none"/>
              </w:rPr>
              <w:t>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1.3.4</w:t>
            </w:r>
          </w:p>
        </w:tc>
        <w:tc>
          <w:tcPr>
            <w:tcW w:w="2318" w:type="dxa"/>
            <w:vAlign w:val="center"/>
          </w:tcPr>
          <w:p>
            <w:pPr>
              <w:pStyle w:val="13"/>
              <w:spacing w:line="360" w:lineRule="exact"/>
              <w:jc w:val="center"/>
              <w:rPr>
                <w:rFonts w:hint="default" w:hAnsi="宋体" w:cs="宋体"/>
                <w:kern w:val="0"/>
                <w:highlight w:val="none"/>
              </w:rPr>
            </w:pPr>
            <w:r>
              <w:rPr>
                <w:rFonts w:hAnsi="宋体" w:cs="宋体"/>
                <w:kern w:val="0"/>
                <w:highlight w:val="none"/>
              </w:rPr>
              <w:t>质保期</w:t>
            </w:r>
          </w:p>
        </w:tc>
        <w:tc>
          <w:tcPr>
            <w:tcW w:w="6112" w:type="dxa"/>
            <w:vAlign w:val="center"/>
          </w:tcPr>
          <w:p>
            <w:pPr>
              <w:spacing w:line="400" w:lineRule="exact"/>
              <w:rPr>
                <w:rFonts w:ascii="宋体" w:hAnsi="宋体" w:cs="宋体"/>
                <w:kern w:val="0"/>
                <w:szCs w:val="21"/>
                <w:highlight w:val="none"/>
              </w:rPr>
            </w:pPr>
            <w:r>
              <w:rPr>
                <w:rFonts w:hint="eastAsia" w:ascii="宋体" w:hAnsi="宋体" w:cs="宋体"/>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1.4.1</w:t>
            </w:r>
          </w:p>
        </w:tc>
        <w:tc>
          <w:tcPr>
            <w:tcW w:w="2318"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供应商资质条件</w:t>
            </w:r>
          </w:p>
        </w:tc>
        <w:tc>
          <w:tcPr>
            <w:tcW w:w="6112" w:type="dxa"/>
            <w:vAlign w:val="center"/>
          </w:tcPr>
          <w:p>
            <w:pPr>
              <w:pStyle w:val="13"/>
              <w:spacing w:line="360" w:lineRule="exact"/>
              <w:rPr>
                <w:rFonts w:hint="default" w:asciiTheme="minorEastAsia" w:hAnsiTheme="minorEastAsia" w:eastAsiaTheme="minorEastAsia" w:cstheme="minorEastAsia"/>
                <w:highlight w:val="none"/>
              </w:rPr>
            </w:pPr>
            <w:r>
              <w:rPr>
                <w:rFonts w:hint="default" w:asciiTheme="minorEastAsia" w:hAnsiTheme="minorEastAsia" w:eastAsiaTheme="minorEastAsia" w:cstheme="minorEastAsia"/>
                <w:highlight w:val="none"/>
              </w:rPr>
              <w:t xml:space="preserve">1、满足《中华人民共和国政府采购法》第二十二条规定； </w:t>
            </w:r>
          </w:p>
          <w:p>
            <w:pPr>
              <w:pStyle w:val="13"/>
              <w:spacing w:line="360" w:lineRule="exact"/>
              <w:rPr>
                <w:rFonts w:hint="default" w:asciiTheme="minorEastAsia" w:hAnsiTheme="minorEastAsia" w:eastAsiaTheme="minorEastAsia" w:cstheme="minorEastAsia"/>
                <w:highlight w:val="none"/>
              </w:rPr>
            </w:pPr>
            <w:r>
              <w:rPr>
                <w:rFonts w:hint="default" w:asciiTheme="minorEastAsia" w:hAnsiTheme="minorEastAsia" w:eastAsiaTheme="minorEastAsia" w:cstheme="minorEastAsia"/>
                <w:highlight w:val="none"/>
              </w:rPr>
              <w:t xml:space="preserve">2、落实政府采购政策满足的资格要求：促进中小企业和监狱企业发展扶持政策、政府强制采购节能产品强制采购、节能产品及环境标志产品优先采购、促进残疾人就业政府采购政策； </w:t>
            </w:r>
          </w:p>
          <w:p>
            <w:pPr>
              <w:pStyle w:val="13"/>
              <w:spacing w:line="360" w:lineRule="exact"/>
              <w:rPr>
                <w:rFonts w:hint="default" w:asciiTheme="minorEastAsia" w:hAnsiTheme="minorEastAsia" w:eastAsiaTheme="minorEastAsia" w:cstheme="minorEastAsia"/>
                <w:highlight w:val="none"/>
              </w:rPr>
            </w:pPr>
            <w:r>
              <w:rPr>
                <w:rFonts w:hint="default" w:asciiTheme="minorEastAsia" w:hAnsiTheme="minorEastAsia" w:eastAsiaTheme="minorEastAsia" w:cstheme="minorEastAsia"/>
                <w:highlight w:val="none"/>
              </w:rPr>
              <w:t xml:space="preserve">3、本项目的特定资格要求 </w:t>
            </w:r>
          </w:p>
          <w:p>
            <w:pPr>
              <w:pStyle w:val="13"/>
              <w:spacing w:line="360" w:lineRule="exact"/>
              <w:rPr>
                <w:rFonts w:hint="default" w:asciiTheme="minorEastAsia" w:hAnsiTheme="minorEastAsia" w:eastAsiaTheme="minorEastAsia" w:cstheme="minorEastAsia"/>
                <w:highlight w:val="none"/>
              </w:rPr>
            </w:pPr>
            <w:r>
              <w:rPr>
                <w:rFonts w:hint="default" w:asciiTheme="minorEastAsia" w:hAnsiTheme="minorEastAsia" w:eastAsiaTheme="minorEastAsia" w:cstheme="minorEastAsia"/>
                <w:highlight w:val="none"/>
              </w:rPr>
              <w:t>3.1供应商须具有有效的营业执照，并具有实施完成本项目的经营实力和完善的售后服务体系；</w:t>
            </w:r>
          </w:p>
          <w:p>
            <w:pPr>
              <w:pStyle w:val="13"/>
              <w:spacing w:line="360" w:lineRule="exact"/>
              <w:rPr>
                <w:rFonts w:hint="default" w:asciiTheme="minorEastAsia" w:hAnsiTheme="minorEastAsia" w:eastAsiaTheme="minorEastAsia" w:cstheme="minorEastAsia"/>
                <w:highlight w:val="none"/>
              </w:rPr>
            </w:pPr>
            <w:r>
              <w:rPr>
                <w:rFonts w:hint="default" w:asciiTheme="minorEastAsia" w:hAnsiTheme="minorEastAsia" w:eastAsiaTheme="minorEastAsia" w:cstheme="minorEastAsia"/>
                <w:highlight w:val="none"/>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pStyle w:val="13"/>
              <w:spacing w:line="360" w:lineRule="exact"/>
              <w:rPr>
                <w:rFonts w:hint="default" w:asciiTheme="minorEastAsia" w:hAnsiTheme="minorEastAsia" w:eastAsiaTheme="minorEastAsia" w:cstheme="minorEastAsia"/>
                <w:highlight w:val="none"/>
              </w:rPr>
            </w:pPr>
            <w:r>
              <w:rPr>
                <w:rFonts w:hint="default" w:asciiTheme="minorEastAsia" w:hAnsiTheme="minorEastAsia" w:eastAsiaTheme="minorEastAsia" w:cstheme="minorEastAsia"/>
                <w:highlight w:val="none"/>
              </w:rPr>
              <w:t>3.3本项目不接受联合体投标；</w:t>
            </w:r>
          </w:p>
          <w:p>
            <w:pPr>
              <w:pStyle w:val="13"/>
              <w:spacing w:line="360" w:lineRule="exact"/>
              <w:rPr>
                <w:rFonts w:hint="default" w:asciiTheme="minorEastAsia" w:hAnsiTheme="minorEastAsia" w:eastAsiaTheme="minorEastAsia" w:cstheme="minorEastAsia"/>
                <w:highlight w:val="none"/>
              </w:rPr>
            </w:pPr>
            <w:r>
              <w:rPr>
                <w:rFonts w:hint="default" w:asciiTheme="minorEastAsia" w:hAnsiTheme="minorEastAsia" w:eastAsiaTheme="minorEastAsia" w:cstheme="minorEastAsia"/>
                <w:highlight w:val="none"/>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1.4.2</w:t>
            </w:r>
          </w:p>
        </w:tc>
        <w:tc>
          <w:tcPr>
            <w:tcW w:w="2318"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是否接受联合体</w:t>
            </w:r>
          </w:p>
        </w:tc>
        <w:tc>
          <w:tcPr>
            <w:tcW w:w="6112" w:type="dxa"/>
            <w:vAlign w:val="center"/>
          </w:tcPr>
          <w:p>
            <w:pPr>
              <w:pStyle w:val="13"/>
              <w:spacing w:line="360" w:lineRule="exact"/>
              <w:rPr>
                <w:rFonts w:hint="default"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不</w:t>
            </w:r>
            <w:r>
              <w:rPr>
                <w:rFonts w:asciiTheme="minorEastAsia" w:hAnsiTheme="minorEastAsia" w:eastAsiaTheme="minorEastAsia" w:cstheme="minorEastAsia"/>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1.10.1</w:t>
            </w:r>
          </w:p>
        </w:tc>
        <w:tc>
          <w:tcPr>
            <w:tcW w:w="2318"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投标预备会</w:t>
            </w:r>
          </w:p>
        </w:tc>
        <w:tc>
          <w:tcPr>
            <w:tcW w:w="6112" w:type="dxa"/>
            <w:vAlign w:val="center"/>
          </w:tcPr>
          <w:p>
            <w:pPr>
              <w:pStyle w:val="13"/>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1.10.2</w:t>
            </w:r>
          </w:p>
        </w:tc>
        <w:tc>
          <w:tcPr>
            <w:tcW w:w="2318"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供应商提出问题的</w:t>
            </w:r>
          </w:p>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截止时间</w:t>
            </w:r>
          </w:p>
        </w:tc>
        <w:tc>
          <w:tcPr>
            <w:tcW w:w="6112" w:type="dxa"/>
            <w:vAlign w:val="center"/>
          </w:tcPr>
          <w:p>
            <w:pPr>
              <w:pStyle w:val="13"/>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1.10.3</w:t>
            </w:r>
          </w:p>
        </w:tc>
        <w:tc>
          <w:tcPr>
            <w:tcW w:w="2318"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采购人说明澄清的时间</w:t>
            </w:r>
          </w:p>
        </w:tc>
        <w:tc>
          <w:tcPr>
            <w:tcW w:w="6112" w:type="dxa"/>
            <w:vAlign w:val="center"/>
          </w:tcPr>
          <w:p>
            <w:pPr>
              <w:pStyle w:val="13"/>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1.11</w:t>
            </w:r>
          </w:p>
        </w:tc>
        <w:tc>
          <w:tcPr>
            <w:tcW w:w="2318"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分包</w:t>
            </w:r>
          </w:p>
        </w:tc>
        <w:tc>
          <w:tcPr>
            <w:tcW w:w="6112" w:type="dxa"/>
            <w:vAlign w:val="center"/>
          </w:tcPr>
          <w:p>
            <w:pPr>
              <w:pStyle w:val="13"/>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2.2.1</w:t>
            </w:r>
          </w:p>
        </w:tc>
        <w:tc>
          <w:tcPr>
            <w:tcW w:w="2318"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供应商要求澄清招标文件的截止时间</w:t>
            </w:r>
          </w:p>
        </w:tc>
        <w:tc>
          <w:tcPr>
            <w:tcW w:w="6112" w:type="dxa"/>
            <w:vAlign w:val="center"/>
          </w:tcPr>
          <w:p>
            <w:pPr>
              <w:pStyle w:val="13"/>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2.2.2</w:t>
            </w:r>
          </w:p>
        </w:tc>
        <w:tc>
          <w:tcPr>
            <w:tcW w:w="2318" w:type="dxa"/>
            <w:vAlign w:val="center"/>
          </w:tcPr>
          <w:p>
            <w:pPr>
              <w:pStyle w:val="13"/>
              <w:spacing w:line="360" w:lineRule="exact"/>
              <w:jc w:val="center"/>
              <w:rPr>
                <w:rFonts w:hint="default" w:asciiTheme="minorEastAsia" w:hAnsiTheme="minorEastAsia" w:eastAsiaTheme="minorEastAsia" w:cstheme="minorEastAsia"/>
                <w:b/>
                <w:bCs/>
                <w:highlight w:val="none"/>
              </w:rPr>
            </w:pPr>
            <w:r>
              <w:rPr>
                <w:rFonts w:asciiTheme="minorEastAsia" w:hAnsiTheme="minorEastAsia" w:eastAsiaTheme="minorEastAsia" w:cstheme="minorEastAsia"/>
                <w:highlight w:val="none"/>
              </w:rPr>
              <w:t>投标截止时间</w:t>
            </w:r>
          </w:p>
        </w:tc>
        <w:tc>
          <w:tcPr>
            <w:tcW w:w="6112" w:type="dxa"/>
            <w:vAlign w:val="center"/>
          </w:tcPr>
          <w:p>
            <w:pPr>
              <w:spacing w:line="360" w:lineRule="exact"/>
              <w:jc w:val="left"/>
              <w:rPr>
                <w:rFonts w:asciiTheme="minorEastAsia" w:hAnsiTheme="minorEastAsia" w:eastAsiaTheme="minorEastAsia" w:cstheme="minorEastAsia"/>
                <w:b/>
                <w:bCs/>
                <w:highlight w:val="none"/>
              </w:rPr>
            </w:pPr>
            <w:r>
              <w:rPr>
                <w:rFonts w:hint="eastAsia" w:ascii="宋体" w:hAnsi="宋体" w:cs="宋体"/>
                <w:b/>
                <w:bCs/>
                <w:kern w:val="0"/>
                <w:szCs w:val="21"/>
                <w:highlight w:val="none"/>
              </w:rPr>
              <w:t>2024年</w:t>
            </w:r>
            <w:r>
              <w:rPr>
                <w:rFonts w:hint="eastAsia" w:ascii="宋体" w:hAnsi="宋体" w:cs="宋体"/>
                <w:b/>
                <w:bCs/>
                <w:kern w:val="0"/>
                <w:szCs w:val="21"/>
                <w:highlight w:val="none"/>
                <w:lang w:val="en-US" w:eastAsia="zh-CN"/>
              </w:rPr>
              <w:t>3</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21</w:t>
            </w:r>
            <w:r>
              <w:rPr>
                <w:rFonts w:hint="eastAsia" w:ascii="宋体" w:hAnsi="宋体" w:cs="宋体"/>
                <w:b/>
                <w:bCs/>
                <w:kern w:val="0"/>
                <w:szCs w:val="21"/>
                <w:highlight w:val="none"/>
              </w:rPr>
              <w:t>日上午9点00分（北京时间）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3.1.1</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构成投标文件的</w:t>
            </w:r>
          </w:p>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其他材料</w:t>
            </w:r>
          </w:p>
        </w:tc>
        <w:tc>
          <w:tcPr>
            <w:tcW w:w="6112" w:type="dxa"/>
            <w:vAlign w:val="center"/>
          </w:tcPr>
          <w:p>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3.3.1</w:t>
            </w:r>
          </w:p>
        </w:tc>
        <w:tc>
          <w:tcPr>
            <w:tcW w:w="2318"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投标有效期</w:t>
            </w:r>
          </w:p>
        </w:tc>
        <w:tc>
          <w:tcPr>
            <w:tcW w:w="6112" w:type="dxa"/>
            <w:vAlign w:val="center"/>
          </w:tcPr>
          <w:p>
            <w:pPr>
              <w:pStyle w:val="13"/>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3.6</w:t>
            </w:r>
          </w:p>
        </w:tc>
        <w:tc>
          <w:tcPr>
            <w:tcW w:w="2318"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是否允许递交备选</w:t>
            </w:r>
          </w:p>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投标方案</w:t>
            </w:r>
          </w:p>
        </w:tc>
        <w:tc>
          <w:tcPr>
            <w:tcW w:w="6112" w:type="dxa"/>
            <w:vAlign w:val="center"/>
          </w:tcPr>
          <w:p>
            <w:pPr>
              <w:pStyle w:val="13"/>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签字盖章要求</w:t>
            </w:r>
          </w:p>
        </w:tc>
        <w:tc>
          <w:tcPr>
            <w:tcW w:w="6112" w:type="dxa"/>
            <w:shd w:val="clear" w:color="auto" w:fill="auto"/>
            <w:vAlign w:val="center"/>
          </w:tcPr>
          <w:p>
            <w:pPr>
              <w:pStyle w:val="13"/>
              <w:spacing w:line="360" w:lineRule="exact"/>
              <w:rPr>
                <w:rFonts w:hint="default" w:asciiTheme="minorEastAsia" w:hAnsiTheme="minorEastAsia" w:eastAsiaTheme="minorEastAsia" w:cstheme="minorEastAsia"/>
                <w:highlight w:val="none"/>
              </w:rPr>
            </w:pPr>
            <w:r>
              <w:rPr>
                <w:rFonts w:hint="default" w:asciiTheme="minorEastAsia" w:hAnsiTheme="minorEastAsia" w:eastAsiaTheme="minorEastAsia" w:cstheme="minorEastAsia"/>
                <w:highlight w:val="none"/>
              </w:rPr>
              <w:t xml:space="preserve">（1）所有要求投标人加盖公章的地方都须加盖投标人单位的 CA 印章。 </w:t>
            </w:r>
          </w:p>
          <w:p>
            <w:pPr>
              <w:pStyle w:val="13"/>
              <w:spacing w:line="360" w:lineRule="exact"/>
              <w:rPr>
                <w:rFonts w:hint="default" w:asciiTheme="minorEastAsia" w:hAnsiTheme="minorEastAsia" w:eastAsiaTheme="minorEastAsia" w:cstheme="minorEastAsia"/>
                <w:highlight w:val="none"/>
              </w:rPr>
            </w:pPr>
            <w:r>
              <w:rPr>
                <w:rFonts w:hint="default" w:asciiTheme="minorEastAsia" w:hAnsiTheme="minorEastAsia" w:eastAsiaTheme="minorEastAsia" w:cstheme="minorEastAsia"/>
                <w:highlight w:val="none"/>
              </w:rPr>
              <w:t xml:space="preserve">（2）要求法定代表人签字或盖章的，法定代表人在签字或盖章的地方上传手写签名的扫描件或加盖法定代表人CA印章。 </w:t>
            </w:r>
          </w:p>
          <w:p>
            <w:pPr>
              <w:pStyle w:val="13"/>
              <w:spacing w:line="360" w:lineRule="exact"/>
              <w:rPr>
                <w:rFonts w:hint="default" w:asciiTheme="minorEastAsia" w:hAnsiTheme="minorEastAsia" w:eastAsiaTheme="minorEastAsia" w:cstheme="minorEastAsia"/>
                <w:highlight w:val="none"/>
              </w:rPr>
            </w:pPr>
            <w:r>
              <w:rPr>
                <w:rFonts w:hint="default" w:asciiTheme="minorEastAsia" w:hAnsiTheme="minorEastAsia" w:eastAsiaTheme="minorEastAsia" w:cstheme="minorEastAsia"/>
                <w:highlight w:val="none"/>
              </w:rPr>
              <w:t>（3）要求委托代理人签字或盖章的，委托代理人在签字或盖章的地方上传手写签名的扫描件或加盖委托代理人CA印章。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3.7.4</w:t>
            </w:r>
          </w:p>
        </w:tc>
        <w:tc>
          <w:tcPr>
            <w:tcW w:w="2318"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投标文件份数</w:t>
            </w:r>
          </w:p>
        </w:tc>
        <w:tc>
          <w:tcPr>
            <w:tcW w:w="6112" w:type="dxa"/>
            <w:vAlign w:val="center"/>
          </w:tcPr>
          <w:p>
            <w:pPr>
              <w:pStyle w:val="13"/>
              <w:spacing w:line="360" w:lineRule="exact"/>
              <w:rPr>
                <w:rFonts w:hint="default" w:asciiTheme="minorEastAsia" w:hAnsiTheme="minorEastAsia" w:cstheme="minorEastAsia"/>
                <w:highlight w:val="none"/>
              </w:rPr>
            </w:pPr>
            <w:r>
              <w:rPr>
                <w:b/>
                <w:bCs/>
                <w:highlight w:val="none"/>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4.2.2</w:t>
            </w:r>
          </w:p>
        </w:tc>
        <w:tc>
          <w:tcPr>
            <w:tcW w:w="2318"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递交投标文件方式和</w:t>
            </w:r>
          </w:p>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地点</w:t>
            </w:r>
          </w:p>
        </w:tc>
        <w:tc>
          <w:tcPr>
            <w:tcW w:w="6112" w:type="dxa"/>
            <w:vAlign w:val="center"/>
          </w:tcPr>
          <w:p>
            <w:pPr>
              <w:pStyle w:val="13"/>
              <w:spacing w:line="400" w:lineRule="exact"/>
              <w:rPr>
                <w:rFonts w:hint="default" w:hAnsi="宋体"/>
                <w:highlight w:val="none"/>
              </w:rPr>
            </w:pPr>
            <w:r>
              <w:rPr>
                <w:rFonts w:hAnsi="宋体"/>
                <w:highlight w:val="none"/>
              </w:rPr>
              <w:t xml:space="preserve">本项目采用“远程不见面”开标方式，远程开标大厅网址为http://122.112.246.33/BidOpening/bidopeninghallaction/hall/login。投标人不需到开标现场参加开标会议，不需提交原件资料等。 </w:t>
            </w:r>
          </w:p>
          <w:p>
            <w:pPr>
              <w:pStyle w:val="13"/>
              <w:spacing w:line="400" w:lineRule="exact"/>
              <w:rPr>
                <w:rFonts w:hint="default" w:hAnsi="宋体"/>
                <w:highlight w:val="none"/>
              </w:rPr>
            </w:pPr>
            <w:r>
              <w:rPr>
                <w:rFonts w:hAnsi="宋体"/>
                <w:highlight w:val="none"/>
              </w:rPr>
              <w:t>（1）电子投标文件的递交</w:t>
            </w:r>
          </w:p>
          <w:p>
            <w:pPr>
              <w:pStyle w:val="13"/>
              <w:spacing w:line="400" w:lineRule="exact"/>
              <w:rPr>
                <w:rFonts w:hint="default" w:hAnsi="宋体"/>
                <w:highlight w:val="none"/>
              </w:rPr>
            </w:pPr>
            <w:r>
              <w:rPr>
                <w:rFonts w:hAnsi="宋体"/>
                <w:highlight w:val="none"/>
              </w:rPr>
              <w:t>a、各投标人应在投标截止时间前上传加密的电子投标文件（.jztf 格式）到会员系统的指定位置。上传时必须得到电脑“上传成功”的确认回复。请投标人在上传时认真检查上传投标文件是否完整、正确。</w:t>
            </w:r>
          </w:p>
          <w:p>
            <w:pPr>
              <w:pStyle w:val="13"/>
              <w:spacing w:line="400" w:lineRule="exact"/>
              <w:rPr>
                <w:rFonts w:hint="default"/>
                <w:highlight w:val="none"/>
              </w:rPr>
            </w:pPr>
            <w:r>
              <w:rPr>
                <w:rFonts w:hAnsi="宋体"/>
                <w:highlight w:val="none"/>
              </w:rPr>
              <w:t>b、如系统故故障需上传非加密文件时，投标人应按照采购人指示将非加密文件递交给采购人。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4.2.3</w:t>
            </w:r>
          </w:p>
        </w:tc>
        <w:tc>
          <w:tcPr>
            <w:tcW w:w="2318"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是否退还投标文件</w:t>
            </w:r>
          </w:p>
        </w:tc>
        <w:tc>
          <w:tcPr>
            <w:tcW w:w="6112" w:type="dxa"/>
            <w:vAlign w:val="center"/>
          </w:tcPr>
          <w:p>
            <w:pPr>
              <w:pStyle w:val="13"/>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5.1</w:t>
            </w:r>
          </w:p>
        </w:tc>
        <w:tc>
          <w:tcPr>
            <w:tcW w:w="2318"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开标时间和地点</w:t>
            </w:r>
          </w:p>
        </w:tc>
        <w:tc>
          <w:tcPr>
            <w:tcW w:w="6112" w:type="dxa"/>
            <w:vAlign w:val="center"/>
          </w:tcPr>
          <w:p>
            <w:pPr>
              <w:adjustRightInd w:val="0"/>
              <w:snapToGrid w:val="0"/>
              <w:spacing w:line="400" w:lineRule="exact"/>
              <w:rPr>
                <w:rFonts w:ascii="宋体" w:hAnsi="宋体"/>
                <w:szCs w:val="21"/>
                <w:highlight w:val="none"/>
              </w:rPr>
            </w:pPr>
            <w:r>
              <w:rPr>
                <w:rFonts w:hint="eastAsia" w:ascii="宋体" w:hAnsi="宋体"/>
                <w:szCs w:val="21"/>
                <w:highlight w:val="none"/>
              </w:rPr>
              <w:t>开标时间：同投标截止时间。登录远程开标大厅，凭制作投标文件所用的企业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highlight w:val="none"/>
              </w:rPr>
            </w:pPr>
            <w:r>
              <w:rPr>
                <w:rFonts w:hint="eastAsia" w:ascii="宋体" w:hAnsi="宋体"/>
                <w:szCs w:val="21"/>
                <w:highlight w:val="none"/>
              </w:rPr>
              <w:t>现场开标地点：博爱县公共资源交易中心二楼不见面开标二室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6.1.1</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评标委员会的组建</w:t>
            </w:r>
          </w:p>
        </w:tc>
        <w:tc>
          <w:tcPr>
            <w:tcW w:w="6112" w:type="dxa"/>
            <w:vAlign w:val="center"/>
          </w:tcPr>
          <w:p>
            <w:pPr>
              <w:spacing w:line="360" w:lineRule="exact"/>
              <w:jc w:val="left"/>
              <w:rPr>
                <w:rFonts w:asciiTheme="minorEastAsia" w:hAnsiTheme="minorEastAsia" w:eastAsiaTheme="minorEastAsia" w:cstheme="minorEastAsia"/>
                <w:b/>
                <w:bCs/>
                <w:szCs w:val="21"/>
                <w:highlight w:val="none"/>
                <w:u w:val="single"/>
              </w:rPr>
            </w:pPr>
            <w:r>
              <w:rPr>
                <w:rFonts w:hint="eastAsia" w:asciiTheme="minorEastAsia" w:hAnsiTheme="minorEastAsia" w:eastAsiaTheme="minorEastAsia" w:cstheme="minorEastAsia"/>
                <w:szCs w:val="21"/>
                <w:highlight w:val="none"/>
              </w:rPr>
              <w:t>评标委员会构成：由采购人代表</w:t>
            </w: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名和政府采购专家库中随机抽取的评审专家</w:t>
            </w:r>
            <w:r>
              <w:rPr>
                <w:rFonts w:hint="eastAsia" w:asciiTheme="minorEastAsia" w:hAnsiTheme="minorEastAsia" w:eastAsiaTheme="minorEastAsia" w:cstheme="minorEastAsia"/>
                <w:szCs w:val="21"/>
                <w:highlight w:val="none"/>
                <w:lang w:val="en-US" w:eastAsia="zh-CN"/>
              </w:rPr>
              <w:t>4</w:t>
            </w:r>
            <w:r>
              <w:rPr>
                <w:rFonts w:hint="eastAsia" w:asciiTheme="minorEastAsia" w:hAnsiTheme="minorEastAsia" w:eastAsiaTheme="minorEastAsia" w:cstheme="minorEastAsia"/>
                <w:szCs w:val="21"/>
                <w:highlight w:val="none"/>
              </w:rPr>
              <w:t>名共</w:t>
            </w:r>
            <w:r>
              <w:rPr>
                <w:rFonts w:hint="eastAsia" w:asciiTheme="minorEastAsia" w:hAnsiTheme="minorEastAsia" w:eastAsiaTheme="minorEastAsia" w:cstheme="minorEastAsia"/>
                <w:szCs w:val="21"/>
                <w:highlight w:val="none"/>
                <w:lang w:val="en-US" w:eastAsia="zh-CN"/>
              </w:rPr>
              <w:t>5</w:t>
            </w:r>
            <w:r>
              <w:rPr>
                <w:rFonts w:hint="eastAsia" w:asciiTheme="minorEastAsia" w:hAnsiTheme="minorEastAsia" w:eastAsiaTheme="minorEastAsia" w:cstheme="minorEastAsia"/>
                <w:szCs w:val="21"/>
                <w:highlight w:val="none"/>
              </w:rPr>
              <w:t>人组成。</w:t>
            </w:r>
            <w:r>
              <w:rPr>
                <w:rFonts w:hint="eastAsia" w:asciiTheme="minorEastAsia" w:hAnsiTheme="minorEastAsia" w:eastAsiaTheme="minorEastAsia" w:cstheme="minorEastAsia"/>
                <w:b/>
                <w:bCs/>
                <w:szCs w:val="21"/>
                <w:highlight w:val="none"/>
                <w:u w:val="single"/>
              </w:rPr>
              <w:t xml:space="preserve">注：根据《财政部令第 87 号》第四十五条规定，采购人代表不得担任评标委员会组长。 </w:t>
            </w:r>
          </w:p>
          <w:p>
            <w:pPr>
              <w:spacing w:line="360" w:lineRule="exact"/>
              <w:jc w:val="left"/>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7.1</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7.3.1</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履约保证金</w:t>
            </w:r>
          </w:p>
        </w:tc>
        <w:tc>
          <w:tcPr>
            <w:tcW w:w="6112" w:type="dxa"/>
            <w:vAlign w:val="center"/>
          </w:tcPr>
          <w:p>
            <w:pPr>
              <w:spacing w:line="38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质量保证金</w:t>
            </w:r>
          </w:p>
        </w:tc>
        <w:tc>
          <w:tcPr>
            <w:tcW w:w="6112" w:type="dxa"/>
            <w:shd w:val="clear" w:color="auto" w:fill="auto"/>
            <w:vAlign w:val="center"/>
          </w:tcPr>
          <w:p>
            <w:pPr>
              <w:spacing w:line="38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Cs/>
                <w:szCs w:val="21"/>
                <w:highlight w:val="none"/>
              </w:rPr>
              <w:t>10</w:t>
            </w:r>
          </w:p>
        </w:tc>
        <w:tc>
          <w:tcPr>
            <w:tcW w:w="8430" w:type="dxa"/>
            <w:gridSpan w:val="2"/>
            <w:vAlign w:val="bottom"/>
          </w:tcPr>
          <w:p>
            <w:pPr>
              <w:spacing w:line="36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10.1</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预算金额</w:t>
            </w:r>
          </w:p>
        </w:tc>
        <w:tc>
          <w:tcPr>
            <w:tcW w:w="6112" w:type="dxa"/>
            <w:vAlign w:val="bottom"/>
          </w:tcPr>
          <w:p>
            <w:pPr>
              <w:spacing w:line="44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1、本项目预算金额为：</w:t>
            </w:r>
            <w:r>
              <w:rPr>
                <w:rFonts w:hint="eastAsia" w:ascii="宋体" w:hAnsi="宋体" w:cs="宋体" w:eastAsiaTheme="minorEastAsia"/>
                <w:kern w:val="0"/>
                <w:sz w:val="24"/>
                <w:highlight w:val="none"/>
                <w:lang w:eastAsia="zh-CN"/>
              </w:rPr>
              <w:t>1920000.00</w:t>
            </w:r>
            <w:r>
              <w:rPr>
                <w:rFonts w:hint="eastAsia" w:asciiTheme="minorEastAsia" w:hAnsiTheme="minorEastAsia" w:eastAsiaTheme="minorEastAsia" w:cstheme="minorEastAsia"/>
                <w:szCs w:val="21"/>
                <w:highlight w:val="none"/>
              </w:rPr>
              <w:t>元</w:t>
            </w:r>
          </w:p>
          <w:p>
            <w:pPr>
              <w:spacing w:line="44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10.2</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小型或微型企业（含监狱企业）</w:t>
            </w:r>
          </w:p>
        </w:tc>
        <w:tc>
          <w:tcPr>
            <w:tcW w:w="6112" w:type="dxa"/>
            <w:vAlign w:val="center"/>
          </w:tcPr>
          <w:p>
            <w:pPr>
              <w:autoSpaceDE w:val="0"/>
              <w:autoSpaceDN w:val="0"/>
              <w:adjustRightInd w:val="0"/>
              <w:spacing w:line="500" w:lineRule="exact"/>
              <w:jc w:val="left"/>
              <w:rPr>
                <w:rFonts w:ascii="宋体" w:hAnsi="宋体" w:cs="宋体"/>
                <w:kern w:val="0"/>
                <w:szCs w:val="21"/>
                <w:highlight w:val="none"/>
              </w:rPr>
            </w:pPr>
            <w:r>
              <w:rPr>
                <w:rFonts w:hint="eastAsia" w:ascii="宋体" w:hAnsi="宋体" w:cs="宋体"/>
                <w:kern w:val="0"/>
                <w:szCs w:val="21"/>
                <w:highlight w:val="none"/>
              </w:rPr>
              <w:t>1、对小型或微型企业投标的扶持：(如有）</w:t>
            </w:r>
          </w:p>
          <w:p>
            <w:pPr>
              <w:autoSpaceDE w:val="0"/>
              <w:autoSpaceDN w:val="0"/>
              <w:adjustRightInd w:val="0"/>
              <w:spacing w:line="500" w:lineRule="exact"/>
              <w:jc w:val="left"/>
              <w:rPr>
                <w:rFonts w:ascii="宋体" w:hAnsi="宋体" w:cs="宋体"/>
                <w:kern w:val="0"/>
                <w:szCs w:val="21"/>
                <w:highlight w:val="none"/>
              </w:rPr>
            </w:pPr>
            <w:r>
              <w:rPr>
                <w:rFonts w:hint="eastAsia" w:ascii="宋体" w:hAnsi="宋体" w:cs="宋体"/>
                <w:kern w:val="0"/>
                <w:szCs w:val="21"/>
                <w:highlight w:val="none"/>
              </w:rPr>
              <w:t>1.1投标供应商为小型或微型企业时，报价给予C1的价格扣除（C1的取值为20%），即：评标价＝投标报价（最后报价）×(1－C1）；</w:t>
            </w:r>
          </w:p>
          <w:p>
            <w:pPr>
              <w:autoSpaceDE w:val="0"/>
              <w:autoSpaceDN w:val="0"/>
              <w:adjustRightInd w:val="0"/>
              <w:spacing w:line="500" w:lineRule="exact"/>
              <w:jc w:val="left"/>
              <w:rPr>
                <w:rFonts w:ascii="宋体" w:hAnsi="宋体" w:cs="宋体"/>
                <w:kern w:val="0"/>
                <w:szCs w:val="21"/>
                <w:highlight w:val="none"/>
              </w:rPr>
            </w:pPr>
            <w:r>
              <w:rPr>
                <w:rFonts w:hint="eastAsia" w:ascii="宋体" w:hAnsi="宋体" w:cs="宋体"/>
                <w:kern w:val="0"/>
                <w:szCs w:val="21"/>
                <w:highlight w:val="none"/>
              </w:rPr>
              <w:t>小微企业应当提供《中小企业声明函》（见格式）。</w:t>
            </w:r>
          </w:p>
          <w:p>
            <w:pPr>
              <w:autoSpaceDE w:val="0"/>
              <w:autoSpaceDN w:val="0"/>
              <w:adjustRightInd w:val="0"/>
              <w:spacing w:line="500" w:lineRule="exact"/>
              <w:jc w:val="left"/>
              <w:rPr>
                <w:rFonts w:ascii="宋体" w:hAnsi="宋体" w:cs="宋体"/>
                <w:kern w:val="0"/>
                <w:szCs w:val="21"/>
                <w:highlight w:val="none"/>
              </w:rPr>
            </w:pPr>
            <w:r>
              <w:rPr>
                <w:rFonts w:hint="eastAsia" w:ascii="宋体" w:hAnsi="宋体" w:cs="宋体"/>
                <w:kern w:val="0"/>
                <w:szCs w:val="21"/>
                <w:highlight w:val="none"/>
              </w:rPr>
              <w:t>1.2按照</w:t>
            </w:r>
            <w:r>
              <w:rPr>
                <w:rFonts w:hint="eastAsia" w:ascii="宋体" w:hAnsi="宋体" w:cs="宋体"/>
                <w:kern w:val="0"/>
                <w:sz w:val="24"/>
                <w:szCs w:val="22"/>
                <w:highlight w:val="none"/>
              </w:rPr>
              <w:t>《</w:t>
            </w:r>
            <w:r>
              <w:rPr>
                <w:rFonts w:hint="eastAsia" w:ascii="宋体" w:hAnsi="宋体" w:cs="宋体"/>
                <w:kern w:val="0"/>
                <w:szCs w:val="21"/>
                <w:highlight w:val="none"/>
              </w:rPr>
              <w:t>政府采购促进中小企业发展管理办法》有关规定，中小企业的标准为：</w:t>
            </w:r>
          </w:p>
          <w:p>
            <w:pPr>
              <w:autoSpaceDE w:val="0"/>
              <w:autoSpaceDN w:val="0"/>
              <w:adjustRightInd w:val="0"/>
              <w:spacing w:line="500" w:lineRule="exact"/>
              <w:jc w:val="left"/>
              <w:rPr>
                <w:rFonts w:ascii="宋体" w:hAnsi="宋体" w:cs="宋体"/>
                <w:kern w:val="0"/>
                <w:szCs w:val="21"/>
                <w:highlight w:val="none"/>
              </w:rPr>
            </w:pPr>
            <w:r>
              <w:rPr>
                <w:rFonts w:hint="eastAsia" w:ascii="宋体" w:hAnsi="宋体" w:cs="宋体"/>
                <w:kern w:val="0"/>
                <w:szCs w:val="21"/>
                <w:highlight w:val="none"/>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kern w:val="0"/>
                <w:szCs w:val="21"/>
                <w:highlight w:val="none"/>
              </w:rPr>
            </w:pPr>
            <w:r>
              <w:rPr>
                <w:rFonts w:hint="eastAsia" w:ascii="宋体" w:hAnsi="宋体" w:cs="宋体"/>
                <w:kern w:val="0"/>
                <w:szCs w:val="21"/>
                <w:highlight w:val="none"/>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kern w:val="0"/>
                <w:szCs w:val="21"/>
                <w:highlight w:val="none"/>
              </w:rPr>
            </w:pPr>
            <w:r>
              <w:rPr>
                <w:rFonts w:hint="eastAsia" w:ascii="宋体" w:hAnsi="宋体" w:cs="宋体"/>
                <w:kern w:val="0"/>
                <w:szCs w:val="21"/>
                <w:highlight w:val="none"/>
              </w:rPr>
              <w:t>1.2.3小型、微型企业提供有中型企业制造的货物的，视同为中型企业；小型、微型、中型企业提供有大型企业制造的货物的，视同为大型企业。</w:t>
            </w:r>
          </w:p>
          <w:p>
            <w:pPr>
              <w:spacing w:line="440" w:lineRule="exact"/>
              <w:rPr>
                <w:rFonts w:ascii="宋体" w:hAnsi="宋体" w:cs="宋体"/>
                <w:bCs/>
                <w:highlight w:val="none"/>
              </w:rPr>
            </w:pPr>
            <w:r>
              <w:rPr>
                <w:rFonts w:hint="eastAsia" w:ascii="宋体" w:hAnsi="宋体" w:cs="宋体"/>
                <w:bCs/>
                <w:highlight w:val="none"/>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宋体" w:hAnsi="宋体" w:cs="宋体"/>
                <w:bCs/>
                <w:highlight w:val="none"/>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10.3</w:t>
            </w:r>
          </w:p>
        </w:tc>
        <w:tc>
          <w:tcPr>
            <w:tcW w:w="2318" w:type="dxa"/>
            <w:vAlign w:val="center"/>
          </w:tcPr>
          <w:p>
            <w:pPr>
              <w:spacing w:line="440" w:lineRule="exact"/>
              <w:jc w:val="center"/>
              <w:rPr>
                <w:rFonts w:ascii="宋体" w:hAnsi="宋体" w:cs="宋体"/>
                <w:bCs/>
                <w:highlight w:val="none"/>
              </w:rPr>
            </w:pPr>
            <w:r>
              <w:rPr>
                <w:rFonts w:hint="eastAsia" w:ascii="宋体" w:hAnsi="宋体" w:cs="宋体"/>
                <w:bCs/>
                <w:highlight w:val="none"/>
              </w:rPr>
              <w:t>付款方式</w:t>
            </w:r>
          </w:p>
        </w:tc>
        <w:tc>
          <w:tcPr>
            <w:tcW w:w="6112" w:type="dxa"/>
            <w:vAlign w:val="center"/>
          </w:tcPr>
          <w:p>
            <w:pPr>
              <w:spacing w:line="440" w:lineRule="exact"/>
              <w:rPr>
                <w:rFonts w:ascii="宋体" w:hAnsi="宋体" w:cs="宋体"/>
                <w:bCs/>
                <w:highlight w:val="none"/>
              </w:rPr>
            </w:pPr>
            <w:r>
              <w:rPr>
                <w:rFonts w:hint="eastAsia" w:ascii="宋体" w:hAnsi="宋体" w:cs="宋体"/>
                <w:bCs/>
                <w:highlight w:val="none"/>
              </w:rPr>
              <w:t>签订合同付合同款的30%产品设备到厂付合同款的30%，安装完毕验收合格后付合同款的37%，剩余3%满</w:t>
            </w:r>
            <w:r>
              <w:rPr>
                <w:rFonts w:hint="eastAsia" w:ascii="宋体" w:hAnsi="宋体" w:cs="宋体"/>
                <w:bCs/>
                <w:highlight w:val="none"/>
                <w:lang w:val="en-US" w:eastAsia="zh-CN"/>
              </w:rPr>
              <w:t>一年</w:t>
            </w:r>
            <w:r>
              <w:rPr>
                <w:rFonts w:hint="eastAsia" w:ascii="宋体" w:hAnsi="宋体" w:cs="宋体"/>
                <w:bCs/>
                <w:highlight w:val="none"/>
              </w:rPr>
              <w:t>后无质量问题支付。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10.4</w:t>
            </w:r>
          </w:p>
        </w:tc>
        <w:tc>
          <w:tcPr>
            <w:tcW w:w="2318" w:type="dxa"/>
            <w:vAlign w:val="center"/>
          </w:tcPr>
          <w:p>
            <w:pPr>
              <w:spacing w:line="440" w:lineRule="exact"/>
              <w:jc w:val="center"/>
              <w:rPr>
                <w:rFonts w:ascii="宋体" w:hAnsi="宋体" w:cs="宋体"/>
                <w:bCs/>
                <w:highlight w:val="none"/>
              </w:rPr>
            </w:pPr>
            <w:r>
              <w:rPr>
                <w:rFonts w:hint="eastAsia" w:ascii="宋体" w:hAnsi="宋体" w:cs="宋体"/>
                <w:bCs/>
                <w:highlight w:val="none"/>
              </w:rPr>
              <w:t>供货要求</w:t>
            </w:r>
          </w:p>
        </w:tc>
        <w:tc>
          <w:tcPr>
            <w:tcW w:w="6112" w:type="dxa"/>
            <w:vAlign w:val="center"/>
          </w:tcPr>
          <w:p>
            <w:pPr>
              <w:spacing w:line="440" w:lineRule="exact"/>
              <w:rPr>
                <w:rFonts w:ascii="宋体" w:hAnsi="宋体" w:cs="宋体"/>
                <w:bCs/>
                <w:highlight w:val="none"/>
              </w:rPr>
            </w:pPr>
            <w:r>
              <w:rPr>
                <w:rFonts w:hint="eastAsia" w:ascii="宋体" w:hAnsi="宋体" w:cs="宋体"/>
                <w:bCs/>
                <w:highlight w:val="none"/>
              </w:rPr>
              <w:t>若因中标人原因不能按期按质供货的，将扣除中标人2万元的违约金，同时每超过一天另扣除合同金额的千分之一。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10.5</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招标代理服务费</w:t>
            </w:r>
          </w:p>
        </w:tc>
        <w:tc>
          <w:tcPr>
            <w:tcW w:w="6112" w:type="dxa"/>
            <w:vAlign w:val="center"/>
          </w:tcPr>
          <w:p>
            <w:pPr>
              <w:spacing w:line="360" w:lineRule="exact"/>
              <w:jc w:val="left"/>
              <w:rPr>
                <w:highlight w:val="none"/>
              </w:rPr>
            </w:pPr>
            <w:r>
              <w:rPr>
                <w:rFonts w:hint="eastAsia" w:asciiTheme="minorEastAsia" w:hAnsiTheme="minorEastAsia" w:eastAsiaTheme="minorEastAsia" w:cstheme="minorEastAsia"/>
                <w:szCs w:val="21"/>
                <w:highlight w:val="none"/>
              </w:rPr>
              <w:t>招标代理服务费参照豫招协[202</w:t>
            </w: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]002 号《河南省招标代理服务收费指导意见》中的标准收取，由中标人支付。招标代理费由招标代理机构通知中标企业结清后，领取中标通知书。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10.8</w:t>
            </w:r>
          </w:p>
        </w:tc>
        <w:tc>
          <w:tcPr>
            <w:tcW w:w="2318" w:type="dxa"/>
            <w:vAlign w:val="center"/>
          </w:tcPr>
          <w:p>
            <w:pPr>
              <w:adjustRightInd w:val="0"/>
              <w:snapToGrid w:val="0"/>
              <w:jc w:val="center"/>
              <w:rPr>
                <w:rFonts w:ascii="宋体" w:hAnsi="宋体" w:cs="宋体"/>
                <w:bCs/>
                <w:highlight w:val="none"/>
              </w:rPr>
            </w:pPr>
            <w:r>
              <w:rPr>
                <w:rFonts w:hint="eastAsia" w:ascii="宋体" w:hAnsi="宋体" w:cs="宋体"/>
                <w:bCs/>
                <w:highlight w:val="none"/>
              </w:rPr>
              <w:t>认定为不响应招标文件的其它条件</w:t>
            </w:r>
          </w:p>
        </w:tc>
        <w:tc>
          <w:tcPr>
            <w:tcW w:w="6112" w:type="dxa"/>
            <w:vAlign w:val="center"/>
          </w:tcPr>
          <w:p>
            <w:pPr>
              <w:pStyle w:val="2"/>
              <w:ind w:firstLine="0" w:firstLineChars="0"/>
              <w:rPr>
                <w:rFonts w:ascii="宋体" w:hAnsi="宋体" w:cs="宋体"/>
                <w:bCs/>
                <w:highlight w:val="none"/>
              </w:rPr>
            </w:pPr>
            <w:r>
              <w:rPr>
                <w:rFonts w:hint="eastAsia" w:ascii="宋体" w:hAnsi="宋体" w:cs="宋体"/>
                <w:bCs/>
                <w:highlight w:val="none"/>
              </w:rPr>
              <w:t>1、未按招标文件明示的规定签字盖章的；</w:t>
            </w:r>
          </w:p>
          <w:p>
            <w:pPr>
              <w:pStyle w:val="2"/>
              <w:ind w:firstLine="0" w:firstLineChars="0"/>
              <w:rPr>
                <w:rFonts w:ascii="宋体" w:hAnsi="宋体" w:cs="宋体"/>
                <w:bCs/>
                <w:highlight w:val="none"/>
              </w:rPr>
            </w:pPr>
            <w:r>
              <w:rPr>
                <w:rFonts w:hint="eastAsia" w:ascii="宋体" w:hAnsi="宋体" w:cs="宋体"/>
                <w:bCs/>
                <w:highlight w:val="none"/>
              </w:rPr>
              <w:t>2、投标文件的关键内容（供货安装期、质量标准、品牌、型号等）未填写或填写字迹模糊、达不到采购要求的；</w:t>
            </w:r>
          </w:p>
          <w:p>
            <w:pPr>
              <w:pStyle w:val="2"/>
              <w:ind w:firstLine="0" w:firstLineChars="0"/>
              <w:rPr>
                <w:rFonts w:ascii="宋体" w:hAnsi="宋体" w:cs="宋体"/>
                <w:bCs/>
                <w:highlight w:val="none"/>
              </w:rPr>
            </w:pPr>
            <w:r>
              <w:rPr>
                <w:rFonts w:hint="eastAsia" w:ascii="宋体" w:hAnsi="宋体" w:cs="宋体"/>
                <w:bCs/>
                <w:highlight w:val="none"/>
              </w:rPr>
              <w:t>3、投标报价超出招标控制价的；</w:t>
            </w:r>
          </w:p>
          <w:p>
            <w:pPr>
              <w:pStyle w:val="2"/>
              <w:ind w:firstLine="0" w:firstLineChars="0"/>
              <w:rPr>
                <w:rFonts w:ascii="宋体" w:hAnsi="宋体" w:cs="宋体"/>
                <w:bCs/>
                <w:highlight w:val="none"/>
              </w:rPr>
            </w:pPr>
            <w:r>
              <w:rPr>
                <w:rFonts w:hint="eastAsia" w:ascii="宋体" w:hAnsi="宋体" w:cs="宋体"/>
                <w:bCs/>
                <w:highlight w:val="none"/>
              </w:rPr>
              <w:t>4、供应商递交两份或多份内容不同的投标文件，或在一份投标文件中对同一招标项目有两个或多个报价，且未声明哪一个有效的；</w:t>
            </w:r>
          </w:p>
          <w:p>
            <w:pPr>
              <w:pStyle w:val="2"/>
              <w:ind w:firstLine="0" w:firstLineChars="0"/>
              <w:rPr>
                <w:rFonts w:ascii="宋体" w:hAnsi="宋体" w:cs="宋体"/>
                <w:bCs/>
                <w:highlight w:val="none"/>
              </w:rPr>
            </w:pPr>
            <w:r>
              <w:rPr>
                <w:rFonts w:hint="eastAsia" w:ascii="宋体" w:hAnsi="宋体" w:cs="宋体"/>
                <w:bCs/>
                <w:highlight w:val="none"/>
              </w:rPr>
              <w:t>5、相关资格证明文件不合格的；</w:t>
            </w:r>
          </w:p>
          <w:p>
            <w:pPr>
              <w:pStyle w:val="2"/>
              <w:ind w:firstLine="0" w:firstLineChars="0"/>
              <w:rPr>
                <w:rFonts w:ascii="宋体" w:hAnsi="宋体" w:cs="宋体"/>
                <w:bCs/>
                <w:highlight w:val="none"/>
              </w:rPr>
            </w:pPr>
            <w:r>
              <w:rPr>
                <w:rFonts w:hint="eastAsia" w:ascii="宋体" w:hAnsi="宋体" w:cs="宋体"/>
                <w:bCs/>
                <w:highlight w:val="none"/>
              </w:rPr>
              <w:t>6、未按要求在报价明细表中标明品牌、型号及技术参数的。</w:t>
            </w:r>
          </w:p>
          <w:p>
            <w:pPr>
              <w:pStyle w:val="2"/>
              <w:ind w:firstLine="0" w:firstLineChars="0"/>
              <w:rPr>
                <w:rFonts w:ascii="宋体" w:hAnsi="宋体" w:cs="宋体"/>
                <w:bCs/>
                <w:highlight w:val="none"/>
              </w:rPr>
            </w:pPr>
            <w:r>
              <w:rPr>
                <w:rFonts w:hint="eastAsia" w:ascii="宋体" w:hAnsi="宋体" w:cs="宋体"/>
                <w:bCs/>
                <w:highlight w:val="none"/>
              </w:rPr>
              <w:t>7、附有采购人不能接受的条件的；</w:t>
            </w:r>
          </w:p>
          <w:p>
            <w:pPr>
              <w:pStyle w:val="2"/>
              <w:ind w:firstLine="0" w:firstLineChars="0"/>
              <w:rPr>
                <w:rFonts w:ascii="宋体" w:hAnsi="宋体" w:cs="宋体"/>
                <w:bCs/>
                <w:highlight w:val="none"/>
              </w:rPr>
            </w:pPr>
            <w:r>
              <w:rPr>
                <w:rFonts w:hint="eastAsia" w:ascii="宋体" w:hAnsi="宋体" w:cs="宋体"/>
                <w:bCs/>
                <w:highlight w:val="none"/>
              </w:rPr>
              <w:t>8、评标过程中，如因两个或两个以上投标人在同一台计算或同一个IP上传响应文件，而被不见面开标系统提示为“投标文件制作机器码一致”的，则视其投标无效。</w:t>
            </w:r>
          </w:p>
          <w:p>
            <w:pPr>
              <w:pStyle w:val="2"/>
              <w:ind w:firstLine="0" w:firstLineChars="0"/>
              <w:rPr>
                <w:rFonts w:ascii="宋体" w:hAnsi="宋体" w:cs="宋体"/>
                <w:bCs/>
                <w:highlight w:val="none"/>
              </w:rPr>
            </w:pPr>
            <w:r>
              <w:rPr>
                <w:rFonts w:hint="eastAsia" w:ascii="宋体" w:hAnsi="宋体" w:cs="宋体"/>
                <w:bCs/>
                <w:highlight w:val="none"/>
              </w:rPr>
              <w:t>9、投标文件有明显不符合招标文件其它要求和有关法律法规的。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10.9</w:t>
            </w:r>
          </w:p>
        </w:tc>
        <w:tc>
          <w:tcPr>
            <w:tcW w:w="8430" w:type="dxa"/>
            <w:gridSpan w:val="2"/>
            <w:vAlign w:val="center"/>
          </w:tcPr>
          <w:p>
            <w:pPr>
              <w:pStyle w:val="2"/>
              <w:tabs>
                <w:tab w:val="left" w:pos="1268"/>
              </w:tabs>
              <w:ind w:firstLine="0" w:firstLineChars="0"/>
              <w:rPr>
                <w:rFonts w:ascii="宋体" w:hAnsi="宋体" w:cs="宋体"/>
                <w:bCs/>
                <w:highlight w:val="none"/>
              </w:rPr>
            </w:pPr>
            <w:r>
              <w:rPr>
                <w:rFonts w:hint="eastAsia" w:ascii="宋体" w:hAnsi="宋体" w:cs="宋体"/>
                <w:bCs/>
                <w:highlight w:val="none"/>
              </w:rPr>
              <w:tab/>
            </w:r>
            <w:r>
              <w:rPr>
                <w:rFonts w:hint="eastAsia" w:asciiTheme="minorEastAsia" w:hAnsiTheme="minorEastAsia" w:eastAsiaTheme="minorEastAsia" w:cstheme="minorEastAsia"/>
                <w:szCs w:val="21"/>
                <w:highlight w:val="none"/>
              </w:rPr>
              <w:t>本招标文件解释权归采购人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395" w:type="dxa"/>
            <w:gridSpan w:val="3"/>
            <w:vAlign w:val="center"/>
          </w:tcPr>
          <w:p>
            <w:pPr>
              <w:pStyle w:val="2"/>
              <w:ind w:firstLine="482"/>
              <w:rPr>
                <w:rFonts w:ascii="宋体" w:hAnsi="宋体" w:cs="宋体"/>
                <w:bCs/>
                <w:highlight w:val="none"/>
              </w:rPr>
            </w:pPr>
            <w:r>
              <w:rPr>
                <w:rFonts w:hint="eastAsia" w:ascii="宋体" w:cs="宋体"/>
                <w:b/>
                <w:bCs/>
                <w:sz w:val="24"/>
                <w:highlight w:val="none"/>
              </w:rPr>
              <w:t>本项目采购货物在质保期内属于货物质量问题的，成交供应商应免费维修，不能维修的应及时更换新货物，供应商须针对质保期内的质量问题提供承诺函。</w:t>
            </w:r>
          </w:p>
        </w:tc>
      </w:tr>
    </w:tbl>
    <w:p>
      <w:pPr>
        <w:pStyle w:val="19"/>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22" w:name="_Toc9048"/>
      <w:bookmarkStart w:id="23" w:name="_Toc403122491"/>
      <w:bookmarkStart w:id="24" w:name="_Toc23082"/>
      <w:bookmarkStart w:id="25" w:name="_Toc426369479"/>
      <w:bookmarkStart w:id="26" w:name="_Toc23576"/>
      <w:bookmarkStart w:id="27" w:name="_Toc426369491"/>
      <w:bookmarkStart w:id="28" w:name="_Toc26894"/>
      <w:bookmarkStart w:id="29" w:name="_Toc403122503"/>
      <w:r>
        <w:rPr>
          <w:rFonts w:hint="eastAsia" w:asciiTheme="minorEastAsia" w:hAnsiTheme="minorEastAsia" w:eastAsiaTheme="minorEastAsia" w:cstheme="minorEastAsia"/>
          <w:sz w:val="24"/>
          <w:szCs w:val="24"/>
        </w:rPr>
        <w:t>1. 总则</w:t>
      </w:r>
      <w:bookmarkEnd w:id="22"/>
      <w:bookmarkEnd w:id="23"/>
      <w:bookmarkEnd w:id="24"/>
      <w:bookmarkEnd w:id="25"/>
      <w:bookmarkEnd w:id="26"/>
    </w:p>
    <w:p>
      <w:pPr>
        <w:spacing w:line="500" w:lineRule="exact"/>
        <w:ind w:firstLine="482" w:firstLineChars="200"/>
        <w:rPr>
          <w:rFonts w:asciiTheme="minorEastAsia" w:hAnsiTheme="minorEastAsia" w:eastAsiaTheme="minorEastAsia" w:cstheme="minorEastAsia"/>
          <w:b/>
          <w:bCs/>
          <w:sz w:val="24"/>
        </w:rPr>
      </w:pPr>
      <w:bookmarkStart w:id="30" w:name="_Toc403122492"/>
      <w:bookmarkStart w:id="31" w:name="_Toc279599771"/>
      <w:bookmarkStart w:id="32" w:name="_Toc426369480"/>
      <w:bookmarkStart w:id="33" w:name="_Toc274249575"/>
      <w:r>
        <w:rPr>
          <w:rFonts w:hint="eastAsia" w:asciiTheme="minorEastAsia" w:hAnsiTheme="minorEastAsia" w:eastAsiaTheme="minorEastAsia" w:cstheme="minorEastAsia"/>
          <w:b/>
          <w:bCs/>
          <w:sz w:val="24"/>
        </w:rPr>
        <w:t>1.1 项目概况</w:t>
      </w:r>
      <w:bookmarkEnd w:id="30"/>
      <w:bookmarkEnd w:id="31"/>
      <w:bookmarkEnd w:id="32"/>
      <w:bookmarkEnd w:id="3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根据</w:t>
      </w:r>
      <w:r>
        <w:rPr>
          <w:rFonts w:hint="eastAsia" w:asciiTheme="minorEastAsia" w:hAnsiTheme="minorEastAsia" w:eastAsiaTheme="minorEastAsia" w:cstheme="minorEastAsia"/>
          <w:bCs/>
          <w:szCs w:val="21"/>
        </w:rPr>
        <w:t>《中华人民共和国政府采购法》</w:t>
      </w:r>
      <w:r>
        <w:rPr>
          <w:rFonts w:hint="eastAsia" w:asciiTheme="minorEastAsia" w:hAnsiTheme="minorEastAsia" w:eastAsiaTheme="minorEastAsia" w:cstheme="minorEastAsia"/>
          <w:szCs w:val="21"/>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sz w:val="24"/>
        </w:rPr>
      </w:pPr>
      <w:bookmarkStart w:id="34" w:name="_Toc403122493"/>
      <w:bookmarkStart w:id="35" w:name="_Toc274249576"/>
      <w:bookmarkStart w:id="36" w:name="_Toc426369481"/>
      <w:bookmarkStart w:id="37" w:name="_Toc279599772"/>
      <w:r>
        <w:rPr>
          <w:rFonts w:hint="eastAsia" w:asciiTheme="minorEastAsia" w:hAnsiTheme="minorEastAsia" w:eastAsiaTheme="minorEastAsia" w:cstheme="minorEastAsia"/>
          <w:b/>
          <w:bCs/>
          <w:sz w:val="24"/>
        </w:rPr>
        <w:t>1.2 资金来源和落实情况</w:t>
      </w:r>
      <w:bookmarkEnd w:id="34"/>
      <w:bookmarkEnd w:id="35"/>
      <w:bookmarkEnd w:id="36"/>
      <w:bookmarkEnd w:id="37"/>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sz w:val="24"/>
        </w:rPr>
      </w:pPr>
      <w:bookmarkStart w:id="38" w:name="_Toc403122494"/>
      <w:bookmarkStart w:id="39" w:name="_Toc279599773"/>
      <w:bookmarkStart w:id="40" w:name="_Toc426369482"/>
      <w:bookmarkStart w:id="41" w:name="_Toc274249577"/>
      <w:r>
        <w:rPr>
          <w:rFonts w:hint="eastAsia" w:asciiTheme="minorEastAsia" w:hAnsiTheme="minorEastAsia" w:eastAsiaTheme="minorEastAsia" w:cstheme="minorEastAsia"/>
          <w:b/>
          <w:bCs/>
          <w:sz w:val="24"/>
        </w:rPr>
        <w:t>1.3 采购内容、供货安装期和质量</w:t>
      </w:r>
      <w:bookmarkEnd w:id="38"/>
      <w:bookmarkEnd w:id="39"/>
      <w:bookmarkEnd w:id="40"/>
      <w:bookmarkEnd w:id="41"/>
      <w:r>
        <w:rPr>
          <w:rFonts w:hint="eastAsia" w:asciiTheme="minorEastAsia" w:hAnsiTheme="minorEastAsia" w:eastAsiaTheme="minorEastAsia" w:cstheme="minorEastAsia"/>
          <w:b/>
          <w:bCs/>
          <w:sz w:val="24"/>
        </w:rPr>
        <w:t>标准</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1.3.4  本次招标的质保期要求：见供应商须知前附表。 </w:t>
      </w:r>
      <w:r>
        <w:rPr>
          <w:rFonts w:hint="eastAsia" w:asciiTheme="minorEastAsia" w:hAnsiTheme="minorEastAsia" w:eastAsiaTheme="minorEastAsia" w:cstheme="minorEastAsia"/>
          <w:szCs w:val="21"/>
        </w:rPr>
        <w:tab/>
      </w:r>
    </w:p>
    <w:p>
      <w:pPr>
        <w:spacing w:line="500" w:lineRule="exact"/>
        <w:ind w:firstLine="482" w:firstLineChars="200"/>
        <w:rPr>
          <w:rFonts w:asciiTheme="minorEastAsia" w:hAnsiTheme="minorEastAsia" w:eastAsiaTheme="minorEastAsia" w:cstheme="minorEastAsia"/>
          <w:b/>
          <w:bCs/>
          <w:sz w:val="24"/>
        </w:rPr>
      </w:pPr>
      <w:bookmarkStart w:id="42" w:name="_Toc279599774"/>
      <w:bookmarkStart w:id="43" w:name="_Toc274249578"/>
      <w:bookmarkStart w:id="44" w:name="_Toc426369483"/>
      <w:bookmarkStart w:id="45" w:name="_Toc403122495"/>
      <w:r>
        <w:rPr>
          <w:rFonts w:hint="eastAsia" w:asciiTheme="minorEastAsia" w:hAnsiTheme="minorEastAsia" w:eastAsiaTheme="minorEastAsia" w:cstheme="minorEastAsia"/>
          <w:b/>
          <w:bCs/>
          <w:sz w:val="24"/>
        </w:rPr>
        <w:t>1.4 供应商资格要求</w:t>
      </w:r>
      <w:bookmarkEnd w:id="42"/>
      <w:bookmarkEnd w:id="43"/>
      <w:bookmarkEnd w:id="44"/>
      <w:bookmarkEnd w:id="4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（1）供应商资质条件：见供应商须知前附表； </w:t>
      </w:r>
    </w:p>
    <w:p>
      <w:pPr>
        <w:spacing w:line="440" w:lineRule="exact"/>
        <w:ind w:firstLine="420" w:firstLineChars="200"/>
        <w:rPr>
          <w:rFonts w:asciiTheme="minorEastAsia" w:hAnsiTheme="minorEastAsia" w:eastAsiaTheme="minorEastAsia" w:cstheme="minorEastAsia"/>
          <w:szCs w:val="21"/>
        </w:rPr>
      </w:pPr>
      <w:bookmarkStart w:id="46" w:name="_Toc274249579"/>
      <w:bookmarkStart w:id="47" w:name="_Toc403122496"/>
      <w:bookmarkStart w:id="48" w:name="_Toc279599775"/>
      <w:r>
        <w:rPr>
          <w:rFonts w:hint="eastAsia" w:asciiTheme="minorEastAsia" w:hAnsiTheme="minorEastAsia" w:eastAsiaTheme="minorEastAsia" w:cstheme="minorEastAsia"/>
          <w:szCs w:val="21"/>
        </w:rPr>
        <w:t>1.4.2 本次招标不接受联合体投标。</w:t>
      </w:r>
    </w:p>
    <w:p>
      <w:pPr>
        <w:spacing w:line="500" w:lineRule="exact"/>
        <w:ind w:firstLine="482" w:firstLineChars="200"/>
        <w:rPr>
          <w:rFonts w:asciiTheme="minorEastAsia" w:hAnsiTheme="minorEastAsia" w:eastAsiaTheme="minorEastAsia" w:cstheme="minorEastAsia"/>
          <w:b/>
          <w:bCs/>
          <w:sz w:val="24"/>
        </w:rPr>
      </w:pPr>
      <w:bookmarkStart w:id="49" w:name="_Toc426369484"/>
      <w:r>
        <w:rPr>
          <w:rFonts w:hint="eastAsia" w:asciiTheme="minorEastAsia" w:hAnsiTheme="minorEastAsia" w:eastAsiaTheme="minorEastAsia" w:cstheme="minorEastAsia"/>
          <w:b/>
          <w:bCs/>
          <w:sz w:val="24"/>
        </w:rPr>
        <w:t>1.5 费用承担</w:t>
      </w:r>
      <w:bookmarkEnd w:id="46"/>
      <w:bookmarkEnd w:id="47"/>
      <w:bookmarkEnd w:id="48"/>
      <w:bookmarkEnd w:id="4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sz w:val="24"/>
        </w:rPr>
      </w:pPr>
      <w:bookmarkStart w:id="50" w:name="_Toc403122497"/>
      <w:bookmarkStart w:id="51" w:name="_Toc426369485"/>
      <w:r>
        <w:rPr>
          <w:rFonts w:hint="eastAsia" w:asciiTheme="minorEastAsia" w:hAnsiTheme="minorEastAsia" w:eastAsiaTheme="minorEastAsia" w:cstheme="minorEastAsia"/>
          <w:b/>
          <w:bCs/>
          <w:sz w:val="24"/>
        </w:rPr>
        <w:t>1.6 保密</w:t>
      </w:r>
      <w:bookmarkEnd w:id="50"/>
      <w:bookmarkEnd w:id="5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sz w:val="24"/>
        </w:rPr>
      </w:pPr>
      <w:bookmarkStart w:id="52" w:name="_Toc426369486"/>
      <w:bookmarkStart w:id="53" w:name="_Toc274249581"/>
      <w:bookmarkStart w:id="54" w:name="_Toc279599777"/>
      <w:bookmarkStart w:id="55" w:name="_Toc403122498"/>
      <w:r>
        <w:rPr>
          <w:rFonts w:hint="eastAsia" w:asciiTheme="minorEastAsia" w:hAnsiTheme="minorEastAsia" w:eastAsiaTheme="minorEastAsia" w:cstheme="minorEastAsia"/>
          <w:b/>
          <w:bCs/>
          <w:sz w:val="24"/>
        </w:rPr>
        <w:t>1.7 语言文字</w:t>
      </w:r>
      <w:bookmarkEnd w:id="52"/>
      <w:bookmarkEnd w:id="53"/>
      <w:bookmarkEnd w:id="54"/>
      <w:bookmarkEnd w:id="55"/>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1.7.1 采购文件以及投标人与采购人、采购代理机构就有关投标事宜的所有来往函电均应使用简体中文书写。</w:t>
      </w:r>
    </w:p>
    <w:p>
      <w:pPr>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56" w:name="_Toc426369487"/>
      <w:bookmarkStart w:id="57" w:name="_Toc403122499"/>
    </w:p>
    <w:p>
      <w:pPr>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1.8 计量单位</w:t>
      </w:r>
      <w:bookmarkEnd w:id="56"/>
      <w:bookmarkEnd w:id="57"/>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1.8.1关于投标计量单位，采购文件已有明确规定的，使用采购文件规定的计量单位；采购文件没有规定的，应采用中华人民共和国法定计量单位。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1.8.2本响应性文件所表述的时间均为北京时间。</w:t>
      </w:r>
    </w:p>
    <w:p>
      <w:pPr>
        <w:spacing w:line="500" w:lineRule="exact"/>
        <w:ind w:firstLine="482" w:firstLineChars="200"/>
        <w:rPr>
          <w:rFonts w:asciiTheme="minorEastAsia" w:hAnsiTheme="minorEastAsia" w:eastAsiaTheme="minorEastAsia" w:cstheme="minorEastAsia"/>
          <w:b/>
          <w:bCs/>
          <w:sz w:val="24"/>
        </w:rPr>
      </w:pPr>
      <w:bookmarkStart w:id="58" w:name="_Toc274249583"/>
      <w:bookmarkStart w:id="59" w:name="_Toc279599779"/>
      <w:bookmarkStart w:id="60" w:name="_Toc403122500"/>
      <w:bookmarkStart w:id="61" w:name="_Toc426369488"/>
      <w:r>
        <w:rPr>
          <w:rFonts w:hint="eastAsia" w:asciiTheme="minorEastAsia" w:hAnsiTheme="minorEastAsia" w:eastAsiaTheme="minorEastAsia" w:cstheme="minorEastAsia"/>
          <w:b/>
          <w:bCs/>
          <w:sz w:val="24"/>
        </w:rPr>
        <w:t>1.9 踏勘现场</w:t>
      </w:r>
      <w:bookmarkEnd w:id="58"/>
      <w:bookmarkEnd w:id="59"/>
      <w:bookmarkEnd w:id="60"/>
      <w:bookmarkEnd w:id="6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sz w:val="24"/>
        </w:rPr>
      </w:pPr>
      <w:bookmarkStart w:id="62" w:name="_Toc279599780"/>
      <w:bookmarkStart w:id="63" w:name="_Toc274249584"/>
      <w:bookmarkStart w:id="64" w:name="_Toc426369489"/>
      <w:bookmarkStart w:id="65" w:name="_Toc403122501"/>
      <w:r>
        <w:rPr>
          <w:rFonts w:hint="eastAsia" w:asciiTheme="minorEastAsia" w:hAnsiTheme="minorEastAsia" w:eastAsiaTheme="minorEastAsia" w:cstheme="minorEastAsia"/>
          <w:b/>
          <w:bCs/>
          <w:sz w:val="24"/>
        </w:rPr>
        <w:t>1.10 投标预备会</w:t>
      </w:r>
      <w:bookmarkEnd w:id="62"/>
      <w:bookmarkEnd w:id="63"/>
      <w:bookmarkEnd w:id="64"/>
      <w:bookmarkEnd w:id="6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1.10.1 本次招标不召开投标预备会。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sz w:val="24"/>
        </w:rPr>
      </w:pPr>
      <w:bookmarkStart w:id="66" w:name="_Toc274249585"/>
      <w:bookmarkStart w:id="67" w:name="_Toc279599781"/>
      <w:bookmarkStart w:id="68" w:name="_Toc403122502"/>
      <w:bookmarkStart w:id="69" w:name="_Toc426369490"/>
      <w:r>
        <w:rPr>
          <w:rFonts w:hint="eastAsia" w:asciiTheme="minorEastAsia" w:hAnsiTheme="minorEastAsia" w:eastAsiaTheme="minorEastAsia" w:cstheme="minorEastAsia"/>
          <w:b/>
          <w:bCs/>
          <w:sz w:val="24"/>
        </w:rPr>
        <w:t>1.11 分包</w:t>
      </w:r>
      <w:bookmarkEnd w:id="66"/>
      <w:bookmarkEnd w:id="67"/>
      <w:bookmarkEnd w:id="68"/>
      <w:bookmarkEnd w:id="6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pPr>
        <w:pStyle w:val="19"/>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70" w:name="_Toc9121"/>
      <w:bookmarkStart w:id="71" w:name="_Toc28663"/>
      <w:r>
        <w:rPr>
          <w:rFonts w:hint="eastAsia" w:asciiTheme="minorEastAsia" w:hAnsiTheme="minorEastAsia" w:eastAsiaTheme="minorEastAsia" w:cstheme="minorEastAsia"/>
          <w:sz w:val="24"/>
          <w:szCs w:val="24"/>
        </w:rPr>
        <w:t>2. 招标文件</w:t>
      </w:r>
      <w:bookmarkEnd w:id="27"/>
      <w:bookmarkEnd w:id="28"/>
      <w:bookmarkEnd w:id="29"/>
      <w:bookmarkEnd w:id="70"/>
      <w:bookmarkEnd w:id="71"/>
    </w:p>
    <w:p>
      <w:pPr>
        <w:spacing w:line="500" w:lineRule="exact"/>
        <w:ind w:firstLine="482" w:firstLineChars="200"/>
        <w:rPr>
          <w:rFonts w:asciiTheme="minorEastAsia" w:hAnsiTheme="minorEastAsia" w:eastAsiaTheme="minorEastAsia" w:cstheme="minorEastAsia"/>
          <w:b/>
          <w:bCs/>
          <w:sz w:val="24"/>
        </w:rPr>
      </w:pPr>
      <w:bookmarkStart w:id="72" w:name="_Toc279599783"/>
      <w:bookmarkStart w:id="73" w:name="_Toc274249587"/>
      <w:bookmarkStart w:id="74" w:name="_Toc426369492"/>
      <w:bookmarkStart w:id="75" w:name="_Toc403122504"/>
      <w:r>
        <w:rPr>
          <w:rFonts w:hint="eastAsia" w:asciiTheme="minorEastAsia" w:hAnsiTheme="minorEastAsia" w:eastAsiaTheme="minorEastAsia" w:cstheme="minorEastAsia"/>
          <w:b/>
          <w:bCs/>
          <w:sz w:val="24"/>
        </w:rPr>
        <w:t>2.1 招标文件的组成</w:t>
      </w:r>
      <w:bookmarkEnd w:id="72"/>
      <w:bookmarkEnd w:id="73"/>
      <w:bookmarkEnd w:id="74"/>
      <w:bookmarkEnd w:id="7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本招标文件包括：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招标公告；</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供应商须知；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评标办法（综合评分法）；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合同条款及格式；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采购需求及参数；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投标文件格式；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sz w:val="24"/>
        </w:rPr>
      </w:pPr>
      <w:bookmarkStart w:id="76" w:name="_Toc274249588"/>
      <w:bookmarkStart w:id="77" w:name="_Toc279599784"/>
      <w:bookmarkStart w:id="78" w:name="_Toc403122505"/>
      <w:bookmarkStart w:id="79" w:name="_Toc426369493"/>
      <w:r>
        <w:rPr>
          <w:rFonts w:hint="eastAsia" w:asciiTheme="minorEastAsia" w:hAnsiTheme="minorEastAsia" w:eastAsiaTheme="minorEastAsia" w:cstheme="minorEastAsia"/>
          <w:b/>
          <w:bCs/>
          <w:sz w:val="24"/>
        </w:rPr>
        <w:t>2.2 招标文件的澄清</w:t>
      </w:r>
      <w:bookmarkEnd w:id="76"/>
      <w:bookmarkEnd w:id="77"/>
      <w:bookmarkEnd w:id="78"/>
      <w:bookmarkEnd w:id="7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sz w:val="24"/>
        </w:rPr>
      </w:pPr>
      <w:bookmarkStart w:id="80" w:name="_Toc279599785"/>
      <w:bookmarkStart w:id="81" w:name="_Toc403122506"/>
      <w:bookmarkStart w:id="82" w:name="_Toc274249589"/>
      <w:bookmarkStart w:id="83" w:name="_Toc426369494"/>
      <w:r>
        <w:rPr>
          <w:rFonts w:hint="eastAsia" w:asciiTheme="minorEastAsia" w:hAnsiTheme="minorEastAsia" w:eastAsiaTheme="minorEastAsia" w:cstheme="minorEastAsia"/>
          <w:b/>
          <w:bCs/>
          <w:sz w:val="24"/>
        </w:rPr>
        <w:t>2.3 招标文件的修改</w:t>
      </w:r>
      <w:bookmarkEnd w:id="80"/>
      <w:bookmarkEnd w:id="81"/>
      <w:bookmarkEnd w:id="82"/>
      <w:bookmarkEnd w:id="8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供应商收到修改内容后，应在供应商须知前附表规定的时间内以书面形式通知采购人，确认已收到该修改。 </w:t>
      </w:r>
      <w:bookmarkStart w:id="84" w:name="_Toc23265"/>
      <w:bookmarkStart w:id="85" w:name="_Toc403122507"/>
      <w:bookmarkStart w:id="86" w:name="_Toc426369495"/>
    </w:p>
    <w:p>
      <w:pPr>
        <w:pStyle w:val="19"/>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87" w:name="_Toc13865"/>
      <w:bookmarkStart w:id="88" w:name="_Toc22914"/>
      <w:r>
        <w:rPr>
          <w:rFonts w:hint="eastAsia" w:asciiTheme="minorEastAsia" w:hAnsiTheme="minorEastAsia" w:eastAsiaTheme="minorEastAsia" w:cstheme="minorEastAsia"/>
          <w:sz w:val="24"/>
          <w:szCs w:val="24"/>
        </w:rPr>
        <w:t>3. 投标文件</w:t>
      </w:r>
      <w:bookmarkEnd w:id="84"/>
      <w:bookmarkEnd w:id="85"/>
      <w:bookmarkEnd w:id="86"/>
      <w:bookmarkEnd w:id="87"/>
      <w:bookmarkEnd w:id="88"/>
    </w:p>
    <w:p>
      <w:pPr>
        <w:spacing w:line="500" w:lineRule="exact"/>
        <w:ind w:firstLine="482" w:firstLineChars="200"/>
        <w:rPr>
          <w:rFonts w:asciiTheme="minorEastAsia" w:hAnsiTheme="minorEastAsia" w:eastAsiaTheme="minorEastAsia" w:cstheme="minorEastAsia"/>
          <w:b/>
          <w:bCs/>
          <w:sz w:val="24"/>
        </w:rPr>
      </w:pPr>
      <w:bookmarkStart w:id="89" w:name="_Toc279599787"/>
      <w:bookmarkStart w:id="90" w:name="_Toc403122508"/>
      <w:bookmarkStart w:id="91" w:name="_Toc274249591"/>
      <w:bookmarkStart w:id="92" w:name="_Toc426369496"/>
      <w:r>
        <w:rPr>
          <w:rFonts w:hint="eastAsia" w:asciiTheme="minorEastAsia" w:hAnsiTheme="minorEastAsia" w:eastAsiaTheme="minorEastAsia" w:cstheme="minorEastAsia"/>
          <w:b/>
          <w:bCs/>
          <w:sz w:val="24"/>
        </w:rPr>
        <w:t>3.1 投标文件的组成</w:t>
      </w:r>
      <w:bookmarkEnd w:id="89"/>
      <w:bookmarkEnd w:id="90"/>
      <w:bookmarkEnd w:id="91"/>
      <w:bookmarkEnd w:id="92"/>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3.1.1 投标文件应包括下列内容： </w:t>
      </w:r>
    </w:p>
    <w:p>
      <w:pPr>
        <w:spacing w:line="440" w:lineRule="exact"/>
        <w:ind w:firstLine="420" w:firstLineChars="200"/>
        <w:rPr>
          <w:rFonts w:ascii="宋体" w:hAnsi="宋体" w:cs="宋体"/>
          <w:szCs w:val="21"/>
        </w:rPr>
      </w:pPr>
      <w:bookmarkStart w:id="93" w:name="_Toc426369497"/>
      <w:bookmarkStart w:id="94" w:name="_Toc403122509"/>
      <w:bookmarkStart w:id="95" w:name="_Toc274249592"/>
      <w:bookmarkStart w:id="96" w:name="_Toc279599788"/>
      <w:r>
        <w:rPr>
          <w:rFonts w:hint="eastAsia" w:ascii="宋体" w:hAnsi="宋体" w:cs="宋体"/>
          <w:szCs w:val="21"/>
        </w:rPr>
        <w:t>一、投标函及开标一览表</w:t>
      </w:r>
    </w:p>
    <w:p>
      <w:pPr>
        <w:spacing w:line="440" w:lineRule="exact"/>
        <w:ind w:firstLine="420" w:firstLineChars="200"/>
        <w:rPr>
          <w:rFonts w:ascii="宋体" w:hAnsi="宋体" w:cs="宋体"/>
          <w:szCs w:val="21"/>
        </w:rPr>
      </w:pPr>
      <w:r>
        <w:rPr>
          <w:rFonts w:hint="eastAsia" w:ascii="宋体" w:hAnsi="宋体" w:cs="宋体"/>
          <w:szCs w:val="21"/>
        </w:rPr>
        <w:t>（一）投标函</w:t>
      </w:r>
    </w:p>
    <w:p>
      <w:pPr>
        <w:spacing w:line="440" w:lineRule="exact"/>
        <w:ind w:firstLine="420" w:firstLineChars="200"/>
        <w:rPr>
          <w:rFonts w:ascii="宋体" w:hAnsi="宋体" w:cs="宋体"/>
          <w:szCs w:val="21"/>
        </w:rPr>
      </w:pPr>
      <w:r>
        <w:rPr>
          <w:rFonts w:hint="eastAsia" w:ascii="宋体" w:hAnsi="宋体" w:cs="宋体"/>
          <w:szCs w:val="21"/>
        </w:rPr>
        <w:t>（二）开标一览表</w:t>
      </w:r>
    </w:p>
    <w:p>
      <w:pPr>
        <w:spacing w:line="440" w:lineRule="exact"/>
        <w:ind w:firstLine="420" w:firstLineChars="200"/>
        <w:rPr>
          <w:rFonts w:ascii="宋体" w:hAnsi="宋体" w:cs="宋体"/>
          <w:szCs w:val="21"/>
        </w:rPr>
      </w:pPr>
      <w:r>
        <w:rPr>
          <w:rFonts w:hint="eastAsia" w:ascii="宋体" w:hAnsi="宋体" w:cs="宋体"/>
          <w:szCs w:val="21"/>
        </w:rPr>
        <w:t>（三）报价明细表</w:t>
      </w:r>
    </w:p>
    <w:p>
      <w:pPr>
        <w:spacing w:line="440" w:lineRule="exact"/>
        <w:ind w:firstLine="420" w:firstLineChars="200"/>
        <w:rPr>
          <w:rFonts w:ascii="宋体" w:hAnsi="宋体" w:cs="宋体"/>
          <w:szCs w:val="21"/>
        </w:rPr>
      </w:pPr>
      <w:r>
        <w:rPr>
          <w:rFonts w:hint="eastAsia" w:ascii="宋体" w:hAnsi="宋体" w:cs="宋体"/>
          <w:szCs w:val="21"/>
        </w:rPr>
        <w:t>二、法定代表人身份证明书</w:t>
      </w:r>
    </w:p>
    <w:p>
      <w:pPr>
        <w:spacing w:line="440" w:lineRule="exact"/>
        <w:ind w:firstLine="420" w:firstLineChars="200"/>
        <w:rPr>
          <w:rFonts w:ascii="宋体" w:hAnsi="宋体" w:cs="宋体"/>
          <w:szCs w:val="21"/>
        </w:rPr>
      </w:pPr>
      <w:r>
        <w:rPr>
          <w:rFonts w:hint="eastAsia" w:ascii="宋体" w:hAnsi="宋体" w:cs="宋体"/>
          <w:szCs w:val="21"/>
        </w:rPr>
        <w:t>三、授权委托书</w:t>
      </w:r>
    </w:p>
    <w:p>
      <w:pPr>
        <w:spacing w:line="440" w:lineRule="exact"/>
        <w:ind w:firstLine="420" w:firstLineChars="200"/>
        <w:rPr>
          <w:rFonts w:ascii="宋体" w:hAnsi="宋体" w:cs="宋体"/>
          <w:szCs w:val="21"/>
        </w:rPr>
      </w:pPr>
      <w:r>
        <w:rPr>
          <w:rFonts w:hint="eastAsia" w:ascii="宋体" w:hAnsi="宋体" w:cs="宋体"/>
          <w:szCs w:val="21"/>
        </w:rPr>
        <w:t>四、项目实施方案等</w:t>
      </w:r>
    </w:p>
    <w:p>
      <w:pPr>
        <w:spacing w:line="440" w:lineRule="exact"/>
        <w:ind w:firstLine="420" w:firstLineChars="200"/>
        <w:rPr>
          <w:rFonts w:ascii="宋体" w:hAnsi="宋体" w:cs="宋体"/>
          <w:szCs w:val="21"/>
        </w:rPr>
      </w:pPr>
      <w:r>
        <w:rPr>
          <w:rFonts w:hint="eastAsia" w:ascii="宋体" w:hAnsi="宋体" w:cs="宋体"/>
          <w:szCs w:val="21"/>
        </w:rPr>
        <w:t>五、政府采购供应商资格信用承诺函；</w:t>
      </w:r>
    </w:p>
    <w:p>
      <w:pPr>
        <w:spacing w:line="440" w:lineRule="exact"/>
        <w:ind w:firstLine="420" w:firstLineChars="200"/>
        <w:rPr>
          <w:rFonts w:ascii="宋体" w:hAnsi="宋体" w:cs="宋体"/>
          <w:szCs w:val="21"/>
        </w:rPr>
      </w:pPr>
      <w:r>
        <w:rPr>
          <w:rFonts w:hint="eastAsia" w:ascii="宋体" w:hAnsi="宋体" w:cs="宋体"/>
          <w:szCs w:val="21"/>
        </w:rPr>
        <w:t>六、供应商服务承诺和优惠承诺</w:t>
      </w:r>
    </w:p>
    <w:p>
      <w:pPr>
        <w:spacing w:line="440" w:lineRule="exact"/>
        <w:ind w:firstLine="420" w:firstLineChars="200"/>
        <w:rPr>
          <w:rFonts w:ascii="宋体" w:hAnsi="宋体" w:cs="宋体"/>
          <w:szCs w:val="21"/>
        </w:rPr>
      </w:pPr>
      <w:r>
        <w:rPr>
          <w:rFonts w:hint="eastAsia" w:ascii="宋体" w:hAnsi="宋体" w:cs="宋体"/>
          <w:szCs w:val="21"/>
        </w:rPr>
        <w:t>七、供应商所投产品属于当期政府采购清单规定的节能环保产品的证明材料；</w:t>
      </w:r>
    </w:p>
    <w:p>
      <w:pPr>
        <w:spacing w:line="440" w:lineRule="exact"/>
        <w:ind w:firstLine="420" w:firstLineChars="200"/>
        <w:rPr>
          <w:rFonts w:ascii="宋体" w:hAnsi="宋体" w:cs="宋体"/>
          <w:szCs w:val="21"/>
        </w:rPr>
      </w:pPr>
      <w:r>
        <w:rPr>
          <w:rFonts w:hint="eastAsia" w:ascii="宋体" w:hAnsi="宋体" w:cs="宋体"/>
          <w:szCs w:val="21"/>
        </w:rPr>
        <w:t>八、中小企业声明函（如为中小企业）；</w:t>
      </w:r>
    </w:p>
    <w:p>
      <w:pPr>
        <w:spacing w:line="440" w:lineRule="exact"/>
        <w:ind w:firstLine="420" w:firstLineChars="200"/>
        <w:rPr>
          <w:rFonts w:ascii="宋体" w:hAnsi="宋体" w:cs="宋体"/>
          <w:szCs w:val="21"/>
        </w:rPr>
      </w:pPr>
      <w:r>
        <w:rPr>
          <w:rFonts w:hint="eastAsia" w:ascii="宋体" w:hAnsi="宋体" w:cs="宋体"/>
          <w:szCs w:val="21"/>
        </w:rPr>
        <w:t>九、残疾人福利性单位声明函（如有）；</w:t>
      </w:r>
    </w:p>
    <w:p>
      <w:pPr>
        <w:spacing w:line="440" w:lineRule="exact"/>
        <w:ind w:firstLine="420" w:firstLineChars="200"/>
        <w:rPr>
          <w:rFonts w:ascii="宋体" w:hAnsi="宋体" w:cs="宋体"/>
          <w:szCs w:val="21"/>
        </w:rPr>
      </w:pPr>
      <w:r>
        <w:rPr>
          <w:rFonts w:hint="eastAsia" w:ascii="宋体" w:hAnsi="宋体" w:cs="宋体"/>
          <w:szCs w:val="21"/>
        </w:rPr>
        <w:t>十、招标文件要求的或投标人认为需要加以说明的其他内容。</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注：1、符合《政府采购法》第二十二条规定的资格条件，按照采购文件约定提供资格承诺，不再提供资质资料，主要包括投标人在响应文件中无需再提供营业执照、财务状况报告、依法缴纳税收和社会保障资金、具有履行合同所必须的设备和专业技术能力、参加政府采购活动前三年内在经营活动中没有重大违法记录相关证明材料。</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2、投标人应当遵循诚实信用原则，不得作虚假承诺。投标人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93"/>
      <w:bookmarkEnd w:id="94"/>
      <w:bookmarkEnd w:id="95"/>
      <w:bookmarkEnd w:id="96"/>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3.2.1投标报价包括：供应商的投标报价应包括货物本身的费用、包装费、运输费、装卸费、运输过程保险费、安装费</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、质量保证费、相关的伴随服务费、货物本身已支付或将支付的各种税费以及其它交付使用前的所有费用。投标价不是唯一的或不是固定不变的响应文件将被作为非响应性投标而予以拒绝。</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3.2.2投标报价在中标后不得修改。</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sz w:val="24"/>
        </w:rPr>
      </w:pPr>
      <w:bookmarkStart w:id="97" w:name="_Toc279599789"/>
      <w:bookmarkStart w:id="98" w:name="_Toc403122510"/>
      <w:bookmarkStart w:id="99" w:name="_Toc426369498"/>
      <w:bookmarkStart w:id="100" w:name="_Toc274249593"/>
      <w:r>
        <w:rPr>
          <w:rFonts w:hint="eastAsia" w:asciiTheme="minorEastAsia" w:hAnsiTheme="minorEastAsia" w:eastAsiaTheme="minorEastAsia" w:cstheme="minorEastAsia"/>
          <w:b/>
          <w:bCs/>
          <w:sz w:val="24"/>
        </w:rPr>
        <w:t>3.3 投标有效期</w:t>
      </w:r>
      <w:bookmarkEnd w:id="97"/>
      <w:bookmarkEnd w:id="98"/>
      <w:bookmarkEnd w:id="99"/>
      <w:bookmarkEnd w:id="100"/>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sz w:val="24"/>
        </w:rPr>
      </w:pPr>
      <w:bookmarkStart w:id="101" w:name="_Toc274249595"/>
      <w:bookmarkStart w:id="102" w:name="_Toc403122512"/>
      <w:bookmarkStart w:id="103" w:name="_Toc426369501"/>
      <w:bookmarkStart w:id="104" w:name="_Toc279599791"/>
      <w:r>
        <w:rPr>
          <w:rFonts w:hint="eastAsia" w:asciiTheme="minorEastAsia" w:hAnsiTheme="minorEastAsia" w:eastAsiaTheme="minorEastAsia" w:cstheme="minorEastAsia"/>
          <w:b/>
          <w:bCs/>
          <w:sz w:val="24"/>
        </w:rPr>
        <w:t>3.5 资格审查资料</w:t>
      </w:r>
      <w:bookmarkEnd w:id="101"/>
      <w:bookmarkEnd w:id="102"/>
      <w:bookmarkEnd w:id="103"/>
      <w:bookmarkEnd w:id="104"/>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3.5.1</w:t>
      </w:r>
      <w:r>
        <w:rPr>
          <w:rFonts w:hint="eastAsia" w:ascii="宋体" w:hAnsi="宋体" w:cs="宋体"/>
          <w:kern w:val="0"/>
          <w:szCs w:val="21"/>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宋体" w:hAnsi="宋体" w:cs="宋体"/>
          <w:szCs w:val="21"/>
        </w:rPr>
        <w:t>3.5.2招标文件规定的供应商资格条件。</w:t>
      </w:r>
    </w:p>
    <w:p>
      <w:pPr>
        <w:spacing w:line="500" w:lineRule="exact"/>
        <w:ind w:firstLine="482" w:firstLineChars="200"/>
        <w:rPr>
          <w:rFonts w:asciiTheme="minorEastAsia" w:hAnsiTheme="minorEastAsia" w:eastAsiaTheme="minorEastAsia" w:cstheme="minorEastAsia"/>
          <w:b/>
          <w:bCs/>
          <w:sz w:val="24"/>
        </w:rPr>
      </w:pPr>
      <w:bookmarkStart w:id="105" w:name="_Toc426369502"/>
      <w:bookmarkStart w:id="106" w:name="_Toc279599792"/>
      <w:bookmarkStart w:id="107" w:name="_Toc403122513"/>
      <w:bookmarkStart w:id="108" w:name="_Toc274249596"/>
      <w:r>
        <w:rPr>
          <w:rFonts w:hint="eastAsia" w:asciiTheme="minorEastAsia" w:hAnsiTheme="minorEastAsia" w:eastAsiaTheme="minorEastAsia" w:cstheme="minorEastAsia"/>
          <w:b/>
          <w:bCs/>
          <w:sz w:val="24"/>
        </w:rPr>
        <w:t>3.6 备选投标方案</w:t>
      </w:r>
      <w:bookmarkEnd w:id="105"/>
      <w:bookmarkEnd w:id="106"/>
      <w:bookmarkEnd w:id="107"/>
      <w:bookmarkEnd w:id="108"/>
    </w:p>
    <w:p>
      <w:pPr>
        <w:tabs>
          <w:tab w:val="left" w:pos="3570"/>
        </w:tabs>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供应商不得递交备选投标方案。 </w:t>
      </w:r>
    </w:p>
    <w:p>
      <w:pPr>
        <w:spacing w:line="500" w:lineRule="exact"/>
        <w:ind w:firstLine="482" w:firstLineChars="200"/>
        <w:rPr>
          <w:rFonts w:asciiTheme="minorEastAsia" w:hAnsiTheme="minorEastAsia" w:eastAsiaTheme="minorEastAsia" w:cstheme="minorEastAsia"/>
          <w:b/>
          <w:bCs/>
          <w:sz w:val="24"/>
        </w:rPr>
      </w:pPr>
      <w:bookmarkStart w:id="109" w:name="_Toc279599793"/>
      <w:bookmarkStart w:id="110" w:name="_Toc403122514"/>
      <w:bookmarkStart w:id="111" w:name="_Toc274249597"/>
      <w:bookmarkStart w:id="112" w:name="_Toc426369503"/>
      <w:r>
        <w:rPr>
          <w:rFonts w:hint="eastAsia" w:asciiTheme="minorEastAsia" w:hAnsiTheme="minorEastAsia" w:eastAsiaTheme="minorEastAsia" w:cstheme="minorEastAsia"/>
          <w:b/>
          <w:bCs/>
          <w:sz w:val="24"/>
        </w:rPr>
        <w:t>3.7 投标文件的编制</w:t>
      </w:r>
      <w:bookmarkEnd w:id="109"/>
      <w:bookmarkEnd w:id="110"/>
      <w:bookmarkEnd w:id="111"/>
      <w:bookmarkEnd w:id="11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3.7.1 投标文件应按招标文件中要求</w:t>
      </w:r>
      <w:r>
        <w:rPr>
          <w:rFonts w:hint="eastAsia" w:ascii="宋体" w:hAnsi="宋体" w:cs="宋体"/>
          <w:kern w:val="0"/>
          <w:szCs w:val="21"/>
        </w:rPr>
        <w:t>使用焦作市公共资源交易系统投标文件制作专用工具软件编制</w:t>
      </w:r>
      <w:r>
        <w:rPr>
          <w:rFonts w:hint="eastAsia" w:asciiTheme="minorEastAsia" w:hAnsiTheme="minorEastAsia" w:eastAsiaTheme="minorEastAsia" w:cstheme="minorEastAsia"/>
          <w:szCs w:val="21"/>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3.7.2  投标文件应当对招标文件有关供货安装期、投标有效期、质量标准、采购要求及服务内容、等实质性内容作出响应。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3.7.3 </w:t>
      </w:r>
      <w:r>
        <w:rPr>
          <w:rFonts w:hint="eastAsia" w:ascii="宋体" w:hAnsi="宋体" w:cs="宋体"/>
          <w:kern w:val="0"/>
          <w:szCs w:val="21"/>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pPr>
        <w:pStyle w:val="19"/>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113" w:name="_Toc31809"/>
      <w:bookmarkStart w:id="114" w:name="_Toc403122515"/>
      <w:bookmarkStart w:id="115" w:name="_Toc426369504"/>
      <w:bookmarkStart w:id="116" w:name="_Toc30100"/>
      <w:bookmarkStart w:id="117" w:name="_Toc26998"/>
      <w:r>
        <w:rPr>
          <w:rFonts w:hint="eastAsia" w:asciiTheme="minorEastAsia" w:hAnsiTheme="minorEastAsia" w:eastAsiaTheme="minorEastAsia" w:cstheme="minorEastAsia"/>
          <w:sz w:val="24"/>
          <w:szCs w:val="24"/>
        </w:rPr>
        <w:t>4. 投标</w:t>
      </w:r>
      <w:bookmarkEnd w:id="113"/>
      <w:bookmarkEnd w:id="114"/>
      <w:bookmarkEnd w:id="115"/>
      <w:bookmarkEnd w:id="116"/>
      <w:bookmarkEnd w:id="117"/>
    </w:p>
    <w:p>
      <w:pPr>
        <w:spacing w:line="500" w:lineRule="exact"/>
        <w:ind w:firstLine="482" w:firstLineChars="200"/>
        <w:rPr>
          <w:rFonts w:asciiTheme="minorEastAsia" w:hAnsiTheme="minorEastAsia" w:eastAsiaTheme="minorEastAsia" w:cstheme="minorEastAsia"/>
          <w:b/>
          <w:bCs/>
          <w:sz w:val="24"/>
        </w:rPr>
      </w:pPr>
      <w:bookmarkStart w:id="118" w:name="_Toc274249599"/>
      <w:bookmarkStart w:id="119" w:name="_Toc279599795"/>
      <w:bookmarkStart w:id="120" w:name="_Toc403122516"/>
      <w:bookmarkStart w:id="121" w:name="_Toc426369505"/>
      <w:r>
        <w:rPr>
          <w:rFonts w:hint="eastAsia" w:asciiTheme="minorEastAsia" w:hAnsiTheme="minorEastAsia" w:eastAsiaTheme="minorEastAsia" w:cstheme="minorEastAsia"/>
          <w:b/>
          <w:bCs/>
          <w:sz w:val="24"/>
        </w:rPr>
        <w:t>4.1 投标文件的密封和标记</w:t>
      </w:r>
      <w:bookmarkEnd w:id="118"/>
      <w:bookmarkEnd w:id="119"/>
      <w:bookmarkEnd w:id="120"/>
      <w:bookmarkEnd w:id="121"/>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rPr>
        <w:t>4.1.1.本项目采用</w:t>
      </w:r>
      <w:r>
        <w:rPr>
          <w:rFonts w:hint="eastAsia" w:ascii="宋体" w:hAnsi="宋体" w:cs="宋体"/>
          <w:kern w:val="0"/>
          <w:szCs w:val="21"/>
          <w:lang w:val="zh-CN"/>
        </w:rPr>
        <w:t>网上上传的电子投标文件</w:t>
      </w:r>
      <w:r>
        <w:rPr>
          <w:rFonts w:hint="eastAsia" w:ascii="宋体" w:hAnsi="宋体" w:cs="宋体"/>
          <w:kern w:val="0"/>
          <w:szCs w:val="21"/>
        </w:rPr>
        <w:t>,</w:t>
      </w:r>
      <w:r>
        <w:rPr>
          <w:rFonts w:hint="eastAsia" w:ascii="宋体" w:hAnsi="宋体" w:cs="宋体"/>
          <w:kern w:val="0"/>
          <w:szCs w:val="21"/>
          <w:lang w:val="zh-CN"/>
        </w:rPr>
        <w:t>应使用数字证书认证并加密。</w:t>
      </w:r>
    </w:p>
    <w:p>
      <w:pPr>
        <w:spacing w:line="500" w:lineRule="exact"/>
        <w:ind w:firstLine="482" w:firstLineChars="200"/>
        <w:rPr>
          <w:rFonts w:asciiTheme="minorEastAsia" w:hAnsiTheme="minorEastAsia" w:eastAsiaTheme="minorEastAsia" w:cstheme="minorEastAsia"/>
          <w:b/>
          <w:bCs/>
          <w:sz w:val="24"/>
        </w:rPr>
      </w:pPr>
      <w:bookmarkStart w:id="122" w:name="_Toc274249600"/>
      <w:bookmarkStart w:id="123" w:name="_Toc279599796"/>
      <w:bookmarkStart w:id="124" w:name="_Toc426369506"/>
      <w:bookmarkStart w:id="125" w:name="_Toc403122517"/>
      <w:r>
        <w:rPr>
          <w:rFonts w:hint="eastAsia" w:asciiTheme="minorEastAsia" w:hAnsiTheme="minorEastAsia" w:eastAsiaTheme="minorEastAsia" w:cstheme="minorEastAsia"/>
          <w:b/>
          <w:bCs/>
          <w:sz w:val="24"/>
        </w:rPr>
        <w:t>4.2 投标文件的递交</w:t>
      </w:r>
      <w:bookmarkEnd w:id="122"/>
      <w:bookmarkEnd w:id="123"/>
      <w:bookmarkEnd w:id="124"/>
      <w:bookmarkEnd w:id="125"/>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4.2.1</w:t>
      </w:r>
      <w:r>
        <w:rPr>
          <w:rFonts w:hint="eastAsia" w:ascii="宋体" w:hAnsi="宋体" w:cs="宋体"/>
          <w:kern w:val="0"/>
          <w:szCs w:val="21"/>
          <w:lang w:val="zh-CN"/>
        </w:rPr>
        <w:t>所有投标文件必须在本招标文件中规定的投标截止时间之前</w:t>
      </w:r>
      <w:r>
        <w:rPr>
          <w:rFonts w:hint="eastAsia" w:ascii="宋体" w:hAnsi="宋体" w:cs="宋体"/>
          <w:kern w:val="0"/>
          <w:szCs w:val="21"/>
        </w:rPr>
        <w:t>提前上传，按要求</w:t>
      </w:r>
      <w:r>
        <w:rPr>
          <w:rFonts w:hint="eastAsia" w:ascii="宋体" w:hAnsi="宋体"/>
          <w:szCs w:val="21"/>
        </w:rPr>
        <w:t>在线签到、解密文件等，解密时间为投标截止时后30分钟内，</w:t>
      </w:r>
      <w:r>
        <w:rPr>
          <w:rFonts w:hint="eastAsia" w:ascii="宋体" w:hAnsi="宋体" w:cs="宋体"/>
          <w:kern w:val="0"/>
          <w:szCs w:val="21"/>
        </w:rPr>
        <w:t>不能按时上传、解密者视为自动放弃投标。</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rPr>
        <w:t>4.2.</w:t>
      </w:r>
      <w:r>
        <w:rPr>
          <w:rFonts w:hint="eastAsia" w:ascii="宋体" w:hAnsi="宋体" w:cs="宋体"/>
          <w:kern w:val="0"/>
          <w:szCs w:val="21"/>
          <w:lang w:val="zh-CN"/>
        </w:rPr>
        <w:t>2.采购人拒绝接收在投标文件递交截止时间后上传的投标文件。</w:t>
      </w:r>
      <w:bookmarkStart w:id="126" w:name="_Hlt26954754"/>
      <w:bookmarkEnd w:id="126"/>
      <w:bookmarkStart w:id="127" w:name="_Hlt26954862"/>
      <w:bookmarkEnd w:id="127"/>
    </w:p>
    <w:p>
      <w:pPr>
        <w:spacing w:line="500" w:lineRule="exact"/>
        <w:ind w:firstLine="482" w:firstLineChars="200"/>
        <w:rPr>
          <w:rFonts w:asciiTheme="minorEastAsia" w:hAnsiTheme="minorEastAsia" w:eastAsiaTheme="minorEastAsia" w:cstheme="minorEastAsia"/>
          <w:b/>
          <w:bCs/>
          <w:sz w:val="24"/>
        </w:rPr>
      </w:pPr>
      <w:bookmarkStart w:id="128" w:name="_Toc426369507"/>
      <w:bookmarkStart w:id="129" w:name="_Toc274249601"/>
      <w:bookmarkStart w:id="130" w:name="_Toc403122518"/>
      <w:bookmarkStart w:id="131" w:name="_Toc279599797"/>
      <w:r>
        <w:rPr>
          <w:rFonts w:hint="eastAsia" w:asciiTheme="minorEastAsia" w:hAnsiTheme="minorEastAsia" w:eastAsiaTheme="minorEastAsia" w:cstheme="minorEastAsia"/>
          <w:b/>
          <w:bCs/>
          <w:sz w:val="24"/>
        </w:rPr>
        <w:t>4.3 投标文件的修改与撤回</w:t>
      </w:r>
      <w:bookmarkEnd w:id="128"/>
      <w:bookmarkEnd w:id="129"/>
      <w:bookmarkEnd w:id="130"/>
      <w:bookmarkEnd w:id="13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pPr>
        <w:pStyle w:val="19"/>
        <w:spacing w:before="120" w:after="120" w:line="500" w:lineRule="exact"/>
        <w:ind w:right="-1029" w:rightChars="-490" w:firstLine="482" w:firstLineChars="200"/>
        <w:jc w:val="left"/>
        <w:outlineLvl w:val="1"/>
        <w:rPr>
          <w:rFonts w:asciiTheme="minorEastAsia" w:hAnsiTheme="minorEastAsia" w:eastAsiaTheme="minorEastAsia" w:cstheme="minorEastAsia"/>
          <w:sz w:val="24"/>
          <w:szCs w:val="24"/>
        </w:rPr>
      </w:pPr>
      <w:bookmarkStart w:id="132" w:name="_Toc426369508"/>
      <w:bookmarkStart w:id="133" w:name="_Toc5457"/>
      <w:bookmarkStart w:id="134" w:name="_Toc18170"/>
      <w:bookmarkStart w:id="135" w:name="_Toc403122519"/>
      <w:bookmarkStart w:id="136" w:name="_Toc32449"/>
      <w:r>
        <w:rPr>
          <w:rFonts w:hint="eastAsia" w:asciiTheme="minorEastAsia" w:hAnsiTheme="minorEastAsia" w:eastAsiaTheme="minorEastAsia" w:cstheme="minorEastAsia"/>
          <w:sz w:val="24"/>
          <w:szCs w:val="24"/>
        </w:rPr>
        <w:t>5. 开标</w:t>
      </w:r>
      <w:bookmarkEnd w:id="132"/>
      <w:bookmarkEnd w:id="133"/>
      <w:bookmarkEnd w:id="134"/>
      <w:bookmarkEnd w:id="135"/>
      <w:bookmarkEnd w:id="13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所有投标文件必须在本招标文件中规定的投标截止时间之前提前上传投标文件，按要求解密投标文件，不能按时上传、解密者视为自动放弃投标。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5.1.2投标人不足3家的，不得开标。  </w:t>
      </w:r>
    </w:p>
    <w:p>
      <w:pPr>
        <w:spacing w:line="500" w:lineRule="exact"/>
        <w:ind w:firstLine="482" w:firstLineChars="200"/>
        <w:rPr>
          <w:rFonts w:asciiTheme="minorEastAsia" w:hAnsiTheme="minorEastAsia" w:eastAsiaTheme="minorEastAsia" w:cstheme="minorEastAsia"/>
          <w:b/>
          <w:bCs/>
          <w:sz w:val="24"/>
        </w:rPr>
      </w:pPr>
      <w:bookmarkStart w:id="137" w:name="_Toc279599799"/>
      <w:bookmarkStart w:id="138" w:name="_Toc426369509"/>
      <w:bookmarkStart w:id="139" w:name="_Toc274249603"/>
      <w:bookmarkStart w:id="140" w:name="_Toc403122520"/>
      <w:r>
        <w:rPr>
          <w:rFonts w:hint="eastAsia" w:asciiTheme="minorEastAsia" w:hAnsiTheme="minorEastAsia" w:eastAsiaTheme="minorEastAsia" w:cstheme="minorEastAsia"/>
          <w:b/>
          <w:bCs/>
          <w:sz w:val="24"/>
        </w:rPr>
        <w:t>5.2 开标时间和地点</w:t>
      </w:r>
      <w:bookmarkEnd w:id="137"/>
      <w:bookmarkEnd w:id="138"/>
      <w:bookmarkEnd w:id="139"/>
      <w:bookmarkEnd w:id="140"/>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sz w:val="24"/>
        </w:rPr>
      </w:pPr>
      <w:bookmarkStart w:id="141" w:name="_Toc279599800"/>
      <w:bookmarkStart w:id="142" w:name="_Toc403122521"/>
      <w:bookmarkStart w:id="143" w:name="_Toc274249604"/>
      <w:bookmarkStart w:id="144" w:name="_Toc426369510"/>
      <w:r>
        <w:rPr>
          <w:rFonts w:hint="eastAsia" w:asciiTheme="minorEastAsia" w:hAnsiTheme="minorEastAsia" w:eastAsiaTheme="minorEastAsia" w:cstheme="minorEastAsia"/>
          <w:b/>
          <w:bCs/>
          <w:sz w:val="24"/>
        </w:rPr>
        <w:t>5.3开标程序</w:t>
      </w:r>
      <w:bookmarkEnd w:id="141"/>
      <w:bookmarkEnd w:id="142"/>
      <w:bookmarkEnd w:id="143"/>
      <w:bookmarkEnd w:id="144"/>
    </w:p>
    <w:p>
      <w:pPr>
        <w:spacing w:line="400" w:lineRule="exact"/>
        <w:ind w:firstLine="420" w:firstLineChars="200"/>
        <w:rPr>
          <w:rFonts w:asciiTheme="minorEastAsia" w:hAnsiTheme="minorEastAsia" w:eastAsiaTheme="minorEastAsia" w:cstheme="minorEastAsia"/>
          <w:szCs w:val="21"/>
          <w:lang w:val="zh-CN"/>
        </w:rPr>
      </w:pPr>
      <w:bookmarkStart w:id="145" w:name="_Toc426369511"/>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lang w:val="zh-CN"/>
        </w:rPr>
        <w:t>.1本</w:t>
      </w: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主持人按下列程序进行开标：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）宣布开标人、唱标人、记录人、监标人等有关人员姓名；</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）电子投标文件解密；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）宣布投标文件开标顺序，电子唱标并记录在案；</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）投标人代表、采购人、监标人等有关人员在开标记录上签字确认；</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）开标结束。</w:t>
      </w:r>
    </w:p>
    <w:p>
      <w:pPr>
        <w:spacing w:line="400" w:lineRule="exact"/>
        <w:ind w:firstLine="630" w:firstLineChars="3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5.3.</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开标时出现下列情况的，采购人将拒绝其投标文件。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（1）经检查数字证书无效的投标文件；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（2）投标人未按投标人须知前附表规定的时间内解密投标文件的；</w:t>
      </w: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5.4开标异议</w:t>
      </w:r>
      <w:bookmarkEnd w:id="145"/>
    </w:p>
    <w:p>
      <w:pPr>
        <w:spacing w:line="400" w:lineRule="exact"/>
        <w:ind w:firstLine="420" w:firstLineChars="200"/>
        <w:rPr>
          <w:rFonts w:asciiTheme="minorEastAsia" w:hAnsiTheme="minorEastAsia" w:eastAsiaTheme="minorEastAsia" w:cstheme="minorEastAsia"/>
          <w:szCs w:val="21"/>
          <w:lang w:val="zh-CN"/>
        </w:rPr>
      </w:pPr>
      <w:bookmarkStart w:id="146" w:name="_Toc21662"/>
      <w:bookmarkStart w:id="147" w:name="_Toc426369512"/>
      <w:bookmarkStart w:id="148" w:name="_Toc403122522"/>
      <w:bookmarkStart w:id="149" w:name="_Toc12881"/>
      <w:r>
        <w:rPr>
          <w:rFonts w:hint="eastAsia" w:asciiTheme="minorEastAsia" w:hAnsiTheme="minorEastAsia" w:eastAsiaTheme="minorEastAsia" w:cstheme="minorEastAsia"/>
          <w:szCs w:val="21"/>
        </w:rPr>
        <w:t>5.4.1</w:t>
      </w:r>
      <w:r>
        <w:rPr>
          <w:rFonts w:hint="eastAsia" w:asciiTheme="minorEastAsia" w:hAnsiTheme="minorEastAsia" w:eastAsiaTheme="minorEastAsia" w:cstheme="minorEastAsia"/>
          <w:szCs w:val="21"/>
          <w:lang w:val="zh-CN"/>
        </w:rPr>
        <w:t>投标人对开标有异议的，应当在开标现场提出（</w:t>
      </w:r>
      <w:bookmarkStart w:id="150" w:name="_Toc12998"/>
      <w:r>
        <w:rPr>
          <w:rFonts w:hint="eastAsia" w:asciiTheme="minorEastAsia" w:hAnsiTheme="minorEastAsia" w:eastAsiaTheme="minorEastAsia" w:cstheme="minorEastAsia"/>
          <w:szCs w:val="21"/>
          <w:lang w:val="zh-CN"/>
        </w:rPr>
        <w:t>语音异议</w:t>
      </w:r>
      <w:bookmarkEnd w:id="150"/>
      <w:r>
        <w:rPr>
          <w:rFonts w:hint="eastAsia" w:asciiTheme="minorEastAsia" w:hAnsiTheme="minorEastAsia" w:eastAsiaTheme="minorEastAsia" w:cstheme="minorEastAsia"/>
          <w:szCs w:val="21"/>
          <w:lang w:val="zh-CN"/>
        </w:rPr>
        <w:t>、</w:t>
      </w:r>
      <w:bookmarkStart w:id="151" w:name="_Toc20745"/>
      <w:r>
        <w:rPr>
          <w:rFonts w:hint="eastAsia" w:asciiTheme="minorEastAsia" w:hAnsiTheme="minorEastAsia" w:eastAsiaTheme="minorEastAsia" w:cstheme="minorEastAsia"/>
          <w:szCs w:val="21"/>
          <w:lang w:val="zh-CN"/>
        </w:rPr>
        <w:t>文字异议</w:t>
      </w:r>
      <w:bookmarkEnd w:id="151"/>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采购</w:t>
      </w:r>
      <w:r>
        <w:rPr>
          <w:rFonts w:hint="eastAsia" w:asciiTheme="minorEastAsia" w:hAnsiTheme="minorEastAsia" w:eastAsiaTheme="minorEastAsia" w:cstheme="minorEastAsia"/>
          <w:szCs w:val="21"/>
          <w:lang w:val="zh-CN"/>
        </w:rPr>
        <w:t>人当场作出答复，并制作记录。</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5.4.2</w:t>
      </w:r>
      <w:r>
        <w:rPr>
          <w:rFonts w:hint="eastAsia" w:asciiTheme="minorEastAsia" w:hAnsiTheme="minorEastAsia" w:eastAsiaTheme="minorEastAsia" w:cstheme="minorEastAsia"/>
          <w:szCs w:val="21"/>
          <w:lang w:val="zh-CN"/>
        </w:rPr>
        <w:t>开标异常处理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当出现以下情况时，应对未开标的项目中止电子开标，对原有资料及信息作出妥善保密处理，并在恢复正常后及时安排时间开标：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(l）系统服务器发生故障，无法访问或无法使用系统；</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lang w:val="zh-CN"/>
        </w:rPr>
        <w:t>系统的软件或数据库出现错误，不能进行正常操作；</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）系统发现有安全漏洞，有潜在的泄密危险；</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）出现断电事故且短时间内无法恢复供电；</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lang w:val="zh-CN"/>
        </w:rPr>
        <w:t>其他无法保证招投标过程正常进行的情形；</w:t>
      </w: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bookmarkStart w:id="152" w:name="_Toc13445"/>
      <w:bookmarkStart w:id="153" w:name="_Toc9927"/>
      <w:r>
        <w:rPr>
          <w:rFonts w:hint="eastAsia" w:asciiTheme="minorEastAsia" w:hAnsiTheme="minorEastAsia" w:eastAsiaTheme="minorEastAsia" w:cstheme="minorEastAsia"/>
          <w:b/>
          <w:bCs/>
          <w:szCs w:val="21"/>
        </w:rPr>
        <w:t>5.资格审查工作</w:t>
      </w:r>
      <w:bookmarkEnd w:id="152"/>
      <w:bookmarkEnd w:id="153"/>
    </w:p>
    <w:p>
      <w:pPr>
        <w:spacing w:line="400" w:lineRule="exact"/>
        <w:ind w:firstLine="420" w:firstLineChars="200"/>
        <w:rPr>
          <w:rFonts w:asciiTheme="minorEastAsia" w:hAnsiTheme="minorEastAsia" w:eastAsiaTheme="minorEastAsia" w:cstheme="minorEastAsia"/>
          <w:szCs w:val="21"/>
        </w:rPr>
      </w:pPr>
      <w:bookmarkStart w:id="154" w:name="_Toc15919"/>
      <w:bookmarkStart w:id="155" w:name="_Toc25275"/>
      <w:bookmarkStart w:id="156" w:name="_Toc25448"/>
      <w:bookmarkStart w:id="157" w:name="_Toc18806"/>
      <w:bookmarkStart w:id="158" w:name="_Toc18803"/>
      <w:bookmarkStart w:id="159" w:name="_Toc22488"/>
      <w:bookmarkStart w:id="160" w:name="_Toc18888"/>
      <w:r>
        <w:rPr>
          <w:rFonts w:hint="eastAsia" w:asciiTheme="minorEastAsia" w:hAnsiTheme="minorEastAsia" w:eastAsiaTheme="minorEastAsia" w:cstheme="minorEastAsia"/>
          <w:szCs w:val="21"/>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54"/>
      <w:bookmarkEnd w:id="155"/>
      <w:bookmarkEnd w:id="156"/>
      <w:bookmarkEnd w:id="157"/>
      <w:bookmarkEnd w:id="158"/>
      <w:bookmarkEnd w:id="159"/>
      <w:bookmarkEnd w:id="160"/>
    </w:p>
    <w:p>
      <w:pPr>
        <w:pStyle w:val="19"/>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161" w:name="_Toc6889"/>
      <w:r>
        <w:rPr>
          <w:rFonts w:hint="eastAsia" w:asciiTheme="minorEastAsia" w:hAnsiTheme="minorEastAsia" w:eastAsiaTheme="minorEastAsia" w:cstheme="minorEastAsia"/>
          <w:sz w:val="24"/>
          <w:szCs w:val="24"/>
        </w:rPr>
        <w:t>6. 评标</w:t>
      </w:r>
      <w:bookmarkEnd w:id="146"/>
      <w:bookmarkEnd w:id="147"/>
      <w:bookmarkEnd w:id="148"/>
      <w:bookmarkEnd w:id="149"/>
      <w:bookmarkEnd w:id="161"/>
    </w:p>
    <w:p>
      <w:pPr>
        <w:spacing w:line="500" w:lineRule="exact"/>
        <w:ind w:firstLine="482" w:firstLineChars="200"/>
        <w:rPr>
          <w:rFonts w:asciiTheme="minorEastAsia" w:hAnsiTheme="minorEastAsia" w:eastAsiaTheme="minorEastAsia" w:cstheme="minorEastAsia"/>
          <w:b/>
          <w:bCs/>
          <w:sz w:val="24"/>
        </w:rPr>
      </w:pPr>
      <w:bookmarkStart w:id="162" w:name="_Toc426369513"/>
      <w:bookmarkStart w:id="163" w:name="_Toc279599802"/>
      <w:bookmarkStart w:id="164" w:name="_Toc274249606"/>
      <w:bookmarkStart w:id="165" w:name="_Toc403122523"/>
      <w:r>
        <w:rPr>
          <w:rFonts w:hint="eastAsia" w:asciiTheme="minorEastAsia" w:hAnsiTheme="minorEastAsia" w:eastAsiaTheme="minorEastAsia" w:cstheme="minorEastAsia"/>
          <w:b/>
          <w:bCs/>
          <w:sz w:val="24"/>
        </w:rPr>
        <w:t>6.1 评标委员会</w:t>
      </w:r>
      <w:bookmarkEnd w:id="162"/>
      <w:bookmarkEnd w:id="163"/>
      <w:bookmarkEnd w:id="164"/>
      <w:bookmarkEnd w:id="16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sz w:val="24"/>
        </w:rPr>
      </w:pPr>
      <w:bookmarkStart w:id="166" w:name="_Toc279599803"/>
      <w:bookmarkStart w:id="167" w:name="_Toc274249607"/>
      <w:bookmarkStart w:id="168" w:name="_Toc403122524"/>
      <w:bookmarkStart w:id="169" w:name="_Toc426369514"/>
      <w:r>
        <w:rPr>
          <w:rFonts w:hint="eastAsia" w:asciiTheme="minorEastAsia" w:hAnsiTheme="minorEastAsia" w:eastAsiaTheme="minorEastAsia" w:cstheme="minorEastAsia"/>
          <w:b/>
          <w:bCs/>
          <w:sz w:val="24"/>
        </w:rPr>
        <w:t>6.2 评标原则</w:t>
      </w:r>
      <w:bookmarkEnd w:id="166"/>
      <w:bookmarkEnd w:id="167"/>
      <w:bookmarkEnd w:id="168"/>
      <w:bookmarkEnd w:id="16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pPr>
        <w:spacing w:line="400" w:lineRule="exact"/>
        <w:ind w:firstLine="482" w:firstLineChars="200"/>
        <w:rPr>
          <w:rFonts w:asciiTheme="minorEastAsia" w:hAnsiTheme="minorEastAsia" w:eastAsiaTheme="minorEastAsia" w:cstheme="minorEastAsia"/>
          <w:szCs w:val="21"/>
        </w:rPr>
      </w:pPr>
      <w:bookmarkStart w:id="170" w:name="_Toc403122525"/>
      <w:bookmarkStart w:id="171" w:name="_Toc274249608"/>
      <w:bookmarkStart w:id="172" w:name="_Toc279599804"/>
      <w:bookmarkStart w:id="173" w:name="_Toc426369515"/>
      <w:r>
        <w:rPr>
          <w:rFonts w:hint="eastAsia" w:asciiTheme="minorEastAsia" w:hAnsiTheme="minorEastAsia" w:eastAsiaTheme="minorEastAsia" w:cstheme="minorEastAsia"/>
          <w:b/>
          <w:bCs/>
          <w:sz w:val="24"/>
        </w:rPr>
        <w:t>6.3 评标</w:t>
      </w:r>
      <w:bookmarkEnd w:id="170"/>
      <w:bookmarkEnd w:id="171"/>
      <w:bookmarkEnd w:id="172"/>
      <w:bookmarkEnd w:id="173"/>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6.3.1在评审过程中，评标委员会发现投标人有下列情形之一的，视为投标人相互串通投标，按照无效投标处理并依据法律、法规追究其相关责任。具体表现形式如下：</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同投标人的投标文件由同一单位或者个人编制；</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（2）不同投标人委托同一单位或者个人办理投标事宜；</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（3）不同投标人的投标文件载明的项目管理成员或者联系人员为同一人；</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（4）不同投标人的投标文件异常一致或者投标报价呈规律性差异；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（5）不同投标人的投标文件相互混装；</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（6）有证据证明投标人与采购人、采购代理机构或者其他投标人串通的其他情形；</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6.3.2评标委员会应当按照招标文件中规定的评标方法和标准，对符合性审查合格的投标文件进行商务和技术评估，综合比较与评价。招标文件没有规定的评标方法、评审因素和标准，不作为评标依据。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6.3.4 评标委员会负责具体评标事务，并独立履行下列职责：</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（1）审查、评价投标文件是否符合招标文件的实质性要求；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（2）要求投标人对投标文件有关事项作出澄清或者说明；</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（3）对投标文件进行比较和评价；</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（4）确定中标候选人名单；</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6.4  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招标采购中，出现下列情形之一的，应予废标：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（3）投标人的报价均超过了采购预算，采购人不能支付的；</w:t>
      </w:r>
    </w:p>
    <w:p>
      <w:pPr>
        <w:spacing w:line="400" w:lineRule="exact"/>
        <w:ind w:firstLine="420" w:firstLineChars="200"/>
      </w:pPr>
      <w:r>
        <w:rPr>
          <w:rFonts w:hint="eastAsia" w:asciiTheme="minorEastAsia" w:hAnsiTheme="minorEastAsia" w:eastAsiaTheme="minorEastAsia" w:cstheme="minorEastAsia"/>
          <w:szCs w:val="21"/>
        </w:rPr>
        <w:t>（4）因重大变故，采购任务取消的。废标后，采购人应当将废标理由通知所有投标人。</w:t>
      </w:r>
    </w:p>
    <w:p>
      <w:pPr>
        <w:pStyle w:val="19"/>
        <w:spacing w:before="120" w:after="120" w:line="500" w:lineRule="exact"/>
        <w:ind w:right="-1029" w:rightChars="-490" w:firstLine="482" w:firstLineChars="200"/>
        <w:jc w:val="both"/>
        <w:outlineLvl w:val="1"/>
      </w:pPr>
      <w:bookmarkStart w:id="174" w:name="_Toc403122526"/>
      <w:bookmarkStart w:id="175" w:name="_Toc22968"/>
      <w:bookmarkStart w:id="176" w:name="_Toc426369516"/>
      <w:bookmarkStart w:id="177" w:name="_Toc26569"/>
      <w:bookmarkStart w:id="178" w:name="_Toc17811"/>
      <w:r>
        <w:rPr>
          <w:rFonts w:hint="eastAsia" w:asciiTheme="minorEastAsia" w:hAnsiTheme="minorEastAsia" w:eastAsiaTheme="minorEastAsia" w:cstheme="minorEastAsia"/>
          <w:sz w:val="24"/>
          <w:szCs w:val="24"/>
        </w:rPr>
        <w:t>7. 合同授予</w:t>
      </w:r>
      <w:bookmarkEnd w:id="174"/>
      <w:bookmarkEnd w:id="175"/>
      <w:bookmarkEnd w:id="176"/>
      <w:bookmarkEnd w:id="177"/>
      <w:bookmarkEnd w:id="178"/>
    </w:p>
    <w:p>
      <w:pPr>
        <w:spacing w:line="500" w:lineRule="exact"/>
        <w:ind w:firstLine="482" w:firstLineChars="200"/>
        <w:rPr>
          <w:rFonts w:asciiTheme="minorEastAsia" w:hAnsiTheme="minorEastAsia" w:eastAsiaTheme="minorEastAsia" w:cstheme="minorEastAsia"/>
          <w:b/>
          <w:bCs/>
          <w:sz w:val="24"/>
        </w:rPr>
      </w:pPr>
      <w:bookmarkStart w:id="179" w:name="_Toc274249610"/>
      <w:bookmarkStart w:id="180" w:name="_Toc279599806"/>
      <w:bookmarkStart w:id="181" w:name="_Toc403122527"/>
      <w:bookmarkStart w:id="182" w:name="_Toc426369517"/>
      <w:r>
        <w:rPr>
          <w:rFonts w:hint="eastAsia" w:asciiTheme="minorEastAsia" w:hAnsiTheme="minorEastAsia" w:eastAsiaTheme="minorEastAsia" w:cstheme="minorEastAsia"/>
          <w:b/>
          <w:bCs/>
          <w:sz w:val="24"/>
        </w:rPr>
        <w:t>7.1 定标方式</w:t>
      </w:r>
      <w:bookmarkEnd w:id="179"/>
      <w:bookmarkEnd w:id="180"/>
      <w:bookmarkEnd w:id="181"/>
      <w:bookmarkEnd w:id="18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sz w:val="24"/>
        </w:rPr>
      </w:pPr>
      <w:bookmarkStart w:id="183" w:name="_Toc426369518"/>
      <w:bookmarkStart w:id="184" w:name="_Toc279599807"/>
      <w:bookmarkStart w:id="185" w:name="_Toc403122528"/>
      <w:bookmarkStart w:id="186" w:name="_Toc274249611"/>
      <w:r>
        <w:rPr>
          <w:rFonts w:hint="eastAsia" w:asciiTheme="minorEastAsia" w:hAnsiTheme="minorEastAsia" w:eastAsiaTheme="minorEastAsia" w:cstheme="minorEastAsia"/>
          <w:b/>
          <w:bCs/>
          <w:sz w:val="24"/>
        </w:rPr>
        <w:t>7.2 中标通知</w:t>
      </w:r>
      <w:bookmarkEnd w:id="183"/>
      <w:bookmarkEnd w:id="184"/>
      <w:bookmarkEnd w:id="185"/>
      <w:bookmarkEnd w:id="18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sz w:val="24"/>
        </w:rPr>
      </w:pPr>
      <w:bookmarkStart w:id="187" w:name="_Toc311550376"/>
      <w:bookmarkStart w:id="188" w:name="_Toc274249612"/>
      <w:bookmarkStart w:id="189" w:name="_Toc279599808"/>
      <w:bookmarkStart w:id="190" w:name="_Toc426369519"/>
      <w:bookmarkStart w:id="191" w:name="_Toc403122529"/>
      <w:r>
        <w:rPr>
          <w:rFonts w:hint="eastAsia" w:asciiTheme="minorEastAsia" w:hAnsiTheme="minorEastAsia" w:eastAsiaTheme="minorEastAsia" w:cstheme="minorEastAsia"/>
          <w:b/>
          <w:bCs/>
          <w:sz w:val="24"/>
        </w:rPr>
        <w:t>7.3</w:t>
      </w:r>
      <w:bookmarkEnd w:id="187"/>
      <w:bookmarkEnd w:id="188"/>
      <w:bookmarkEnd w:id="189"/>
      <w:r>
        <w:rPr>
          <w:rFonts w:hint="eastAsia" w:asciiTheme="minorEastAsia" w:hAnsiTheme="minorEastAsia" w:eastAsiaTheme="minorEastAsia" w:cstheme="minorEastAsia"/>
          <w:b/>
          <w:bCs/>
          <w:sz w:val="24"/>
        </w:rPr>
        <w:t>保证金</w:t>
      </w:r>
      <w:bookmarkEnd w:id="190"/>
      <w:bookmarkEnd w:id="19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7.3.1履约保证金：无</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7.3.2投标保证金：无</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7.3.3质量保证金：无</w:t>
      </w:r>
    </w:p>
    <w:p>
      <w:pPr>
        <w:spacing w:line="500" w:lineRule="exact"/>
        <w:ind w:firstLine="482" w:firstLineChars="200"/>
        <w:rPr>
          <w:rFonts w:asciiTheme="minorEastAsia" w:hAnsiTheme="minorEastAsia" w:eastAsiaTheme="minorEastAsia" w:cstheme="minorEastAsia"/>
          <w:b/>
          <w:bCs/>
          <w:sz w:val="24"/>
        </w:rPr>
      </w:pPr>
      <w:bookmarkStart w:id="192" w:name="_Toc279599809"/>
      <w:bookmarkStart w:id="193" w:name="_Toc426369520"/>
      <w:bookmarkStart w:id="194" w:name="_Toc274249613"/>
      <w:bookmarkStart w:id="195" w:name="_Toc403122530"/>
      <w:r>
        <w:rPr>
          <w:rFonts w:hint="eastAsia" w:asciiTheme="minorEastAsia" w:hAnsiTheme="minorEastAsia" w:eastAsiaTheme="minorEastAsia" w:cstheme="minorEastAsia"/>
          <w:b/>
          <w:bCs/>
          <w:sz w:val="24"/>
        </w:rPr>
        <w:t>7.4 签订合同</w:t>
      </w:r>
      <w:bookmarkEnd w:id="192"/>
      <w:bookmarkEnd w:id="193"/>
      <w:bookmarkEnd w:id="194"/>
      <w:bookmarkEnd w:id="19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7.4.2  发出中标通知书后，采购人无正当理由拒签合同的，给中标人造成损失的，还应当赔偿损失。</w:t>
      </w:r>
    </w:p>
    <w:p>
      <w:pPr>
        <w:pStyle w:val="19"/>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196" w:name="_Toc426369521"/>
      <w:bookmarkStart w:id="197" w:name="_Toc10417"/>
      <w:bookmarkStart w:id="198" w:name="_Toc403122531"/>
      <w:bookmarkStart w:id="199" w:name="_Toc10541"/>
      <w:bookmarkStart w:id="200" w:name="_Toc30009"/>
      <w:r>
        <w:rPr>
          <w:rFonts w:hint="eastAsia" w:asciiTheme="minorEastAsia" w:hAnsiTheme="minorEastAsia" w:eastAsiaTheme="minorEastAsia" w:cstheme="minorEastAsia"/>
          <w:sz w:val="24"/>
          <w:szCs w:val="24"/>
        </w:rPr>
        <w:t>8. 重新招标</w:t>
      </w:r>
      <w:bookmarkEnd w:id="196"/>
      <w:bookmarkEnd w:id="197"/>
      <w:bookmarkEnd w:id="198"/>
      <w:bookmarkEnd w:id="199"/>
      <w:bookmarkEnd w:id="200"/>
    </w:p>
    <w:p>
      <w:pPr>
        <w:spacing w:line="500" w:lineRule="exact"/>
        <w:ind w:firstLine="482" w:firstLineChars="200"/>
        <w:rPr>
          <w:rFonts w:asciiTheme="minorEastAsia" w:hAnsiTheme="minorEastAsia" w:eastAsiaTheme="minorEastAsia" w:cstheme="minorEastAsia"/>
          <w:b/>
          <w:bCs/>
          <w:sz w:val="24"/>
        </w:rPr>
      </w:pPr>
      <w:bookmarkStart w:id="201" w:name="_Toc279599811"/>
      <w:bookmarkStart w:id="202" w:name="_Toc403122532"/>
      <w:bookmarkStart w:id="203" w:name="_Toc274249615"/>
      <w:bookmarkStart w:id="204" w:name="_Toc426369522"/>
      <w:r>
        <w:rPr>
          <w:rFonts w:hint="eastAsia" w:asciiTheme="minorEastAsia" w:hAnsiTheme="minorEastAsia" w:eastAsiaTheme="minorEastAsia" w:cstheme="minorEastAsia"/>
          <w:b/>
          <w:bCs/>
          <w:sz w:val="24"/>
        </w:rPr>
        <w:t>8.1 重新招标</w:t>
      </w:r>
      <w:bookmarkEnd w:id="201"/>
      <w:bookmarkEnd w:id="202"/>
      <w:bookmarkEnd w:id="203"/>
      <w:bookmarkEnd w:id="204"/>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（1）投标截止时间止，供应商少于3个的；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pPr>
        <w:pStyle w:val="19"/>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205" w:name="_Toc10372"/>
      <w:bookmarkStart w:id="206" w:name="_Toc27398"/>
      <w:bookmarkStart w:id="207" w:name="_Toc3760"/>
      <w:bookmarkStart w:id="208" w:name="_Toc403122533"/>
      <w:bookmarkStart w:id="209" w:name="_Toc426369523"/>
      <w:r>
        <w:rPr>
          <w:rFonts w:hint="eastAsia" w:asciiTheme="minorEastAsia" w:hAnsiTheme="minorEastAsia" w:eastAsiaTheme="minorEastAsia" w:cstheme="minorEastAsia"/>
          <w:sz w:val="24"/>
          <w:szCs w:val="24"/>
        </w:rPr>
        <w:t>9. 纪律和监督</w:t>
      </w:r>
      <w:bookmarkEnd w:id="205"/>
      <w:bookmarkEnd w:id="206"/>
      <w:bookmarkEnd w:id="207"/>
      <w:bookmarkEnd w:id="208"/>
      <w:bookmarkEnd w:id="209"/>
    </w:p>
    <w:p>
      <w:pPr>
        <w:spacing w:line="500" w:lineRule="exact"/>
        <w:ind w:firstLine="482" w:firstLineChars="200"/>
        <w:rPr>
          <w:rFonts w:asciiTheme="minorEastAsia" w:hAnsiTheme="minorEastAsia" w:eastAsiaTheme="minorEastAsia" w:cstheme="minorEastAsia"/>
          <w:b/>
          <w:bCs/>
          <w:sz w:val="24"/>
        </w:rPr>
      </w:pPr>
      <w:bookmarkStart w:id="210" w:name="_Toc279599814"/>
      <w:bookmarkStart w:id="211" w:name="_Toc403122534"/>
      <w:bookmarkStart w:id="212" w:name="_Toc426369524"/>
      <w:bookmarkStart w:id="213" w:name="_Toc274249618"/>
      <w:r>
        <w:rPr>
          <w:rFonts w:hint="eastAsia" w:asciiTheme="minorEastAsia" w:hAnsiTheme="minorEastAsia" w:eastAsiaTheme="minorEastAsia" w:cstheme="minorEastAsia"/>
          <w:b/>
          <w:bCs/>
          <w:sz w:val="24"/>
        </w:rPr>
        <w:t>9.1 对采购人的纪律要求</w:t>
      </w:r>
      <w:bookmarkEnd w:id="210"/>
      <w:bookmarkEnd w:id="211"/>
      <w:bookmarkEnd w:id="212"/>
      <w:bookmarkEnd w:id="213"/>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sz w:val="24"/>
        </w:rPr>
      </w:pPr>
      <w:bookmarkStart w:id="214" w:name="_Toc274249619"/>
      <w:bookmarkStart w:id="215" w:name="_Toc403122535"/>
      <w:bookmarkStart w:id="216" w:name="_Toc426369525"/>
      <w:bookmarkStart w:id="217" w:name="_Toc279599815"/>
      <w:r>
        <w:rPr>
          <w:rFonts w:hint="eastAsia" w:asciiTheme="minorEastAsia" w:hAnsiTheme="minorEastAsia" w:eastAsiaTheme="minorEastAsia" w:cstheme="minorEastAsia"/>
          <w:b/>
          <w:bCs/>
          <w:sz w:val="24"/>
        </w:rPr>
        <w:t>9.2 对投标人的纪律要求</w:t>
      </w:r>
      <w:bookmarkEnd w:id="214"/>
      <w:bookmarkEnd w:id="215"/>
      <w:bookmarkEnd w:id="216"/>
      <w:bookmarkEnd w:id="217"/>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sz w:val="24"/>
        </w:rPr>
      </w:pPr>
      <w:bookmarkStart w:id="218" w:name="_Toc426369526"/>
      <w:bookmarkStart w:id="219" w:name="_Toc279599816"/>
      <w:bookmarkStart w:id="220" w:name="_Toc274249620"/>
      <w:bookmarkStart w:id="221" w:name="_Toc403122536"/>
      <w:r>
        <w:rPr>
          <w:rFonts w:hint="eastAsia" w:asciiTheme="minorEastAsia" w:hAnsiTheme="minorEastAsia" w:eastAsiaTheme="minorEastAsia" w:cstheme="minorEastAsia"/>
          <w:b/>
          <w:bCs/>
          <w:sz w:val="24"/>
        </w:rPr>
        <w:t>9.3 对评标委员会成员的纪律要求</w:t>
      </w:r>
      <w:bookmarkEnd w:id="218"/>
      <w:bookmarkEnd w:id="219"/>
      <w:bookmarkEnd w:id="220"/>
      <w:bookmarkEnd w:id="22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sz w:val="24"/>
        </w:rPr>
      </w:pPr>
      <w:bookmarkStart w:id="222" w:name="_Toc274249621"/>
      <w:bookmarkStart w:id="223" w:name="_Toc426369527"/>
      <w:bookmarkStart w:id="224" w:name="_Toc279599817"/>
      <w:bookmarkStart w:id="225" w:name="_Toc403122537"/>
      <w:r>
        <w:rPr>
          <w:rFonts w:hint="eastAsia" w:asciiTheme="minorEastAsia" w:hAnsiTheme="minorEastAsia" w:eastAsiaTheme="minorEastAsia" w:cstheme="minorEastAsia"/>
          <w:b/>
          <w:bCs/>
          <w:sz w:val="24"/>
        </w:rPr>
        <w:t>9.4 对与评标活动有关的工作人员的纪律要求</w:t>
      </w:r>
      <w:bookmarkEnd w:id="222"/>
      <w:bookmarkEnd w:id="223"/>
      <w:bookmarkEnd w:id="224"/>
      <w:bookmarkEnd w:id="22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sz w:val="24"/>
        </w:rPr>
      </w:pPr>
      <w:bookmarkStart w:id="226" w:name="_Toc426369528"/>
      <w:bookmarkStart w:id="227" w:name="_Toc274249622"/>
      <w:bookmarkStart w:id="228" w:name="_Toc279599818"/>
      <w:bookmarkStart w:id="229" w:name="_Toc403122538"/>
      <w:r>
        <w:rPr>
          <w:rFonts w:hint="eastAsia" w:asciiTheme="minorEastAsia" w:hAnsiTheme="minorEastAsia" w:eastAsiaTheme="minorEastAsia" w:cstheme="minorEastAsia"/>
          <w:b/>
          <w:bCs/>
          <w:sz w:val="24"/>
        </w:rPr>
        <w:t>9.5 投诉</w:t>
      </w:r>
      <w:bookmarkEnd w:id="226"/>
      <w:bookmarkEnd w:id="227"/>
      <w:bookmarkEnd w:id="228"/>
      <w:bookmarkEnd w:id="22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供应商和其他利害关系人认为本次招标活动违反法律、法规和规章规定的，有权向有关行政监督部门投诉。 </w:t>
      </w:r>
    </w:p>
    <w:p>
      <w:pPr>
        <w:pStyle w:val="19"/>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230" w:name="_Toc25080"/>
      <w:bookmarkStart w:id="231" w:name="_Toc10880"/>
      <w:bookmarkStart w:id="232" w:name="_Toc403122539"/>
      <w:bookmarkStart w:id="233" w:name="_Toc13281"/>
      <w:bookmarkStart w:id="234" w:name="_Toc426369529"/>
      <w:r>
        <w:rPr>
          <w:rFonts w:hint="eastAsia" w:asciiTheme="minorEastAsia" w:hAnsiTheme="minorEastAsia" w:eastAsiaTheme="minorEastAsia" w:cstheme="minorEastAsia"/>
          <w:sz w:val="24"/>
          <w:szCs w:val="24"/>
        </w:rPr>
        <w:t>10. 需要补充的其他内容</w:t>
      </w:r>
      <w:bookmarkEnd w:id="230"/>
      <w:bookmarkEnd w:id="231"/>
      <w:bookmarkEnd w:id="232"/>
      <w:bookmarkEnd w:id="233"/>
      <w:bookmarkEnd w:id="234"/>
    </w:p>
    <w:p>
      <w:pPr>
        <w:autoSpaceDE w:val="0"/>
        <w:autoSpaceDN w:val="0"/>
        <w:adjustRightInd w:val="0"/>
        <w:spacing w:line="440" w:lineRule="exact"/>
        <w:ind w:firstLine="482" w:firstLineChars="200"/>
        <w:rPr>
          <w:rFonts w:ascii="宋体" w:hAnsi="宋体" w:cs="宋体"/>
          <w:kern w:val="0"/>
          <w:sz w:val="24"/>
        </w:rPr>
      </w:pPr>
      <w:r>
        <w:rPr>
          <w:rFonts w:hint="eastAsia" w:ascii="宋体" w:hAnsi="宋体" w:cs="宋体"/>
          <w:b/>
          <w:kern w:val="0"/>
          <w:sz w:val="24"/>
        </w:rPr>
        <w:t>10.1 费用承担</w:t>
      </w:r>
    </w:p>
    <w:p>
      <w:pPr>
        <w:autoSpaceDE w:val="0"/>
        <w:autoSpaceDN w:val="0"/>
        <w:adjustRightInd w:val="0"/>
        <w:spacing w:line="440" w:lineRule="exact"/>
        <w:ind w:left="17" w:leftChars="8" w:firstLine="420" w:firstLineChars="200"/>
        <w:jc w:val="left"/>
        <w:rPr>
          <w:rFonts w:ascii="宋体" w:hAnsi="宋体" w:cs="宋体"/>
          <w:szCs w:val="21"/>
        </w:rPr>
      </w:pPr>
      <w:r>
        <w:rPr>
          <w:rFonts w:hint="eastAsia" w:ascii="宋体" w:hAnsi="宋体" w:cs="宋体"/>
          <w:szCs w:val="21"/>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szCs w:val="21"/>
        </w:rPr>
      </w:pPr>
      <w:r>
        <w:rPr>
          <w:rFonts w:hint="eastAsia" w:ascii="宋体" w:hAnsi="宋体" w:cs="宋体"/>
          <w:szCs w:val="21"/>
        </w:rPr>
        <w:t>（2）招标代理服务费由中标人支付。</w:t>
      </w:r>
    </w:p>
    <w:p>
      <w:pPr>
        <w:autoSpaceDE w:val="0"/>
        <w:autoSpaceDN w:val="0"/>
        <w:adjustRightInd w:val="0"/>
        <w:spacing w:line="500" w:lineRule="exact"/>
        <w:ind w:firstLine="420"/>
        <w:jc w:val="left"/>
        <w:rPr>
          <w:rFonts w:ascii="宋体" w:hAnsi="宋体" w:cs="宋体"/>
          <w:szCs w:val="21"/>
        </w:rPr>
      </w:pPr>
      <w:r>
        <w:rPr>
          <w:rFonts w:hint="eastAsia" w:ascii="宋体" w:hAnsi="宋体" w:cs="宋体"/>
          <w:szCs w:val="21"/>
        </w:rPr>
        <w:t>（3）供应商与采购人签订合同后，将合同报采购代理机构备案。</w:t>
      </w:r>
    </w:p>
    <w:p>
      <w:pPr>
        <w:pStyle w:val="26"/>
        <w:ind w:firstLine="482" w:firstLineChars="200"/>
        <w:rPr>
          <w:rFonts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10.2本招标文件未尽事宜，按《中华人民共和国政府采购法》等法律法规的有关规定执行。</w:t>
      </w:r>
    </w:p>
    <w:p>
      <w:pPr>
        <w:pStyle w:val="11"/>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19"/>
        <w:numPr>
          <w:ilvl w:val="0"/>
          <w:numId w:val="6"/>
        </w:numPr>
        <w:spacing w:line="600" w:lineRule="exact"/>
        <w:ind w:right="-63" w:rightChars="-30"/>
        <w:rPr>
          <w:rFonts w:asciiTheme="minorEastAsia" w:hAnsiTheme="minorEastAsia" w:eastAsiaTheme="minorEastAsia" w:cstheme="minorEastAsia"/>
          <w:sz w:val="36"/>
          <w:szCs w:val="36"/>
        </w:rPr>
      </w:pPr>
      <w:bookmarkStart w:id="235" w:name="_Toc403122540"/>
      <w:bookmarkStart w:id="236" w:name="_Toc28433"/>
      <w:bookmarkStart w:id="237" w:name="_Toc426369530"/>
      <w:bookmarkStart w:id="238" w:name="_Toc8251"/>
      <w:r>
        <w:rPr>
          <w:rFonts w:hint="eastAsia" w:asciiTheme="minorEastAsia" w:hAnsiTheme="minorEastAsia" w:eastAsiaTheme="minorEastAsia" w:cstheme="minorEastAsia"/>
          <w:sz w:val="36"/>
          <w:szCs w:val="36"/>
        </w:rPr>
        <w:t>评标办法</w:t>
      </w:r>
      <w:bookmarkEnd w:id="235"/>
      <w:bookmarkEnd w:id="236"/>
      <w:bookmarkEnd w:id="237"/>
      <w:r>
        <w:rPr>
          <w:rFonts w:hint="eastAsia" w:asciiTheme="minorEastAsia" w:hAnsiTheme="minorEastAsia" w:eastAsiaTheme="minorEastAsia" w:cstheme="minorEastAsia"/>
          <w:sz w:val="36"/>
          <w:szCs w:val="36"/>
        </w:rPr>
        <w:t>（综合评分法）</w:t>
      </w:r>
      <w:bookmarkEnd w:id="238"/>
    </w:p>
    <w:p>
      <w:pPr>
        <w:pStyle w:val="27"/>
        <w:spacing w:line="540" w:lineRule="exact"/>
        <w:jc w:val="center"/>
        <w:outlineLvl w:val="1"/>
        <w:rPr>
          <w:rFonts w:asciiTheme="minorEastAsia" w:hAnsiTheme="minorEastAsia" w:eastAsiaTheme="minorEastAsia" w:cstheme="minorEastAsia"/>
          <w:b/>
          <w:bCs/>
          <w:sz w:val="28"/>
          <w:szCs w:val="28"/>
        </w:rPr>
      </w:pPr>
      <w:bookmarkStart w:id="239" w:name="_Toc30933"/>
      <w:bookmarkStart w:id="240" w:name="_Toc29947"/>
      <w:bookmarkStart w:id="241" w:name="_Toc9561"/>
      <w:bookmarkStart w:id="242" w:name="_Toc21885"/>
      <w:bookmarkStart w:id="243" w:name="_Toc16529"/>
      <w:bookmarkStart w:id="244" w:name="_Toc17859"/>
      <w:bookmarkStart w:id="245" w:name="_Toc2761070"/>
      <w:r>
        <w:rPr>
          <w:rFonts w:hint="eastAsia" w:asciiTheme="minorEastAsia" w:hAnsiTheme="minorEastAsia" w:eastAsiaTheme="minorEastAsia" w:cstheme="minorEastAsia"/>
          <w:b/>
          <w:bCs/>
          <w:sz w:val="28"/>
          <w:szCs w:val="28"/>
        </w:rPr>
        <w:t>评分办法前附表</w:t>
      </w:r>
      <w:bookmarkEnd w:id="239"/>
      <w:bookmarkEnd w:id="240"/>
      <w:bookmarkEnd w:id="241"/>
      <w:bookmarkEnd w:id="242"/>
      <w:bookmarkEnd w:id="243"/>
      <w:bookmarkEnd w:id="244"/>
      <w:bookmarkStart w:id="246" w:name="_Toc31084"/>
      <w:bookmarkStart w:id="247" w:name="_Toc403122541"/>
      <w:bookmarkStart w:id="248" w:name="_Toc426369531"/>
    </w:p>
    <w:tbl>
      <w:tblPr>
        <w:tblStyle w:val="21"/>
        <w:tblpPr w:leftFromText="180" w:rightFromText="180" w:vertAnchor="text" w:horzAnchor="page" w:tblpX="1155" w:tblpY="363"/>
        <w:tblOverlap w:val="never"/>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51"/>
        <w:gridCol w:w="1891"/>
        <w:gridCol w:w="5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271" w:type="dxa"/>
            <w:vAlign w:val="center"/>
          </w:tcPr>
          <w:p>
            <w:pPr>
              <w:spacing w:line="5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审查主体</w:t>
            </w:r>
          </w:p>
        </w:tc>
        <w:tc>
          <w:tcPr>
            <w:tcW w:w="851" w:type="dxa"/>
            <w:vAlign w:val="center"/>
          </w:tcPr>
          <w:p>
            <w:pPr>
              <w:spacing w:line="5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评分项</w:t>
            </w:r>
          </w:p>
        </w:tc>
        <w:tc>
          <w:tcPr>
            <w:tcW w:w="1891" w:type="dxa"/>
            <w:vAlign w:val="center"/>
          </w:tcPr>
          <w:p>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评审因素</w:t>
            </w:r>
          </w:p>
        </w:tc>
        <w:tc>
          <w:tcPr>
            <w:tcW w:w="5504" w:type="dxa"/>
            <w:vAlign w:val="center"/>
          </w:tcPr>
          <w:p>
            <w:pPr>
              <w:spacing w:line="560" w:lineRule="exact"/>
              <w:ind w:firstLine="56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exact"/>
        </w:trPr>
        <w:tc>
          <w:tcPr>
            <w:tcW w:w="1271" w:type="dxa"/>
            <w:vMerge w:val="restart"/>
            <w:vAlign w:val="center"/>
          </w:tcPr>
          <w:p>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资格审查小组</w:t>
            </w:r>
          </w:p>
        </w:tc>
        <w:tc>
          <w:tcPr>
            <w:tcW w:w="851" w:type="dxa"/>
            <w:vMerge w:val="restart"/>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一、资格评审标准</w:t>
            </w:r>
          </w:p>
        </w:tc>
        <w:tc>
          <w:tcPr>
            <w:tcW w:w="1891" w:type="dxa"/>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营业执照、税务登记证、组织机构代码证</w:t>
            </w:r>
          </w:p>
        </w:tc>
        <w:tc>
          <w:tcPr>
            <w:tcW w:w="5504" w:type="dxa"/>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提供政府采购供应商资格信用承诺函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exact"/>
        </w:trPr>
        <w:tc>
          <w:tcPr>
            <w:tcW w:w="1271" w:type="dxa"/>
            <w:vMerge w:val="continue"/>
            <w:vAlign w:val="center"/>
          </w:tcPr>
          <w:p>
            <w:pPr>
              <w:spacing w:line="560" w:lineRule="exact"/>
              <w:jc w:val="center"/>
              <w:rPr>
                <w:rFonts w:asciiTheme="minorEastAsia" w:hAnsiTheme="minorEastAsia" w:eastAsiaTheme="minorEastAsia" w:cstheme="minorEastAsia"/>
                <w:szCs w:val="21"/>
              </w:rPr>
            </w:pPr>
          </w:p>
        </w:tc>
        <w:tc>
          <w:tcPr>
            <w:tcW w:w="851" w:type="dxa"/>
            <w:vMerge w:val="continue"/>
            <w:vAlign w:val="center"/>
          </w:tcPr>
          <w:p>
            <w:pPr>
              <w:spacing w:line="560" w:lineRule="exact"/>
              <w:rPr>
                <w:rFonts w:hint="eastAsia" w:asciiTheme="minorEastAsia" w:hAnsiTheme="minorEastAsia" w:eastAsiaTheme="minorEastAsia" w:cstheme="minorEastAsia"/>
                <w:szCs w:val="21"/>
              </w:rPr>
            </w:pPr>
          </w:p>
        </w:tc>
        <w:tc>
          <w:tcPr>
            <w:tcW w:w="1891" w:type="dxa"/>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《中华人民共和国政府采购法》第二十二条规定</w:t>
            </w:r>
          </w:p>
        </w:tc>
        <w:tc>
          <w:tcPr>
            <w:tcW w:w="5504" w:type="dxa"/>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提供政府采购供应商资格信用承诺函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trPr>
        <w:tc>
          <w:tcPr>
            <w:tcW w:w="1271" w:type="dxa"/>
            <w:vMerge w:val="continue"/>
            <w:vAlign w:val="center"/>
          </w:tcPr>
          <w:p>
            <w:pPr>
              <w:spacing w:line="560" w:lineRule="exact"/>
              <w:jc w:val="center"/>
              <w:rPr>
                <w:rFonts w:asciiTheme="minorEastAsia" w:hAnsiTheme="minorEastAsia" w:eastAsiaTheme="minorEastAsia" w:cstheme="minorEastAsia"/>
                <w:szCs w:val="21"/>
              </w:rPr>
            </w:pPr>
          </w:p>
        </w:tc>
        <w:tc>
          <w:tcPr>
            <w:tcW w:w="851" w:type="dxa"/>
            <w:vMerge w:val="continue"/>
            <w:vAlign w:val="center"/>
          </w:tcPr>
          <w:p>
            <w:pPr>
              <w:spacing w:line="560" w:lineRule="exact"/>
              <w:rPr>
                <w:rFonts w:hint="eastAsia" w:asciiTheme="minorEastAsia" w:hAnsiTheme="minorEastAsia" w:eastAsiaTheme="minorEastAsia" w:cstheme="minorEastAsia"/>
                <w:szCs w:val="21"/>
              </w:rPr>
            </w:pPr>
          </w:p>
        </w:tc>
        <w:tc>
          <w:tcPr>
            <w:tcW w:w="1891" w:type="dxa"/>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法定代表人证明或法人授权委托书</w:t>
            </w:r>
          </w:p>
        </w:tc>
        <w:tc>
          <w:tcPr>
            <w:tcW w:w="5504" w:type="dxa"/>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271" w:type="dxa"/>
            <w:vMerge w:val="continue"/>
            <w:vAlign w:val="center"/>
          </w:tcPr>
          <w:p>
            <w:pPr>
              <w:spacing w:line="560" w:lineRule="exact"/>
              <w:ind w:firstLine="560"/>
              <w:jc w:val="center"/>
              <w:rPr>
                <w:rFonts w:asciiTheme="minorEastAsia" w:hAnsiTheme="minorEastAsia" w:eastAsiaTheme="minorEastAsia" w:cstheme="minorEastAsia"/>
                <w:szCs w:val="21"/>
              </w:rPr>
            </w:pPr>
          </w:p>
        </w:tc>
        <w:tc>
          <w:tcPr>
            <w:tcW w:w="851" w:type="dxa"/>
            <w:vMerge w:val="continue"/>
            <w:vAlign w:val="center"/>
          </w:tcPr>
          <w:p>
            <w:pPr>
              <w:spacing w:line="560" w:lineRule="exact"/>
              <w:rPr>
                <w:rFonts w:hint="eastAsia" w:asciiTheme="minorEastAsia" w:hAnsiTheme="minorEastAsia" w:eastAsiaTheme="minorEastAsia" w:cstheme="minorEastAsia"/>
                <w:szCs w:val="21"/>
              </w:rPr>
            </w:pPr>
          </w:p>
        </w:tc>
        <w:tc>
          <w:tcPr>
            <w:tcW w:w="1891" w:type="dxa"/>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信誉要求</w:t>
            </w:r>
          </w:p>
        </w:tc>
        <w:tc>
          <w:tcPr>
            <w:tcW w:w="5504" w:type="dxa"/>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1271" w:type="dxa"/>
            <w:vMerge w:val="continue"/>
            <w:tcBorders>
              <w:bottom w:val="single" w:color="auto" w:sz="4" w:space="0"/>
            </w:tcBorders>
            <w:vAlign w:val="center"/>
          </w:tcPr>
          <w:p>
            <w:pPr>
              <w:spacing w:line="560" w:lineRule="exact"/>
              <w:ind w:firstLine="560"/>
              <w:jc w:val="center"/>
              <w:rPr>
                <w:rFonts w:asciiTheme="minorEastAsia" w:hAnsiTheme="minorEastAsia" w:eastAsiaTheme="minorEastAsia" w:cstheme="minorEastAsia"/>
                <w:szCs w:val="21"/>
              </w:rPr>
            </w:pPr>
          </w:p>
        </w:tc>
        <w:tc>
          <w:tcPr>
            <w:tcW w:w="851" w:type="dxa"/>
            <w:vMerge w:val="continue"/>
            <w:tcBorders>
              <w:bottom w:val="single" w:color="auto" w:sz="4" w:space="0"/>
            </w:tcBorders>
            <w:vAlign w:val="center"/>
          </w:tcPr>
          <w:p>
            <w:pPr>
              <w:spacing w:line="560" w:lineRule="exact"/>
              <w:rPr>
                <w:rFonts w:hint="eastAsia" w:asciiTheme="minorEastAsia" w:hAnsiTheme="minorEastAsia" w:eastAsiaTheme="minorEastAsia" w:cstheme="minorEastAsia"/>
                <w:szCs w:val="21"/>
              </w:rPr>
            </w:pPr>
          </w:p>
        </w:tc>
        <w:tc>
          <w:tcPr>
            <w:tcW w:w="1891" w:type="dxa"/>
            <w:tcBorders>
              <w:bottom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其他要求</w:t>
            </w:r>
          </w:p>
        </w:tc>
        <w:tc>
          <w:tcPr>
            <w:tcW w:w="5504" w:type="dxa"/>
            <w:tcBorders>
              <w:bottom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符合第二章“供应商须知”第1.4.1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1271"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二、形式评审标准</w:t>
            </w: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center"/>
              <w:rPr>
                <w:rFonts w:asciiTheme="minorEastAsia" w:hAnsiTheme="minorEastAsia" w:eastAsiaTheme="minorEastAsia" w:cstheme="minorEastAsia"/>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投标函签字盖章</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加盖单位公章并有法定代表人或其委托代理人签字或</w:t>
            </w:r>
            <w:r>
              <w:rPr>
                <w:rFonts w:hint="eastAsia" w:asciiTheme="minorEastAsia" w:hAnsiTheme="minorEastAsia" w:eastAsiaTheme="minorEastAsia" w:cstheme="minorEastAsia"/>
                <w:szCs w:val="21"/>
                <w:lang w:val="en-US" w:eastAsia="zh-CN"/>
              </w:rPr>
              <w:t>盖</w:t>
            </w:r>
            <w:r>
              <w:rPr>
                <w:rFonts w:hint="eastAsia" w:asciiTheme="minorEastAsia" w:hAnsiTheme="minorEastAsia" w:eastAsiaTheme="minorEastAsia" w:cstheme="minorEastAsia"/>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center"/>
              <w:rPr>
                <w:rFonts w:asciiTheme="minorEastAsia" w:hAnsiTheme="minorEastAsia" w:eastAsiaTheme="minorEastAsia" w:cstheme="minorEastAsia"/>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投标文件格式</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center"/>
              <w:rPr>
                <w:rFonts w:asciiTheme="minorEastAsia" w:hAnsiTheme="minorEastAsia" w:eastAsiaTheme="minorEastAsia" w:cstheme="minorEastAsia"/>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报价唯一</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center"/>
              <w:rPr>
                <w:rFonts w:asciiTheme="minorEastAsia" w:hAnsiTheme="minorEastAsia" w:eastAsiaTheme="minorEastAsia" w:cstheme="minorEastAsia"/>
                <w:szCs w:val="21"/>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三、响应性评审标准</w:t>
            </w: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采购内容</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1271"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Theme="minorEastAsia" w:hAnsiTheme="minorEastAsia" w:eastAsiaTheme="minorEastAsia" w:cstheme="minorEastAsia"/>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hint="eastAsia" w:asciiTheme="minorEastAsia" w:hAnsiTheme="minorEastAsia" w:eastAsiaTheme="minorEastAsia" w:cstheme="minorEastAsia"/>
                <w:szCs w:val="21"/>
              </w:rPr>
            </w:pP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供货安装期</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71"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Theme="minorEastAsia" w:hAnsiTheme="minorEastAsia" w:eastAsiaTheme="minorEastAsia" w:cstheme="minorEastAsia"/>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hint="eastAsia" w:asciiTheme="minorEastAsia" w:hAnsiTheme="minorEastAsia" w:eastAsiaTheme="minorEastAsia" w:cstheme="minorEastAsia"/>
                <w:szCs w:val="21"/>
              </w:rPr>
            </w:pP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质量标准</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71"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Theme="minorEastAsia" w:hAnsiTheme="minorEastAsia" w:eastAsiaTheme="minorEastAsia" w:cstheme="minorEastAsia"/>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hint="eastAsia" w:asciiTheme="minorEastAsia" w:hAnsiTheme="minorEastAsia" w:eastAsiaTheme="minorEastAsia" w:cstheme="minorEastAsia"/>
                <w:szCs w:val="21"/>
              </w:rPr>
            </w:pP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质保期</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1271"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Theme="minorEastAsia" w:hAnsiTheme="minorEastAsia" w:eastAsiaTheme="minorEastAsia" w:cstheme="minorEastAsia"/>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hint="eastAsia" w:asciiTheme="minorEastAsia" w:hAnsiTheme="minorEastAsia" w:eastAsiaTheme="minorEastAsia" w:cstheme="minorEastAsia"/>
                <w:szCs w:val="21"/>
              </w:rPr>
            </w:pP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投标有效期</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1271"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Theme="minorEastAsia" w:hAnsiTheme="minorEastAsia" w:eastAsiaTheme="minorEastAsia" w:cstheme="minorEastAsia"/>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hint="eastAsia" w:asciiTheme="minorEastAsia" w:hAnsiTheme="minorEastAsia" w:eastAsiaTheme="minorEastAsia" w:cstheme="minorEastAsia"/>
                <w:szCs w:val="21"/>
              </w:rPr>
            </w:pP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权利义务</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exact"/>
        </w:trPr>
        <w:tc>
          <w:tcPr>
            <w:tcW w:w="1271"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Theme="minorEastAsia" w:hAnsiTheme="minorEastAsia" w:eastAsiaTheme="minorEastAsia" w:cstheme="minorEastAsia"/>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hint="eastAsia" w:asciiTheme="minorEastAsia" w:hAnsiTheme="minorEastAsia" w:eastAsiaTheme="minorEastAsia" w:cstheme="minorEastAsia"/>
                <w:szCs w:val="21"/>
              </w:rPr>
            </w:pP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采购内容及技术要求</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符合第五章“采购内容及技术要求”规定，若不符合采购内容及技术要求规定，将不再进行评审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exact"/>
        </w:trPr>
        <w:tc>
          <w:tcPr>
            <w:tcW w:w="1271"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Theme="minorEastAsia" w:hAnsiTheme="minorEastAsia" w:eastAsiaTheme="minorEastAsia" w:cstheme="minorEastAsia"/>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hint="eastAsia" w:asciiTheme="minorEastAsia" w:hAnsiTheme="minorEastAsia" w:eastAsiaTheme="minorEastAsia" w:cstheme="minorEastAsia"/>
                <w:szCs w:val="21"/>
              </w:rPr>
            </w:pP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投标文件的其他响应</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符合法律、法规和招标文件中规定的其他实质性要求的</w:t>
            </w:r>
          </w:p>
        </w:tc>
      </w:tr>
    </w:tbl>
    <w:tbl>
      <w:tblPr>
        <w:tblStyle w:val="21"/>
        <w:tblpPr w:leftFromText="180" w:rightFromText="180" w:vertAnchor="text" w:horzAnchor="page" w:tblpX="1144" w:tblpY="453"/>
        <w:tblOverlap w:val="never"/>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908"/>
        <w:gridCol w:w="5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6" w:type="dxa"/>
            <w:vAlign w:val="center"/>
          </w:tcPr>
          <w:p>
            <w:pPr>
              <w:widowControl/>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报价得分（30分）</w:t>
            </w:r>
          </w:p>
        </w:tc>
        <w:tc>
          <w:tcPr>
            <w:tcW w:w="1908" w:type="dxa"/>
            <w:vAlign w:val="center"/>
          </w:tcPr>
          <w:p>
            <w:pPr>
              <w:widowControl/>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投标报价（3</w:t>
            </w:r>
            <w:r>
              <w:rPr>
                <w:rFonts w:asciiTheme="minorEastAsia" w:hAnsiTheme="minorEastAsia" w:eastAsiaTheme="minorEastAsia" w:cstheme="minorEastAsia"/>
                <w:szCs w:val="21"/>
              </w:rPr>
              <w:t>0分）</w:t>
            </w:r>
          </w:p>
        </w:tc>
        <w:tc>
          <w:tcPr>
            <w:tcW w:w="5492" w:type="dxa"/>
            <w:vAlign w:val="center"/>
          </w:tcPr>
          <w:p>
            <w:pPr>
              <w:spacing w:line="500" w:lineRule="exact"/>
              <w:rPr>
                <w:rFonts w:ascii="宋体" w:hAnsi="宋体" w:cs="宋体"/>
                <w:szCs w:val="21"/>
                <w:lang w:val="zh-CN"/>
              </w:rPr>
            </w:pPr>
            <w:r>
              <w:rPr>
                <w:rFonts w:hint="eastAsia" w:ascii="宋体" w:hAnsi="宋体" w:cs="宋体"/>
                <w:szCs w:val="21"/>
                <w:lang w:val="zh-CN"/>
              </w:rPr>
              <w:t>投标价格最低的投标报价为评标基准价，其价格分为满分30分。</w:t>
            </w:r>
          </w:p>
          <w:p>
            <w:pPr>
              <w:spacing w:line="500" w:lineRule="exact"/>
              <w:jc w:val="left"/>
              <w:rPr>
                <w:rFonts w:ascii="宋体" w:hAnsi="宋体" w:cs="宋体"/>
                <w:szCs w:val="21"/>
                <w:lang w:val="zh-CN"/>
              </w:rPr>
            </w:pPr>
            <w:r>
              <w:rPr>
                <w:rFonts w:hint="eastAsia" w:ascii="宋体" w:hAnsi="宋体" w:cs="宋体"/>
                <w:szCs w:val="21"/>
                <w:lang w:val="zh-CN"/>
              </w:rPr>
              <w:t>投标报价得分=（评标基准价/投标报价）×30</w:t>
            </w:r>
          </w:p>
          <w:p>
            <w:pPr>
              <w:spacing w:line="500" w:lineRule="exact"/>
              <w:jc w:val="left"/>
              <w:rPr>
                <w:rFonts w:ascii="宋体" w:hAnsi="宋体" w:cs="宋体"/>
                <w:szCs w:val="21"/>
                <w:lang w:val="zh-CN"/>
              </w:rPr>
            </w:pPr>
            <w:r>
              <w:rPr>
                <w:rFonts w:hint="eastAsia" w:ascii="宋体" w:hAnsi="宋体" w:cs="宋体"/>
                <w:szCs w:val="21"/>
                <w:lang w:val="zh-CN"/>
              </w:rPr>
              <w:t>（价格分计算保留小数点后两位）</w:t>
            </w:r>
          </w:p>
          <w:p>
            <w:pPr>
              <w:spacing w:line="500" w:lineRule="exact"/>
              <w:rPr>
                <w:rFonts w:ascii="宋体" w:hAnsi="宋体" w:cs="宋体"/>
                <w:szCs w:val="21"/>
                <w:lang w:val="zh-CN"/>
              </w:rPr>
            </w:pPr>
            <w:r>
              <w:rPr>
                <w:rFonts w:hint="eastAsia" w:ascii="宋体" w:hAnsi="宋体" w:cs="宋体"/>
                <w:szCs w:val="21"/>
                <w:lang w:val="zh-CN"/>
              </w:rPr>
              <w:t>投标报价分采用低价优先法计算，即满足招标文件要求且投标报价最低的为评审基准价，其价格分为满分（即30分）。其他投标人的价格分统一按照下列公式计算：</w:t>
            </w:r>
          </w:p>
          <w:p>
            <w:pPr>
              <w:spacing w:line="500" w:lineRule="exact"/>
              <w:rPr>
                <w:rFonts w:ascii="宋体" w:hAnsi="宋体" w:cs="宋体"/>
                <w:szCs w:val="21"/>
                <w:lang w:val="zh-CN"/>
              </w:rPr>
            </w:pPr>
            <w:r>
              <w:rPr>
                <w:rFonts w:hint="eastAsia" w:ascii="宋体" w:hAnsi="宋体" w:cs="宋体"/>
                <w:szCs w:val="21"/>
                <w:lang w:val="zh-CN"/>
              </w:rPr>
              <w:t>报价得分=(评标基准价／投标报价)×价格权值（30分）</w:t>
            </w:r>
          </w:p>
          <w:p>
            <w:pPr>
              <w:spacing w:line="500" w:lineRule="exact"/>
              <w:rPr>
                <w:rFonts w:ascii="宋体" w:hAnsi="宋体" w:cs="宋体"/>
                <w:szCs w:val="21"/>
                <w:lang w:val="zh-CN"/>
              </w:rPr>
            </w:pPr>
            <w:r>
              <w:rPr>
                <w:rFonts w:hint="eastAsia" w:ascii="宋体" w:hAnsi="宋体" w:cs="宋体"/>
                <w:szCs w:val="21"/>
                <w:lang w:val="zh-CN"/>
              </w:rPr>
              <w:t>（1）价格分计算保留小数点后两位。</w:t>
            </w:r>
          </w:p>
          <w:p>
            <w:pPr>
              <w:spacing w:line="500" w:lineRule="exact"/>
              <w:rPr>
                <w:rFonts w:ascii="宋体" w:hAnsi="宋体" w:cs="宋体"/>
                <w:szCs w:val="21"/>
                <w:lang w:val="zh-CN"/>
              </w:rPr>
            </w:pPr>
            <w:r>
              <w:rPr>
                <w:rFonts w:hint="eastAsia" w:ascii="宋体" w:hAnsi="宋体" w:cs="宋体"/>
                <w:szCs w:val="21"/>
                <w:lang w:val="zh-CN"/>
              </w:rPr>
              <w:t>（2）为了促进中小企业发展，根据《中华人民共和国政府采购法实施条例》第六条和财库[2011]181 号的规定，给予小型和微型企业产品（投标人为小微企业且提供的所有投标产品均为小微企业生产产品）价格20%的扣除，用扣除后的价格参与评审，小微企业产品投标报价=小微企业产品报价×（1-20%）。中小企业划型标准见《关于印发中小企业划型标准规定的通知》（工信部联企业[2011]300号）。</w:t>
            </w:r>
          </w:p>
          <w:p>
            <w:pPr>
              <w:autoSpaceDE w:val="0"/>
              <w:autoSpaceDN w:val="0"/>
              <w:adjustRightInd w:val="0"/>
              <w:spacing w:line="560" w:lineRule="exact"/>
              <w:rPr>
                <w:rFonts w:asciiTheme="minorEastAsia" w:hAnsiTheme="minorEastAsia" w:eastAsiaTheme="minorEastAsia" w:cstheme="minorEastAsia"/>
                <w:szCs w:val="21"/>
              </w:rPr>
            </w:pPr>
            <w:r>
              <w:rPr>
                <w:rFonts w:hint="eastAsia" w:ascii="宋体" w:hAnsi="宋体" w:cs="宋体"/>
                <w:szCs w:val="21"/>
                <w:lang w:val="zh-CN"/>
              </w:rPr>
              <w:t>备注：小微企业（监狱企业、残疾人福利性单位视同小微企业）价格扣除按照20%。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36" w:type="dxa"/>
            <w:vMerge w:val="restart"/>
            <w:vAlign w:val="center"/>
          </w:tcPr>
          <w:p>
            <w:pPr>
              <w:widowControl/>
              <w:spacing w:line="56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技术部分（</w:t>
            </w:r>
            <w:r>
              <w:rPr>
                <w:rFonts w:hint="eastAsia" w:asciiTheme="minorEastAsia" w:hAnsiTheme="minorEastAsia" w:eastAsiaTheme="minorEastAsia" w:cstheme="minorEastAsia"/>
                <w:bCs/>
                <w:szCs w:val="21"/>
                <w:lang w:val="en-US" w:eastAsia="zh-CN"/>
              </w:rPr>
              <w:t>45</w:t>
            </w:r>
            <w:r>
              <w:rPr>
                <w:rFonts w:hint="eastAsia" w:asciiTheme="minorEastAsia" w:hAnsiTheme="minorEastAsia" w:eastAsiaTheme="minorEastAsia" w:cstheme="minorEastAsia"/>
                <w:bCs/>
                <w:szCs w:val="21"/>
              </w:rPr>
              <w:t>分）</w:t>
            </w:r>
          </w:p>
          <w:p>
            <w:pPr>
              <w:widowControl/>
              <w:spacing w:line="560" w:lineRule="exact"/>
              <w:jc w:val="center"/>
              <w:rPr>
                <w:rFonts w:asciiTheme="minorEastAsia" w:hAnsiTheme="minorEastAsia" w:eastAsiaTheme="minorEastAsia" w:cstheme="minorEastAsia"/>
                <w:szCs w:val="21"/>
              </w:rPr>
            </w:pPr>
          </w:p>
        </w:tc>
        <w:tc>
          <w:tcPr>
            <w:tcW w:w="1908" w:type="dxa"/>
            <w:vAlign w:val="center"/>
          </w:tcPr>
          <w:p>
            <w:pPr>
              <w:autoSpaceDE w:val="0"/>
              <w:autoSpaceDN w:val="0"/>
              <w:adjustRightInd w:val="0"/>
              <w:spacing w:line="560" w:lineRule="exact"/>
              <w:rPr>
                <w:rFonts w:hint="eastAsia" w:ascii="宋体" w:hAnsi="宋体" w:eastAsia="宋体" w:cs="宋体"/>
                <w:kern w:val="0"/>
                <w:szCs w:val="21"/>
              </w:rPr>
            </w:pPr>
            <w:r>
              <w:rPr>
                <w:rFonts w:hint="eastAsia" w:ascii="宋体" w:hAnsi="宋体" w:eastAsia="宋体" w:cs="宋体"/>
                <w:kern w:val="0"/>
                <w:szCs w:val="21"/>
              </w:rPr>
              <w:t>技术参数</w:t>
            </w:r>
          </w:p>
          <w:p>
            <w:pPr>
              <w:autoSpaceDE w:val="0"/>
              <w:autoSpaceDN w:val="0"/>
              <w:adjustRightInd w:val="0"/>
              <w:spacing w:line="560" w:lineRule="exact"/>
              <w:rPr>
                <w:rFonts w:hint="eastAsia" w:ascii="宋体" w:hAnsi="宋体" w:eastAsia="宋体" w:cs="宋体"/>
                <w:kern w:val="0"/>
                <w:szCs w:val="21"/>
              </w:rPr>
            </w:pPr>
            <w:r>
              <w:rPr>
                <w:rFonts w:hint="eastAsia" w:ascii="宋体" w:hAnsi="宋体" w:eastAsia="宋体" w:cs="宋体"/>
                <w:kern w:val="0"/>
                <w:szCs w:val="21"/>
              </w:rPr>
              <w:t>（20分）</w:t>
            </w:r>
          </w:p>
        </w:tc>
        <w:tc>
          <w:tcPr>
            <w:tcW w:w="5492" w:type="dxa"/>
            <w:vAlign w:val="center"/>
          </w:tcPr>
          <w:p>
            <w:pPr>
              <w:autoSpaceDE w:val="0"/>
              <w:autoSpaceDN w:val="0"/>
              <w:adjustRightInd w:val="0"/>
              <w:spacing w:line="560" w:lineRule="exact"/>
              <w:rPr>
                <w:rFonts w:hint="eastAsia" w:ascii="宋体" w:hAnsi="宋体" w:eastAsia="宋体" w:cs="宋体"/>
                <w:kern w:val="0"/>
                <w:szCs w:val="21"/>
              </w:rPr>
            </w:pPr>
            <w:r>
              <w:rPr>
                <w:rFonts w:hint="eastAsia" w:ascii="宋体" w:hAnsi="宋体" w:eastAsia="宋体" w:cs="宋体"/>
                <w:kern w:val="0"/>
                <w:szCs w:val="21"/>
              </w:rPr>
              <w:t>所投产品配置完全符合招标文件采购内容及要求的得20分。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36" w:type="dxa"/>
            <w:vMerge w:val="continue"/>
            <w:vAlign w:val="center"/>
          </w:tcPr>
          <w:p>
            <w:pPr>
              <w:widowControl/>
              <w:spacing w:line="560" w:lineRule="exact"/>
              <w:jc w:val="center"/>
              <w:rPr>
                <w:rFonts w:asciiTheme="minorEastAsia" w:hAnsiTheme="minorEastAsia" w:eastAsiaTheme="minorEastAsia" w:cstheme="minorEastAsia"/>
                <w:szCs w:val="21"/>
              </w:rPr>
            </w:pPr>
          </w:p>
        </w:tc>
        <w:tc>
          <w:tcPr>
            <w:tcW w:w="1908" w:type="dxa"/>
            <w:vAlign w:val="center"/>
          </w:tcPr>
          <w:p>
            <w:pPr>
              <w:autoSpaceDE w:val="0"/>
              <w:autoSpaceDN w:val="0"/>
              <w:adjustRightInd w:val="0"/>
              <w:spacing w:line="560" w:lineRule="exact"/>
              <w:rPr>
                <w:rFonts w:hint="eastAsia" w:ascii="宋体" w:hAnsi="宋体" w:eastAsia="宋体" w:cs="宋体"/>
                <w:kern w:val="0"/>
                <w:szCs w:val="21"/>
                <w:highlight w:val="none"/>
                <w:lang w:val="zh-CN"/>
              </w:rPr>
            </w:pPr>
            <w:r>
              <w:rPr>
                <w:rFonts w:hint="eastAsia" w:ascii="宋体" w:hAnsi="宋体" w:eastAsia="宋体" w:cs="宋体"/>
                <w:kern w:val="0"/>
                <w:szCs w:val="21"/>
                <w:highlight w:val="none"/>
              </w:rPr>
              <w:t>实施方案（</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w:t>
            </w:r>
          </w:p>
        </w:tc>
        <w:tc>
          <w:tcPr>
            <w:tcW w:w="5492" w:type="dxa"/>
            <w:vAlign w:val="center"/>
          </w:tcPr>
          <w:p>
            <w:pPr>
              <w:autoSpaceDE w:val="0"/>
              <w:autoSpaceDN w:val="0"/>
              <w:adjustRightInd w:val="0"/>
              <w:spacing w:line="560" w:lineRule="exact"/>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lang w:val="en-US" w:eastAsia="zh-CN" w:bidi="ar-SA"/>
              </w:rPr>
              <w:t>根据供应商提交的实施方案，内容完整，科学合理，层次清楚</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能够满足项目需求，方案优秀的得5 分；方案良好的得 3 分；方案一的得1分，不提供不得分。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36" w:type="dxa"/>
            <w:vMerge w:val="continue"/>
            <w:vAlign w:val="center"/>
          </w:tcPr>
          <w:p>
            <w:pPr>
              <w:widowControl/>
              <w:spacing w:line="560" w:lineRule="exact"/>
              <w:jc w:val="center"/>
              <w:rPr>
                <w:rFonts w:asciiTheme="minorEastAsia" w:hAnsiTheme="minorEastAsia" w:eastAsiaTheme="minorEastAsia" w:cstheme="minorEastAsia"/>
                <w:szCs w:val="21"/>
              </w:rPr>
            </w:pPr>
          </w:p>
        </w:tc>
        <w:tc>
          <w:tcPr>
            <w:tcW w:w="1908" w:type="dxa"/>
            <w:vAlign w:val="center"/>
          </w:tcPr>
          <w:p>
            <w:pPr>
              <w:pStyle w:val="30"/>
              <w:snapToGrid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安装及调试</w:t>
            </w:r>
          </w:p>
          <w:p>
            <w:pPr>
              <w:pStyle w:val="30"/>
              <w:snapToGrid w:val="0"/>
              <w:spacing w:line="360" w:lineRule="auto"/>
              <w:jc w:val="both"/>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方 案（</w:t>
            </w:r>
            <w:r>
              <w:rPr>
                <w:rFonts w:hint="eastAsia" w:hAnsi="宋体" w:cs="宋体"/>
                <w:color w:val="auto"/>
                <w:kern w:val="0"/>
                <w:sz w:val="21"/>
                <w:szCs w:val="21"/>
                <w:lang w:val="en-US" w:eastAsia="zh-CN" w:bidi="ar-SA"/>
              </w:rPr>
              <w:t>5</w:t>
            </w:r>
            <w:r>
              <w:rPr>
                <w:rFonts w:hint="eastAsia" w:ascii="宋体" w:hAnsi="宋体" w:eastAsia="宋体" w:cs="宋体"/>
                <w:color w:val="auto"/>
                <w:kern w:val="0"/>
                <w:sz w:val="21"/>
                <w:szCs w:val="21"/>
                <w:lang w:val="en-US" w:eastAsia="zh-CN" w:bidi="ar-SA"/>
              </w:rPr>
              <w:t>分）</w:t>
            </w:r>
          </w:p>
        </w:tc>
        <w:tc>
          <w:tcPr>
            <w:tcW w:w="5492" w:type="dxa"/>
            <w:vAlign w:val="center"/>
          </w:tcPr>
          <w:p>
            <w:pPr>
              <w:pStyle w:val="30"/>
              <w:snapToGrid w:val="0"/>
              <w:spacing w:line="360" w:lineRule="auto"/>
              <w:jc w:val="both"/>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从方案的人员配置、进度计划等方面的科学性、合理性、规范性及针对性进行比较评价，提供方案优秀的得</w:t>
            </w:r>
            <w:r>
              <w:rPr>
                <w:rFonts w:hint="eastAsia" w:hAnsi="宋体" w:cs="宋体"/>
                <w:color w:val="auto"/>
                <w:kern w:val="0"/>
                <w:sz w:val="21"/>
                <w:szCs w:val="21"/>
                <w:lang w:val="en-US" w:eastAsia="zh-CN" w:bidi="ar-SA"/>
              </w:rPr>
              <w:t>5</w:t>
            </w:r>
            <w:r>
              <w:rPr>
                <w:rFonts w:hint="eastAsia" w:ascii="宋体" w:hAnsi="宋体" w:eastAsia="宋体" w:cs="宋体"/>
                <w:color w:val="auto"/>
                <w:kern w:val="0"/>
                <w:sz w:val="21"/>
                <w:szCs w:val="21"/>
                <w:lang w:val="en-US" w:eastAsia="zh-CN" w:bidi="ar-SA"/>
              </w:rPr>
              <w:t xml:space="preserve"> 分；方案良好的得</w:t>
            </w:r>
            <w:r>
              <w:rPr>
                <w:rFonts w:hint="eastAsia" w:hAnsi="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分；方案一般的得1分，不提供不得分。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36" w:type="dxa"/>
            <w:vMerge w:val="continue"/>
            <w:vAlign w:val="center"/>
          </w:tcPr>
          <w:p>
            <w:pPr>
              <w:widowControl/>
              <w:spacing w:line="560" w:lineRule="exact"/>
              <w:jc w:val="center"/>
              <w:rPr>
                <w:rFonts w:asciiTheme="minorEastAsia" w:hAnsiTheme="minorEastAsia" w:eastAsiaTheme="minorEastAsia" w:cstheme="minorEastAsia"/>
                <w:szCs w:val="21"/>
              </w:rPr>
            </w:pPr>
          </w:p>
        </w:tc>
        <w:tc>
          <w:tcPr>
            <w:tcW w:w="1908" w:type="dxa"/>
            <w:vAlign w:val="center"/>
          </w:tcPr>
          <w:p>
            <w:pPr>
              <w:pStyle w:val="30"/>
              <w:snapToGrid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供货周期保</w:t>
            </w:r>
          </w:p>
          <w:p>
            <w:pPr>
              <w:pStyle w:val="30"/>
              <w:snapToGrid w:val="0"/>
              <w:spacing w:line="360" w:lineRule="auto"/>
              <w:jc w:val="both"/>
              <w:rPr>
                <w:rFonts w:hint="default"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lang w:val="en-US" w:eastAsia="zh-CN" w:bidi="ar-SA"/>
              </w:rPr>
              <w:t>证措施（</w:t>
            </w:r>
            <w:r>
              <w:rPr>
                <w:rFonts w:hint="eastAsia" w:hAnsi="宋体" w:cs="宋体"/>
                <w:color w:val="auto"/>
                <w:kern w:val="0"/>
                <w:sz w:val="21"/>
                <w:szCs w:val="21"/>
                <w:lang w:val="en-US" w:eastAsia="zh-CN" w:bidi="ar-SA"/>
              </w:rPr>
              <w:t>5</w:t>
            </w:r>
            <w:r>
              <w:rPr>
                <w:rFonts w:hint="eastAsia" w:ascii="宋体" w:hAnsi="宋体" w:eastAsia="宋体" w:cs="宋体"/>
                <w:color w:val="auto"/>
                <w:kern w:val="0"/>
                <w:sz w:val="21"/>
                <w:szCs w:val="21"/>
                <w:lang w:val="en-US" w:eastAsia="zh-CN" w:bidi="ar-SA"/>
              </w:rPr>
              <w:t>分）</w:t>
            </w:r>
          </w:p>
        </w:tc>
        <w:tc>
          <w:tcPr>
            <w:tcW w:w="5492" w:type="dxa"/>
            <w:vAlign w:val="center"/>
          </w:tcPr>
          <w:p>
            <w:pPr>
              <w:pStyle w:val="30"/>
              <w:snapToGrid w:val="0"/>
              <w:spacing w:line="360" w:lineRule="auto"/>
              <w:jc w:val="both"/>
              <w:rPr>
                <w:rFonts w:hint="default"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lang w:val="en-US" w:eastAsia="zh-CN" w:bidi="ar-SA"/>
              </w:rPr>
              <w:t>供货周期保证措施</w:t>
            </w:r>
            <w:r>
              <w:rPr>
                <w:rFonts w:hint="eastAsia" w:hAnsi="宋体" w:cs="宋体"/>
                <w:color w:val="auto"/>
                <w:kern w:val="0"/>
                <w:sz w:val="21"/>
                <w:szCs w:val="21"/>
                <w:lang w:val="en-US" w:eastAsia="zh-CN" w:bidi="ar-SA"/>
              </w:rPr>
              <w:t>方案</w:t>
            </w:r>
            <w:r>
              <w:rPr>
                <w:rFonts w:hint="eastAsia" w:ascii="宋体" w:hAnsi="宋体" w:eastAsia="宋体" w:cs="宋体"/>
                <w:color w:val="auto"/>
                <w:kern w:val="0"/>
                <w:sz w:val="21"/>
                <w:szCs w:val="21"/>
                <w:lang w:val="en-US" w:eastAsia="zh-CN" w:bidi="ar-SA"/>
              </w:rPr>
              <w:t>内容清晰、详实，措施科学合理且有针对性、可行性强的得</w:t>
            </w:r>
            <w:r>
              <w:rPr>
                <w:rFonts w:hint="eastAsia" w:hAnsi="宋体" w:cs="宋体"/>
                <w:color w:val="auto"/>
                <w:kern w:val="0"/>
                <w:sz w:val="21"/>
                <w:szCs w:val="21"/>
                <w:lang w:val="en-US" w:eastAsia="zh-CN" w:bidi="ar-SA"/>
              </w:rPr>
              <w:t>5</w:t>
            </w:r>
            <w:r>
              <w:rPr>
                <w:rFonts w:hint="eastAsia" w:ascii="宋体" w:hAnsi="宋体" w:eastAsia="宋体" w:cs="宋体"/>
                <w:color w:val="auto"/>
                <w:kern w:val="0"/>
                <w:sz w:val="21"/>
                <w:szCs w:val="21"/>
                <w:lang w:val="en-US" w:eastAsia="zh-CN" w:bidi="ar-SA"/>
              </w:rPr>
              <w:t>分；方案良好的得</w:t>
            </w:r>
            <w:r>
              <w:rPr>
                <w:rFonts w:hint="eastAsia" w:hAnsi="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 xml:space="preserve"> 分；方案一般的得1分，不提供不得分。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36" w:type="dxa"/>
            <w:vMerge w:val="continue"/>
            <w:vAlign w:val="center"/>
          </w:tcPr>
          <w:p>
            <w:pPr>
              <w:widowControl/>
              <w:spacing w:line="560" w:lineRule="exact"/>
              <w:jc w:val="center"/>
              <w:rPr>
                <w:rFonts w:asciiTheme="minorEastAsia" w:hAnsiTheme="minorEastAsia" w:eastAsiaTheme="minorEastAsia" w:cstheme="minorEastAsia"/>
                <w:szCs w:val="21"/>
              </w:rPr>
            </w:pPr>
          </w:p>
        </w:tc>
        <w:tc>
          <w:tcPr>
            <w:tcW w:w="1908" w:type="dxa"/>
            <w:vAlign w:val="center"/>
          </w:tcPr>
          <w:p>
            <w:pPr>
              <w:pStyle w:val="30"/>
              <w:snapToGrid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风险管理措施</w:t>
            </w:r>
          </w:p>
          <w:p>
            <w:pPr>
              <w:pStyle w:val="30"/>
              <w:snapToGrid w:val="0"/>
              <w:spacing w:line="360" w:lineRule="auto"/>
              <w:jc w:val="both"/>
              <w:rPr>
                <w:rFonts w:hint="eastAsia" w:ascii="宋体" w:hAnsi="宋体" w:eastAsia="宋体" w:cs="宋体"/>
                <w:color w:val="auto"/>
                <w:kern w:val="0"/>
                <w:sz w:val="21"/>
                <w:szCs w:val="21"/>
                <w:lang w:val="en-US" w:eastAsia="zh-CN" w:bidi="ar-SA"/>
              </w:rPr>
            </w:pPr>
            <w:r>
              <w:rPr>
                <w:rFonts w:hint="eastAsia" w:hAnsi="宋体" w:cs="宋体"/>
                <w:color w:val="auto"/>
                <w:kern w:val="0"/>
                <w:sz w:val="21"/>
                <w:szCs w:val="21"/>
                <w:lang w:val="en-US" w:eastAsia="zh-CN" w:bidi="ar-SA"/>
              </w:rPr>
              <w:t>（5分）</w:t>
            </w:r>
          </w:p>
        </w:tc>
        <w:tc>
          <w:tcPr>
            <w:tcW w:w="5492" w:type="dxa"/>
            <w:vAlign w:val="center"/>
          </w:tcPr>
          <w:p>
            <w:pPr>
              <w:pStyle w:val="30"/>
              <w:snapToGrid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风险防控管理措施科学齐全，风险控制要点定位准确，各阶段风险控制及应急措施</w:t>
            </w:r>
            <w:r>
              <w:rPr>
                <w:rFonts w:hint="eastAsia" w:hAnsi="宋体" w:cs="宋体"/>
                <w:color w:val="auto"/>
                <w:kern w:val="0"/>
                <w:sz w:val="21"/>
                <w:szCs w:val="21"/>
                <w:lang w:val="en-US" w:eastAsia="zh-CN" w:bidi="ar-SA"/>
              </w:rPr>
              <w:t>优秀</w:t>
            </w:r>
            <w:r>
              <w:rPr>
                <w:rFonts w:hint="eastAsia" w:ascii="宋体" w:hAnsi="宋体" w:eastAsia="宋体" w:cs="宋体"/>
                <w:color w:val="auto"/>
                <w:kern w:val="0"/>
                <w:sz w:val="21"/>
                <w:szCs w:val="21"/>
                <w:lang w:val="en-US" w:eastAsia="zh-CN" w:bidi="ar-SA"/>
              </w:rPr>
              <w:t>的得</w:t>
            </w:r>
            <w:r>
              <w:rPr>
                <w:rFonts w:hint="eastAsia" w:hAnsi="宋体" w:cs="宋体"/>
                <w:color w:val="auto"/>
                <w:kern w:val="0"/>
                <w:sz w:val="21"/>
                <w:szCs w:val="21"/>
                <w:lang w:val="en-US" w:eastAsia="zh-CN" w:bidi="ar-SA"/>
              </w:rPr>
              <w:t>5</w:t>
            </w:r>
            <w:r>
              <w:rPr>
                <w:rFonts w:hint="eastAsia" w:ascii="宋体" w:hAnsi="宋体" w:eastAsia="宋体" w:cs="宋体"/>
                <w:color w:val="auto"/>
                <w:kern w:val="0"/>
                <w:sz w:val="21"/>
                <w:szCs w:val="21"/>
                <w:lang w:val="en-US" w:eastAsia="zh-CN" w:bidi="ar-SA"/>
              </w:rPr>
              <w:t>分；风险防控管理措施合理齐全，风险控制要点定位准确，各阶段风险控制及应急措施合理的得</w:t>
            </w:r>
            <w:r>
              <w:rPr>
                <w:rFonts w:hint="eastAsia" w:hAnsi="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分</w:t>
            </w:r>
            <w:r>
              <w:rPr>
                <w:rFonts w:hint="eastAsia"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风险防控管理措施</w:t>
            </w:r>
            <w:r>
              <w:rPr>
                <w:rFonts w:hint="eastAsia" w:hAnsi="宋体" w:cs="宋体"/>
                <w:color w:val="auto"/>
                <w:kern w:val="0"/>
                <w:sz w:val="21"/>
                <w:szCs w:val="21"/>
                <w:lang w:val="en-US" w:eastAsia="zh-CN" w:bidi="ar-SA"/>
              </w:rPr>
              <w:t>一般的</w:t>
            </w:r>
            <w:r>
              <w:rPr>
                <w:rFonts w:hint="eastAsia" w:ascii="宋体" w:hAnsi="宋体" w:eastAsia="宋体" w:cs="宋体"/>
                <w:color w:val="auto"/>
                <w:kern w:val="0"/>
                <w:sz w:val="21"/>
                <w:szCs w:val="21"/>
                <w:lang w:val="en-US" w:eastAsia="zh-CN" w:bidi="ar-SA"/>
              </w:rPr>
              <w:t>得 1 分；未提供不得分</w:t>
            </w:r>
            <w:r>
              <w:rPr>
                <w:rFonts w:hint="eastAsia" w:hAnsi="宋体" w:cs="宋体"/>
                <w:color w:val="auto"/>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36" w:type="dxa"/>
            <w:vMerge w:val="continue"/>
            <w:vAlign w:val="center"/>
          </w:tcPr>
          <w:p>
            <w:pPr>
              <w:widowControl/>
              <w:spacing w:line="560" w:lineRule="exact"/>
              <w:jc w:val="center"/>
              <w:rPr>
                <w:rFonts w:asciiTheme="minorEastAsia" w:hAnsiTheme="minorEastAsia" w:eastAsiaTheme="minorEastAsia" w:cstheme="minorEastAsia"/>
                <w:szCs w:val="21"/>
              </w:rPr>
            </w:pPr>
          </w:p>
        </w:tc>
        <w:tc>
          <w:tcPr>
            <w:tcW w:w="1908" w:type="dxa"/>
            <w:vAlign w:val="center"/>
          </w:tcPr>
          <w:p>
            <w:pPr>
              <w:pStyle w:val="30"/>
              <w:snapToGrid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安全管理体系与措施（</w:t>
            </w:r>
            <w:r>
              <w:rPr>
                <w:rFonts w:hint="eastAsia" w:hAnsi="宋体" w:cs="宋体"/>
                <w:color w:val="auto"/>
                <w:kern w:val="0"/>
                <w:sz w:val="21"/>
                <w:szCs w:val="21"/>
                <w:lang w:val="en-US" w:eastAsia="zh-CN" w:bidi="ar-SA"/>
              </w:rPr>
              <w:t>5</w:t>
            </w:r>
            <w:r>
              <w:rPr>
                <w:rFonts w:hint="eastAsia" w:ascii="宋体" w:hAnsi="宋体" w:eastAsia="宋体" w:cs="宋体"/>
                <w:color w:val="auto"/>
                <w:kern w:val="0"/>
                <w:sz w:val="21"/>
                <w:szCs w:val="21"/>
                <w:lang w:val="en-US" w:eastAsia="zh-CN" w:bidi="ar-SA"/>
              </w:rPr>
              <w:t xml:space="preserve"> 分）</w:t>
            </w:r>
          </w:p>
        </w:tc>
        <w:tc>
          <w:tcPr>
            <w:tcW w:w="5492" w:type="dxa"/>
            <w:vAlign w:val="center"/>
          </w:tcPr>
          <w:p>
            <w:pPr>
              <w:pStyle w:val="30"/>
              <w:snapToGrid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安全管理体系与措施科学、严谨的得</w:t>
            </w:r>
            <w:r>
              <w:rPr>
                <w:rFonts w:hint="eastAsia" w:hAnsi="宋体" w:cs="宋体"/>
                <w:color w:val="auto"/>
                <w:kern w:val="0"/>
                <w:sz w:val="21"/>
                <w:szCs w:val="21"/>
                <w:lang w:val="en-US" w:eastAsia="zh-CN" w:bidi="ar-SA"/>
              </w:rPr>
              <w:t>5</w:t>
            </w:r>
            <w:r>
              <w:rPr>
                <w:rFonts w:hint="eastAsia" w:ascii="宋体" w:hAnsi="宋体" w:eastAsia="宋体" w:cs="宋体"/>
                <w:color w:val="auto"/>
                <w:kern w:val="0"/>
                <w:sz w:val="21"/>
                <w:szCs w:val="21"/>
                <w:lang w:val="en-US" w:eastAsia="zh-CN" w:bidi="ar-SA"/>
              </w:rPr>
              <w:t>分；安全管理体系与措施合理、可行的得</w:t>
            </w:r>
            <w:r>
              <w:rPr>
                <w:rFonts w:hint="eastAsia" w:hAnsi="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分；安全管理体系与措施</w:t>
            </w:r>
            <w:r>
              <w:rPr>
                <w:rFonts w:hint="eastAsia" w:hAnsi="宋体" w:cs="宋体"/>
                <w:color w:val="auto"/>
                <w:kern w:val="0"/>
                <w:sz w:val="21"/>
                <w:szCs w:val="21"/>
                <w:lang w:val="en-US" w:eastAsia="zh-CN" w:bidi="ar-SA"/>
              </w:rPr>
              <w:t>一般</w:t>
            </w:r>
            <w:r>
              <w:rPr>
                <w:rFonts w:hint="eastAsia" w:ascii="宋体" w:hAnsi="宋体" w:eastAsia="宋体" w:cs="宋体"/>
                <w:color w:val="auto"/>
                <w:kern w:val="0"/>
                <w:sz w:val="21"/>
                <w:szCs w:val="21"/>
                <w:lang w:val="en-US" w:eastAsia="zh-CN" w:bidi="ar-SA"/>
              </w:rPr>
              <w:t>的得</w:t>
            </w:r>
            <w:r>
              <w:rPr>
                <w:rFonts w:hint="eastAsia" w:hAnsi="宋体" w:cs="宋体"/>
                <w:color w:val="auto"/>
                <w:kern w:val="0"/>
                <w:sz w:val="21"/>
                <w:szCs w:val="21"/>
                <w:lang w:val="en-US" w:eastAsia="zh-CN" w:bidi="ar-SA"/>
              </w:rPr>
              <w:t>1</w:t>
            </w:r>
            <w:r>
              <w:rPr>
                <w:rFonts w:hint="eastAsia" w:ascii="宋体" w:hAnsi="宋体" w:eastAsia="宋体" w:cs="宋体"/>
                <w:color w:val="auto"/>
                <w:kern w:val="0"/>
                <w:sz w:val="21"/>
                <w:szCs w:val="21"/>
                <w:lang w:val="en-US" w:eastAsia="zh-CN" w:bidi="ar-SA"/>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36" w:type="dxa"/>
            <w:vMerge w:val="restart"/>
            <w:vAlign w:val="center"/>
          </w:tcPr>
          <w:p>
            <w:pPr>
              <w:widowControl/>
              <w:spacing w:line="56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综合部分（2</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w:t>
            </w:r>
          </w:p>
        </w:tc>
        <w:tc>
          <w:tcPr>
            <w:tcW w:w="1908" w:type="dxa"/>
            <w:vAlign w:val="center"/>
          </w:tcPr>
          <w:p>
            <w:pPr>
              <w:pStyle w:val="30"/>
              <w:snapToGrid w:val="0"/>
              <w:spacing w:line="360" w:lineRule="auto"/>
              <w:jc w:val="both"/>
              <w:rPr>
                <w:rFonts w:hint="default" w:hAnsi="宋体" w:cs="宋体"/>
                <w:color w:val="auto"/>
                <w:kern w:val="2"/>
                <w:sz w:val="21"/>
                <w:szCs w:val="21"/>
              </w:rPr>
            </w:pPr>
            <w:r>
              <w:rPr>
                <w:rFonts w:hAnsi="宋体" w:cs="宋体"/>
                <w:color w:val="auto"/>
                <w:kern w:val="2"/>
                <w:sz w:val="21"/>
                <w:szCs w:val="21"/>
              </w:rPr>
              <w:t>企业业绩（</w:t>
            </w:r>
            <w:r>
              <w:rPr>
                <w:rFonts w:hint="eastAsia" w:hAnsi="宋体" w:cs="宋体"/>
                <w:color w:val="auto"/>
                <w:kern w:val="2"/>
                <w:sz w:val="21"/>
                <w:szCs w:val="21"/>
                <w:lang w:val="en-US" w:eastAsia="zh-CN"/>
              </w:rPr>
              <w:t>10</w:t>
            </w:r>
            <w:r>
              <w:rPr>
                <w:rFonts w:hAnsi="宋体" w:cs="宋体"/>
                <w:color w:val="auto"/>
                <w:kern w:val="2"/>
                <w:sz w:val="21"/>
                <w:szCs w:val="21"/>
              </w:rPr>
              <w:t>分）</w:t>
            </w:r>
          </w:p>
        </w:tc>
        <w:tc>
          <w:tcPr>
            <w:tcW w:w="5492" w:type="dxa"/>
            <w:vAlign w:val="center"/>
          </w:tcPr>
          <w:p>
            <w:pPr>
              <w:pStyle w:val="9"/>
              <w:rPr>
                <w:rFonts w:hint="default" w:hAnsi="宋体" w:cs="宋体"/>
                <w:color w:val="auto"/>
                <w:kern w:val="2"/>
                <w:sz w:val="21"/>
                <w:szCs w:val="21"/>
              </w:rPr>
            </w:pPr>
            <w:r>
              <w:rPr>
                <w:rFonts w:hint="eastAsia" w:ascii="宋体" w:hAnsi="宋体" w:cs="宋体"/>
                <w:szCs w:val="21"/>
              </w:rPr>
              <w:t>投标人须提供202</w:t>
            </w:r>
            <w:r>
              <w:rPr>
                <w:rFonts w:hint="eastAsia" w:ascii="宋体" w:hAnsi="宋体" w:cs="宋体"/>
                <w:szCs w:val="21"/>
                <w:lang w:val="en-US" w:eastAsia="zh-CN"/>
              </w:rPr>
              <w:t>1</w:t>
            </w:r>
            <w:r>
              <w:rPr>
                <w:rFonts w:hint="eastAsia" w:ascii="宋体" w:hAnsi="宋体" w:cs="宋体"/>
                <w:szCs w:val="21"/>
              </w:rPr>
              <w:t>年1月1日以来承担过类似项目业绩的每提供一份得</w:t>
            </w:r>
            <w:r>
              <w:rPr>
                <w:rFonts w:hint="eastAsia" w:ascii="宋体" w:hAnsi="宋体" w:cs="宋体"/>
                <w:szCs w:val="21"/>
                <w:lang w:val="en-US" w:eastAsia="zh-CN"/>
              </w:rPr>
              <w:t>2</w:t>
            </w:r>
            <w:r>
              <w:rPr>
                <w:rFonts w:hint="eastAsia" w:ascii="宋体" w:hAnsi="宋体" w:cs="宋体"/>
                <w:szCs w:val="21"/>
              </w:rPr>
              <w:t>分，最多得</w:t>
            </w:r>
            <w:r>
              <w:rPr>
                <w:rFonts w:hint="eastAsia" w:ascii="宋体" w:hAnsi="宋体" w:cs="宋体"/>
                <w:szCs w:val="21"/>
                <w:lang w:val="en-US" w:eastAsia="zh-CN"/>
              </w:rPr>
              <w:t>10</w:t>
            </w:r>
            <w:r>
              <w:rPr>
                <w:rFonts w:hint="eastAsia" w:ascii="宋体" w:hAnsi="宋体" w:cs="宋体"/>
                <w:szCs w:val="21"/>
              </w:rPr>
              <w:t>分，不提供不得分；（需提供合同，以合同签订时间为准）。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36" w:type="dxa"/>
            <w:vMerge w:val="continue"/>
            <w:vAlign w:val="center"/>
          </w:tcPr>
          <w:p>
            <w:pPr>
              <w:widowControl/>
              <w:spacing w:line="560" w:lineRule="exact"/>
              <w:jc w:val="center"/>
              <w:rPr>
                <w:rFonts w:asciiTheme="minorEastAsia" w:hAnsiTheme="minorEastAsia" w:eastAsiaTheme="minorEastAsia" w:cstheme="minorEastAsia"/>
                <w:szCs w:val="21"/>
              </w:rPr>
            </w:pPr>
          </w:p>
        </w:tc>
        <w:tc>
          <w:tcPr>
            <w:tcW w:w="1908" w:type="dxa"/>
            <w:vAlign w:val="center"/>
          </w:tcPr>
          <w:p>
            <w:pPr>
              <w:pStyle w:val="30"/>
              <w:snapToGrid w:val="0"/>
              <w:spacing w:line="360" w:lineRule="auto"/>
              <w:jc w:val="both"/>
              <w:rPr>
                <w:rFonts w:hint="default" w:ascii="宋体" w:hAnsi="宋体" w:eastAsia="宋体" w:cs="宋体"/>
                <w:color w:val="auto"/>
                <w:kern w:val="0"/>
                <w:sz w:val="21"/>
                <w:szCs w:val="21"/>
                <w:lang w:val="en-US" w:eastAsia="zh-CN" w:bidi="ar-SA"/>
              </w:rPr>
            </w:pPr>
            <w:r>
              <w:rPr>
                <w:rFonts w:hint="eastAsia" w:hAnsi="宋体" w:cs="宋体"/>
                <w:color w:val="auto"/>
                <w:kern w:val="0"/>
                <w:sz w:val="21"/>
                <w:szCs w:val="21"/>
                <w:lang w:val="en-US" w:eastAsia="zh-CN" w:bidi="ar-SA"/>
              </w:rPr>
              <w:t>企业体系认证（3分）</w:t>
            </w:r>
          </w:p>
        </w:tc>
        <w:tc>
          <w:tcPr>
            <w:tcW w:w="5492" w:type="dxa"/>
            <w:vAlign w:val="center"/>
          </w:tcPr>
          <w:p>
            <w:pPr>
              <w:pStyle w:val="30"/>
              <w:snapToGrid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投标人具有质量管理体系认证、环境管理体系认证、职业健康安全管理体系认证证书</w:t>
            </w:r>
            <w:r>
              <w:rPr>
                <w:rFonts w:hint="eastAsia" w:hAnsi="宋体" w:cs="宋体"/>
                <w:color w:val="auto"/>
                <w:kern w:val="0"/>
                <w:sz w:val="21"/>
                <w:szCs w:val="21"/>
                <w:lang w:val="en-US" w:eastAsia="zh-CN" w:bidi="ar-SA"/>
              </w:rPr>
              <w:t>每提供一个得1分，不提供不得分</w:t>
            </w:r>
            <w:r>
              <w:rPr>
                <w:rFonts w:hint="eastAsia" w:ascii="宋体" w:hAnsi="宋体" w:eastAsia="宋体" w:cs="宋体"/>
                <w:color w:val="auto"/>
                <w:kern w:val="0"/>
                <w:sz w:val="21"/>
                <w:szCs w:val="21"/>
                <w:lang w:val="en-US" w:eastAsia="zh-CN" w:bidi="ar-SA"/>
              </w:rPr>
              <w:t>；注：以投标文件中扫描件为准，未提供者不得分。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36" w:type="dxa"/>
            <w:vMerge w:val="continue"/>
            <w:vAlign w:val="center"/>
          </w:tcPr>
          <w:p>
            <w:pPr>
              <w:widowControl/>
              <w:spacing w:line="560" w:lineRule="exact"/>
              <w:jc w:val="center"/>
              <w:rPr>
                <w:rFonts w:asciiTheme="minorEastAsia" w:hAnsiTheme="minorEastAsia" w:eastAsiaTheme="minorEastAsia" w:cstheme="minorEastAsia"/>
                <w:szCs w:val="21"/>
              </w:rPr>
            </w:pPr>
          </w:p>
        </w:tc>
        <w:tc>
          <w:tcPr>
            <w:tcW w:w="1908" w:type="dxa"/>
            <w:vAlign w:val="center"/>
          </w:tcPr>
          <w:p>
            <w:pPr>
              <w:pStyle w:val="30"/>
              <w:snapToGrid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独立解决事故承诺（</w:t>
            </w:r>
            <w:r>
              <w:rPr>
                <w:rFonts w:hint="eastAsia" w:hAnsi="宋体" w:cs="宋体"/>
                <w:color w:val="auto"/>
                <w:kern w:val="0"/>
                <w:sz w:val="21"/>
                <w:szCs w:val="21"/>
                <w:lang w:val="en-US" w:eastAsia="zh-CN" w:bidi="ar-SA"/>
              </w:rPr>
              <w:t>2</w:t>
            </w:r>
            <w:r>
              <w:rPr>
                <w:rFonts w:hint="eastAsia" w:ascii="宋体" w:hAnsi="宋体" w:eastAsia="宋体" w:cs="宋体"/>
                <w:color w:val="auto"/>
                <w:kern w:val="0"/>
                <w:sz w:val="21"/>
                <w:szCs w:val="21"/>
                <w:lang w:val="en-US" w:eastAsia="zh-CN" w:bidi="ar-SA"/>
              </w:rPr>
              <w:t>分）</w:t>
            </w:r>
          </w:p>
        </w:tc>
        <w:tc>
          <w:tcPr>
            <w:tcW w:w="5492" w:type="dxa"/>
            <w:vAlign w:val="center"/>
          </w:tcPr>
          <w:p>
            <w:pPr>
              <w:pStyle w:val="30"/>
              <w:snapToGrid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独立解决伤亡事故和用工等纠纷，不让采购人承担责任的承诺及措施，得</w:t>
            </w:r>
            <w:r>
              <w:rPr>
                <w:rFonts w:hint="eastAsia" w:hAnsi="宋体" w:cs="宋体"/>
                <w:color w:val="auto"/>
                <w:kern w:val="0"/>
                <w:sz w:val="21"/>
                <w:szCs w:val="21"/>
                <w:lang w:val="en-US" w:eastAsia="zh-CN" w:bidi="ar-SA"/>
              </w:rPr>
              <w:t>2</w:t>
            </w:r>
            <w:r>
              <w:rPr>
                <w:rFonts w:hint="eastAsia" w:ascii="宋体" w:hAnsi="宋体" w:eastAsia="宋体" w:cs="宋体"/>
                <w:color w:val="auto"/>
                <w:kern w:val="0"/>
                <w:sz w:val="21"/>
                <w:szCs w:val="21"/>
                <w:lang w:val="en-US" w:eastAsia="zh-CN" w:bidi="ar-SA"/>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36" w:type="dxa"/>
            <w:vMerge w:val="continue"/>
            <w:vAlign w:val="center"/>
          </w:tcPr>
          <w:p>
            <w:pPr>
              <w:widowControl/>
              <w:spacing w:line="560" w:lineRule="exact"/>
              <w:jc w:val="center"/>
              <w:rPr>
                <w:rFonts w:asciiTheme="minorEastAsia" w:hAnsiTheme="minorEastAsia" w:eastAsiaTheme="minorEastAsia" w:cstheme="minorEastAsia"/>
                <w:szCs w:val="21"/>
              </w:rPr>
            </w:pPr>
          </w:p>
        </w:tc>
        <w:tc>
          <w:tcPr>
            <w:tcW w:w="1908" w:type="dxa"/>
            <w:vAlign w:val="center"/>
          </w:tcPr>
          <w:p>
            <w:pPr>
              <w:pStyle w:val="30"/>
              <w:snapToGrid w:val="0"/>
              <w:spacing w:line="360" w:lineRule="auto"/>
              <w:jc w:val="both"/>
              <w:rPr>
                <w:rFonts w:hAnsi="宋体" w:cs="宋体"/>
                <w:color w:val="auto"/>
                <w:kern w:val="2"/>
                <w:sz w:val="21"/>
                <w:szCs w:val="21"/>
              </w:rPr>
            </w:pPr>
            <w:r>
              <w:rPr>
                <w:rFonts w:hAnsi="宋体" w:cs="宋体"/>
                <w:color w:val="auto"/>
                <w:kern w:val="2"/>
                <w:sz w:val="21"/>
                <w:szCs w:val="21"/>
              </w:rPr>
              <w:t>优惠服务承诺</w:t>
            </w:r>
          </w:p>
          <w:p>
            <w:pPr>
              <w:pStyle w:val="30"/>
              <w:snapToGrid w:val="0"/>
              <w:spacing w:line="360" w:lineRule="auto"/>
              <w:jc w:val="both"/>
              <w:rPr>
                <w:rFonts w:hint="default" w:hAnsi="宋体" w:cs="宋体"/>
                <w:color w:val="auto"/>
                <w:kern w:val="2"/>
                <w:sz w:val="21"/>
                <w:szCs w:val="21"/>
              </w:rPr>
            </w:pPr>
            <w:r>
              <w:rPr>
                <w:rFonts w:hAnsi="宋体" w:cs="宋体"/>
                <w:color w:val="auto"/>
                <w:kern w:val="2"/>
                <w:sz w:val="21"/>
                <w:szCs w:val="21"/>
              </w:rPr>
              <w:t>（5分）</w:t>
            </w:r>
          </w:p>
        </w:tc>
        <w:tc>
          <w:tcPr>
            <w:tcW w:w="5492" w:type="dxa"/>
            <w:vAlign w:val="center"/>
          </w:tcPr>
          <w:p>
            <w:pPr>
              <w:pStyle w:val="30"/>
              <w:snapToGrid w:val="0"/>
              <w:spacing w:line="360" w:lineRule="auto"/>
              <w:jc w:val="both"/>
              <w:rPr>
                <w:rFonts w:hint="default" w:hAnsi="宋体" w:cs="宋体"/>
                <w:color w:val="auto"/>
                <w:kern w:val="2"/>
                <w:sz w:val="21"/>
                <w:szCs w:val="21"/>
              </w:rPr>
            </w:pPr>
            <w:r>
              <w:rPr>
                <w:rFonts w:hAnsi="宋体" w:cs="宋体"/>
                <w:color w:val="auto"/>
                <w:kern w:val="2"/>
                <w:sz w:val="21"/>
                <w:szCs w:val="21"/>
              </w:rPr>
              <w:t>投标人针对本项目提供优惠服务承诺方案，方案优秀得</w:t>
            </w:r>
            <w:r>
              <w:rPr>
                <w:rFonts w:hint="eastAsia" w:hAnsi="宋体" w:cs="宋体"/>
                <w:color w:val="auto"/>
                <w:kern w:val="2"/>
                <w:sz w:val="21"/>
                <w:szCs w:val="21"/>
                <w:lang w:val="en-US" w:eastAsia="zh-CN"/>
              </w:rPr>
              <w:t>4-</w:t>
            </w:r>
            <w:r>
              <w:rPr>
                <w:rFonts w:hAnsi="宋体" w:cs="宋体"/>
                <w:color w:val="auto"/>
                <w:kern w:val="2"/>
                <w:sz w:val="21"/>
                <w:szCs w:val="21"/>
              </w:rPr>
              <w:t>5分，方案良好得</w:t>
            </w:r>
            <w:r>
              <w:rPr>
                <w:rFonts w:hint="eastAsia" w:hAnsi="宋体" w:cs="宋体"/>
                <w:color w:val="auto"/>
                <w:kern w:val="2"/>
                <w:sz w:val="21"/>
                <w:szCs w:val="21"/>
                <w:lang w:val="en-US" w:eastAsia="zh-CN"/>
              </w:rPr>
              <w:t>2-</w:t>
            </w:r>
            <w:r>
              <w:rPr>
                <w:rFonts w:hAnsi="宋体" w:cs="宋体"/>
                <w:color w:val="auto"/>
                <w:kern w:val="2"/>
                <w:sz w:val="21"/>
                <w:szCs w:val="21"/>
              </w:rPr>
              <w:t>3分，方案一般得1分，不提供不得分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36" w:type="dxa"/>
            <w:vMerge w:val="continue"/>
            <w:vAlign w:val="center"/>
          </w:tcPr>
          <w:p>
            <w:pPr>
              <w:widowControl/>
              <w:spacing w:line="560" w:lineRule="exact"/>
              <w:jc w:val="center"/>
              <w:rPr>
                <w:rFonts w:asciiTheme="minorEastAsia" w:hAnsiTheme="minorEastAsia" w:eastAsiaTheme="minorEastAsia" w:cstheme="minorEastAsia"/>
                <w:szCs w:val="21"/>
              </w:rPr>
            </w:pPr>
            <w:bookmarkStart w:id="249" w:name="_Toc21064"/>
            <w:bookmarkStart w:id="250" w:name="_Toc465502579"/>
            <w:bookmarkStart w:id="251" w:name="_Toc454147538"/>
            <w:bookmarkStart w:id="252" w:name="_Toc19403"/>
            <w:bookmarkStart w:id="253" w:name="_Toc466017207"/>
          </w:p>
        </w:tc>
        <w:tc>
          <w:tcPr>
            <w:tcW w:w="1908" w:type="dxa"/>
            <w:vAlign w:val="center"/>
          </w:tcPr>
          <w:p>
            <w:pPr>
              <w:pStyle w:val="30"/>
              <w:snapToGrid w:val="0"/>
              <w:spacing w:line="360" w:lineRule="auto"/>
              <w:jc w:val="both"/>
              <w:rPr>
                <w:rFonts w:hAnsi="宋体" w:cs="宋体"/>
                <w:color w:val="auto"/>
                <w:kern w:val="2"/>
                <w:sz w:val="21"/>
                <w:szCs w:val="21"/>
              </w:rPr>
            </w:pPr>
            <w:r>
              <w:rPr>
                <w:rFonts w:hAnsi="宋体" w:cs="宋体"/>
                <w:color w:val="auto"/>
                <w:kern w:val="2"/>
                <w:sz w:val="21"/>
                <w:szCs w:val="21"/>
              </w:rPr>
              <w:t>售后及质保服务</w:t>
            </w:r>
          </w:p>
          <w:p>
            <w:pPr>
              <w:pStyle w:val="30"/>
              <w:snapToGrid w:val="0"/>
              <w:spacing w:line="360" w:lineRule="auto"/>
              <w:jc w:val="both"/>
              <w:rPr>
                <w:rFonts w:hint="default" w:hAnsi="宋体" w:cs="宋体"/>
                <w:color w:val="auto"/>
                <w:szCs w:val="21"/>
              </w:rPr>
            </w:pPr>
            <w:r>
              <w:rPr>
                <w:rFonts w:hAnsi="宋体" w:cs="宋体"/>
                <w:color w:val="auto"/>
                <w:kern w:val="2"/>
                <w:sz w:val="21"/>
                <w:szCs w:val="21"/>
              </w:rPr>
              <w:t>（</w:t>
            </w:r>
            <w:r>
              <w:rPr>
                <w:rFonts w:hint="eastAsia" w:hAnsi="宋体" w:cs="宋体"/>
                <w:color w:val="auto"/>
                <w:kern w:val="2"/>
                <w:sz w:val="21"/>
                <w:szCs w:val="21"/>
                <w:lang w:val="en-US" w:eastAsia="zh-CN"/>
              </w:rPr>
              <w:t>5</w:t>
            </w:r>
            <w:r>
              <w:rPr>
                <w:rFonts w:hAnsi="宋体" w:cs="宋体"/>
                <w:color w:val="auto"/>
                <w:kern w:val="2"/>
                <w:sz w:val="21"/>
                <w:szCs w:val="21"/>
              </w:rPr>
              <w:t>分）</w:t>
            </w:r>
          </w:p>
        </w:tc>
        <w:tc>
          <w:tcPr>
            <w:tcW w:w="5492" w:type="dxa"/>
            <w:vAlign w:val="center"/>
          </w:tcPr>
          <w:p>
            <w:pPr>
              <w:pStyle w:val="30"/>
              <w:snapToGrid w:val="0"/>
              <w:spacing w:line="360" w:lineRule="auto"/>
              <w:jc w:val="both"/>
              <w:rPr>
                <w:rFonts w:ascii="宋体" w:hAnsi="宋体" w:cs="宋体"/>
                <w:szCs w:val="21"/>
              </w:rPr>
            </w:pPr>
            <w:r>
              <w:rPr>
                <w:rFonts w:hAnsi="宋体" w:cs="宋体"/>
                <w:color w:val="auto"/>
                <w:kern w:val="2"/>
                <w:sz w:val="21"/>
                <w:szCs w:val="21"/>
              </w:rPr>
              <w:t>投标人有完整、详细的售后及质保承诺及方案，方案优秀得</w:t>
            </w:r>
            <w:r>
              <w:rPr>
                <w:rFonts w:hint="eastAsia" w:hAnsi="宋体" w:cs="宋体"/>
                <w:color w:val="auto"/>
                <w:kern w:val="2"/>
                <w:sz w:val="21"/>
                <w:szCs w:val="21"/>
                <w:lang w:val="en-US" w:eastAsia="zh-CN"/>
              </w:rPr>
              <w:t>4-5</w:t>
            </w:r>
            <w:r>
              <w:rPr>
                <w:rFonts w:hAnsi="宋体" w:cs="宋体"/>
                <w:color w:val="auto"/>
                <w:kern w:val="2"/>
                <w:sz w:val="21"/>
                <w:szCs w:val="21"/>
              </w:rPr>
              <w:t>分，方案良好得</w:t>
            </w:r>
            <w:r>
              <w:rPr>
                <w:rFonts w:hint="eastAsia" w:hAnsi="宋体" w:cs="宋体"/>
                <w:color w:val="auto"/>
                <w:kern w:val="2"/>
                <w:sz w:val="21"/>
                <w:szCs w:val="21"/>
                <w:lang w:val="en-US" w:eastAsia="zh-CN"/>
              </w:rPr>
              <w:t>2-</w:t>
            </w:r>
            <w:r>
              <w:rPr>
                <w:rFonts w:hAnsi="宋体" w:cs="宋体"/>
                <w:color w:val="auto"/>
                <w:kern w:val="2"/>
                <w:sz w:val="21"/>
                <w:szCs w:val="21"/>
              </w:rPr>
              <w:t>3分，方案一般得1分，不提供不得分。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536" w:type="dxa"/>
            <w:gridSpan w:val="3"/>
            <w:vAlign w:val="center"/>
          </w:tcPr>
          <w:p>
            <w:pPr>
              <w:autoSpaceDE w:val="0"/>
              <w:autoSpaceDN w:val="0"/>
              <w:adjustRightInd w:val="0"/>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投标人综合得分=投标报价得分+技术部分得分+综合部分得分。</w:t>
            </w:r>
          </w:p>
          <w:p>
            <w:pPr>
              <w:autoSpaceDE w:val="0"/>
              <w:autoSpaceDN w:val="0"/>
              <w:adjustRightInd w:val="0"/>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投标人最终得分:</w:t>
            </w:r>
          </w:p>
          <w:p>
            <w:pPr>
              <w:autoSpaceDE w:val="0"/>
              <w:autoSpaceDN w:val="0"/>
              <w:adjustRightInd w:val="0"/>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1.评标委员会完成评审后，取全部得分算术平均值，作为该投标人的最终得分。</w:t>
            </w:r>
          </w:p>
          <w:p>
            <w:pPr>
              <w:autoSpaceDE w:val="0"/>
              <w:autoSpaceDN w:val="0"/>
              <w:adjustRightInd w:val="0"/>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2.本办法计算过程中分值按四舍五入保留二位小数。</w:t>
            </w:r>
          </w:p>
          <w:p>
            <w:pPr>
              <w:autoSpaceDE w:val="0"/>
              <w:autoSpaceDN w:val="0"/>
              <w:adjustRightInd w:val="0"/>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评标委员会对通过以上评审的投标人，按最终得分从高到低排序，确定1至3名中标候选人。当投标人最终得分相等时，按照报价得分从低到高进行排序，排序第-的为中标人，最终得分相等，报价得分也相等按技术指标优劣排列确定中标人。</w:t>
            </w:r>
          </w:p>
        </w:tc>
      </w:tr>
    </w:tbl>
    <w:p>
      <w:pPr>
        <w:numPr>
          <w:ilvl w:val="0"/>
          <w:numId w:val="7"/>
        </w:numPr>
        <w:tabs>
          <w:tab w:val="left" w:pos="170"/>
          <w:tab w:val="left" w:pos="303"/>
          <w:tab w:val="left" w:pos="420"/>
        </w:tabs>
        <w:adjustRightInd w:val="0"/>
        <w:snapToGrid w:val="0"/>
        <w:spacing w:line="560" w:lineRule="exact"/>
        <w:ind w:left="0" w:firstLine="0"/>
        <w:outlineLvl w:val="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 </w:t>
      </w:r>
      <w:bookmarkStart w:id="254" w:name="_Toc6843"/>
      <w:r>
        <w:rPr>
          <w:rFonts w:hint="eastAsia" w:asciiTheme="minorEastAsia" w:hAnsiTheme="minorEastAsia" w:eastAsiaTheme="minorEastAsia" w:cstheme="minorEastAsia"/>
          <w:b/>
          <w:sz w:val="28"/>
          <w:szCs w:val="28"/>
        </w:rPr>
        <w:t>评标准则和评标方法</w:t>
      </w:r>
      <w:bookmarkEnd w:id="249"/>
      <w:bookmarkEnd w:id="250"/>
      <w:bookmarkEnd w:id="251"/>
      <w:bookmarkEnd w:id="252"/>
      <w:bookmarkEnd w:id="253"/>
      <w:bookmarkEnd w:id="254"/>
    </w:p>
    <w:p>
      <w:pPr>
        <w:adjustRightInd w:val="0"/>
        <w:snapToGrid w:val="0"/>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 评标过程将遵循“公平、公正、科学、择优”的原则进行。</w:t>
      </w:r>
    </w:p>
    <w:p>
      <w:pPr>
        <w:adjustRightInd w:val="0"/>
        <w:snapToGrid w:val="0"/>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 评标将严格按照招标文件的要求和条件进行。</w:t>
      </w:r>
    </w:p>
    <w:p>
      <w:pPr>
        <w:adjustRightInd w:val="0"/>
        <w:snapToGrid w:val="0"/>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 本次评标采用综合评分法。</w:t>
      </w:r>
    </w:p>
    <w:p>
      <w:pPr>
        <w:numPr>
          <w:ilvl w:val="0"/>
          <w:numId w:val="7"/>
        </w:numPr>
        <w:tabs>
          <w:tab w:val="left" w:pos="170"/>
          <w:tab w:val="left" w:pos="303"/>
          <w:tab w:val="left" w:pos="420"/>
        </w:tabs>
        <w:adjustRightInd w:val="0"/>
        <w:snapToGrid w:val="0"/>
        <w:spacing w:line="560" w:lineRule="exact"/>
        <w:ind w:left="0" w:firstLine="0"/>
        <w:outlineLvl w:val="1"/>
        <w:rPr>
          <w:rFonts w:asciiTheme="minorEastAsia" w:hAnsiTheme="minorEastAsia" w:eastAsiaTheme="minorEastAsia" w:cstheme="minorEastAsia"/>
          <w:b/>
          <w:sz w:val="28"/>
          <w:szCs w:val="28"/>
        </w:rPr>
      </w:pPr>
      <w:bookmarkStart w:id="255" w:name="_Toc13195"/>
      <w:bookmarkStart w:id="256" w:name="_Toc466017208"/>
      <w:bookmarkStart w:id="257" w:name="_Toc465502580"/>
      <w:bookmarkStart w:id="258" w:name="_Toc15449"/>
      <w:bookmarkStart w:id="259" w:name="_Toc454147539"/>
      <w:bookmarkStart w:id="260" w:name="_Toc7951"/>
      <w:r>
        <w:rPr>
          <w:rFonts w:hint="eastAsia" w:asciiTheme="minorEastAsia" w:hAnsiTheme="minorEastAsia" w:eastAsiaTheme="minorEastAsia" w:cstheme="minorEastAsia"/>
          <w:b/>
          <w:sz w:val="28"/>
          <w:szCs w:val="28"/>
        </w:rPr>
        <w:t>评审标准</w:t>
      </w:r>
      <w:bookmarkEnd w:id="255"/>
      <w:bookmarkEnd w:id="256"/>
      <w:bookmarkEnd w:id="257"/>
      <w:bookmarkEnd w:id="258"/>
      <w:bookmarkEnd w:id="259"/>
      <w:bookmarkEnd w:id="260"/>
    </w:p>
    <w:p>
      <w:pPr>
        <w:adjustRightInd w:val="0"/>
        <w:snapToGrid w:val="0"/>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 资格评审标准：详见《评分办法前附表》中资格评审标准。</w:t>
      </w:r>
    </w:p>
    <w:p>
      <w:pPr>
        <w:adjustRightInd w:val="0"/>
        <w:snapToGrid w:val="0"/>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 评分标准：详见《评分办法前附表》报价部分、技术部分、商务部分评审因素。</w:t>
      </w:r>
    </w:p>
    <w:p>
      <w:pPr>
        <w:numPr>
          <w:ilvl w:val="0"/>
          <w:numId w:val="7"/>
        </w:numPr>
        <w:tabs>
          <w:tab w:val="left" w:pos="170"/>
          <w:tab w:val="left" w:pos="303"/>
          <w:tab w:val="left" w:pos="420"/>
        </w:tabs>
        <w:adjustRightInd w:val="0"/>
        <w:snapToGrid w:val="0"/>
        <w:spacing w:line="560" w:lineRule="exact"/>
        <w:ind w:left="0" w:firstLine="0"/>
        <w:outlineLvl w:val="1"/>
        <w:rPr>
          <w:rFonts w:asciiTheme="minorEastAsia" w:hAnsiTheme="minorEastAsia" w:eastAsiaTheme="minorEastAsia" w:cstheme="minorEastAsia"/>
          <w:b/>
          <w:sz w:val="28"/>
          <w:szCs w:val="28"/>
        </w:rPr>
      </w:pPr>
      <w:bookmarkStart w:id="261" w:name="_Toc19609"/>
      <w:bookmarkStart w:id="262" w:name="_Toc11065"/>
      <w:r>
        <w:rPr>
          <w:rFonts w:hint="eastAsia" w:asciiTheme="minorEastAsia" w:hAnsiTheme="minorEastAsia" w:eastAsiaTheme="minorEastAsia" w:cstheme="minorEastAsia"/>
          <w:b/>
          <w:sz w:val="28"/>
          <w:szCs w:val="28"/>
        </w:rPr>
        <w:t>评标程序</w:t>
      </w:r>
      <w:bookmarkEnd w:id="261"/>
      <w:bookmarkEnd w:id="262"/>
    </w:p>
    <w:p>
      <w:pPr>
        <w:adjustRightInd w:val="0"/>
        <w:snapToGrid w:val="0"/>
        <w:spacing w:line="5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3.1初步评审</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szCs w:val="21"/>
        </w:rPr>
        <w:t xml:space="preserve">3.11 </w:t>
      </w:r>
      <w:r>
        <w:rPr>
          <w:rFonts w:hint="eastAsia" w:asciiTheme="minorEastAsia" w:hAnsiTheme="minorEastAsia" w:eastAsiaTheme="minorEastAsia" w:cstheme="minorEastAsia"/>
          <w:szCs w:val="21"/>
          <w:lang w:val="zh-CN"/>
        </w:rPr>
        <w:t>采购人或代理机构可以要求投标人提交第二章“投标人须知”规定的有关证明。采购人或代理机构依据本章第2.1款规定的标准对投标文件进行资格评审。有一项</w:t>
      </w:r>
      <w:r>
        <w:rPr>
          <w:rFonts w:hint="eastAsia" w:asciiTheme="minorEastAsia" w:hAnsiTheme="minorEastAsia" w:eastAsiaTheme="minorEastAsia" w:cstheme="minorEastAsia"/>
          <w:lang w:val="zh-CN"/>
        </w:rPr>
        <w:t>不符合资格评审标准的，作无效投标处理。</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3.12 </w:t>
      </w:r>
      <w:r>
        <w:rPr>
          <w:rFonts w:hint="eastAsia" w:asciiTheme="minorEastAsia" w:hAnsiTheme="minorEastAsia" w:eastAsiaTheme="minorEastAsia" w:cstheme="minorEastAsia"/>
          <w:lang w:val="zh-CN"/>
        </w:rPr>
        <w:t>投标文件属下列情况之一的，应当在资格性、符合性检查时按照无效投标处理：</w:t>
      </w:r>
    </w:p>
    <w:p>
      <w:pPr>
        <w:numPr>
          <w:ilvl w:val="0"/>
          <w:numId w:val="8"/>
        </w:numPr>
        <w:autoSpaceDE w:val="0"/>
        <w:autoSpaceDN w:val="0"/>
        <w:adjustRightInd w:val="0"/>
        <w:snapToGrid w:val="0"/>
        <w:spacing w:line="56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未按照招标文件规定要求签署、盖章的；</w:t>
      </w:r>
    </w:p>
    <w:p>
      <w:pPr>
        <w:numPr>
          <w:ilvl w:val="0"/>
          <w:numId w:val="8"/>
        </w:numPr>
        <w:autoSpaceDE w:val="0"/>
        <w:autoSpaceDN w:val="0"/>
        <w:adjustRightInd w:val="0"/>
        <w:snapToGrid w:val="0"/>
        <w:spacing w:line="56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不具备招标文件中规定资格要求的；</w:t>
      </w:r>
    </w:p>
    <w:p>
      <w:pPr>
        <w:numPr>
          <w:ilvl w:val="0"/>
          <w:numId w:val="8"/>
        </w:numPr>
        <w:autoSpaceDE w:val="0"/>
        <w:autoSpaceDN w:val="0"/>
        <w:adjustRightInd w:val="0"/>
        <w:snapToGrid w:val="0"/>
        <w:spacing w:line="56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不符合法律、法规和招标文件中规定的其他实质性要求的。</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3.13 </w:t>
      </w:r>
      <w:r>
        <w:rPr>
          <w:rFonts w:hint="eastAsia" w:asciiTheme="minorEastAsia" w:hAnsiTheme="minorEastAsia" w:eastAsiaTheme="minorEastAsia" w:cstheme="minorEastAsia"/>
          <w:lang w:val="zh-CN"/>
        </w:rPr>
        <w:t>投标报价有算数错误的，评标委员会按以下原则对投标报价进行修正，修正的价格经投标人书面确认后具有约束力。投标人不接受修正价格的，其投标作无效投标处理。</w:t>
      </w:r>
    </w:p>
    <w:p>
      <w:pPr>
        <w:numPr>
          <w:ilvl w:val="0"/>
          <w:numId w:val="9"/>
        </w:numPr>
        <w:autoSpaceDE w:val="0"/>
        <w:autoSpaceDN w:val="0"/>
        <w:adjustRightInd w:val="0"/>
        <w:snapToGrid w:val="0"/>
        <w:spacing w:line="56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投标文件中的大写金额与小写金额不一致的，以大写金额为准；</w:t>
      </w:r>
    </w:p>
    <w:p>
      <w:pPr>
        <w:numPr>
          <w:ilvl w:val="0"/>
          <w:numId w:val="9"/>
        </w:numPr>
        <w:autoSpaceDE w:val="0"/>
        <w:autoSpaceDN w:val="0"/>
        <w:adjustRightInd w:val="0"/>
        <w:snapToGrid w:val="0"/>
        <w:spacing w:line="56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投标文件中开标一览表内容与投标文件中明细表内容不一致的，以开标一览表为准。</w:t>
      </w:r>
    </w:p>
    <w:p>
      <w:pPr>
        <w:adjustRightInd w:val="0"/>
        <w:snapToGrid w:val="0"/>
        <w:spacing w:line="5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详细评审</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3.2.1 </w:t>
      </w:r>
      <w:r>
        <w:rPr>
          <w:rFonts w:hint="eastAsia" w:asciiTheme="minorEastAsia" w:hAnsiTheme="minorEastAsia" w:eastAsiaTheme="minorEastAsia" w:cstheme="minorEastAsia"/>
          <w:lang w:val="zh-CN"/>
        </w:rPr>
        <w:t>评标委员会按本章</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lang w:val="zh-CN"/>
        </w:rPr>
        <w:t>评分标准进行打分，并计算出综合评审得分。</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3.2.2 </w:t>
      </w:r>
      <w:r>
        <w:rPr>
          <w:rFonts w:hint="eastAsia" w:asciiTheme="minorEastAsia" w:hAnsiTheme="minorEastAsia" w:eastAsiaTheme="minorEastAsia" w:cstheme="minorEastAsia"/>
          <w:lang w:val="zh-CN"/>
        </w:rPr>
        <w:t>评标委员会发现投标人的投标总报价</w:t>
      </w:r>
      <w:r>
        <w:rPr>
          <w:rFonts w:hint="eastAsia" w:asciiTheme="minorEastAsia" w:hAnsiTheme="minorEastAsia" w:eastAsiaTheme="minorEastAsia" w:cstheme="minorEastAsia"/>
        </w:rPr>
        <w:t>高</w:t>
      </w:r>
      <w:r>
        <w:rPr>
          <w:rFonts w:hint="eastAsia" w:asciiTheme="minorEastAsia" w:hAnsiTheme="minorEastAsia" w:eastAsiaTheme="minorEastAsia" w:cstheme="minorEastAsia"/>
          <w:lang w:val="zh-CN"/>
        </w:rPr>
        <w:t>于</w:t>
      </w:r>
      <w:r>
        <w:rPr>
          <w:rFonts w:hint="eastAsia" w:asciiTheme="minorEastAsia" w:hAnsiTheme="minorEastAsia" w:eastAsiaTheme="minorEastAsia" w:cstheme="minorEastAsia"/>
        </w:rPr>
        <w:t>招标文件规定的控制价</w:t>
      </w:r>
      <w:r>
        <w:rPr>
          <w:rFonts w:hint="eastAsia" w:asciiTheme="minorEastAsia" w:hAnsiTheme="minorEastAsia" w:eastAsiaTheme="minorEastAsia" w:cstheme="minorEastAsia"/>
          <w:lang w:val="zh-CN"/>
        </w:rPr>
        <w:t>，评标委员会应按无效投标处理。</w:t>
      </w:r>
    </w:p>
    <w:p>
      <w:pPr>
        <w:adjustRightInd w:val="0"/>
        <w:snapToGrid w:val="0"/>
        <w:spacing w:line="5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3.3 投标文件的澄清和补正</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3.3.1 </w:t>
      </w:r>
      <w:r>
        <w:rPr>
          <w:rFonts w:hint="eastAsia" w:asciiTheme="minorEastAsia" w:hAnsiTheme="minorEastAsia" w:eastAsiaTheme="minorEastAsia" w:cstheme="minorEastAsia"/>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3.3.2 </w:t>
      </w:r>
      <w:r>
        <w:rPr>
          <w:rFonts w:hint="eastAsia" w:asciiTheme="minorEastAsia" w:hAnsiTheme="minorEastAsia" w:eastAsiaTheme="minorEastAsia" w:cstheme="minorEastAsia"/>
          <w:lang w:val="zh-CN"/>
        </w:rPr>
        <w:t>澄清、说明和补正不得改变投标文件的实质性内容（算术性错误修正的除外）。投标人的书面澄清、说明和补正属于投标文件的组成部分。</w:t>
      </w:r>
    </w:p>
    <w:p>
      <w:pPr>
        <w:adjustRightInd w:val="0"/>
        <w:snapToGrid w:val="0"/>
        <w:spacing w:line="5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3.4 评标结果</w:t>
      </w:r>
    </w:p>
    <w:p>
      <w:pPr>
        <w:adjustRightInd w:val="0"/>
        <w:snapToGrid w:val="0"/>
        <w:spacing w:line="56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3.4.1 </w:t>
      </w:r>
      <w:r>
        <w:rPr>
          <w:rFonts w:hint="eastAsia" w:asciiTheme="minorEastAsia" w:hAnsiTheme="minorEastAsia" w:eastAsiaTheme="minorEastAsia" w:cstheme="minorEastAsia"/>
          <w:lang w:val="zh-CN"/>
        </w:rPr>
        <w:t>投标人得分=</w:t>
      </w:r>
      <w:r>
        <w:rPr>
          <w:rFonts w:hint="eastAsia" w:asciiTheme="minorEastAsia" w:hAnsiTheme="minorEastAsia" w:eastAsiaTheme="minorEastAsia" w:cstheme="minorEastAsia"/>
          <w:szCs w:val="21"/>
        </w:rPr>
        <w:t>投标报价得分+技术部分得分+综合部分得分</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3.4.2</w:t>
      </w:r>
      <w:r>
        <w:rPr>
          <w:rFonts w:hint="eastAsia" w:asciiTheme="minorEastAsia" w:hAnsiTheme="minorEastAsia" w:eastAsiaTheme="minorEastAsia" w:cstheme="minorEastAsia"/>
          <w:lang w:val="zh-CN"/>
        </w:rPr>
        <w:t>投标人最终得分为评标委员会完成评审后所有评分的算术平均值，作为该投标人最终得分。</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3.4.3 </w:t>
      </w:r>
      <w:r>
        <w:rPr>
          <w:rFonts w:hint="eastAsia" w:asciiTheme="minorEastAsia" w:hAnsiTheme="minorEastAsia" w:eastAsiaTheme="minorEastAsia" w:cstheme="minorEastAsia"/>
          <w:lang w:val="zh-CN"/>
        </w:rPr>
        <w:t>投标人最终得分相同的，投标报价</w:t>
      </w:r>
      <w:r>
        <w:rPr>
          <w:rFonts w:hint="eastAsia" w:asciiTheme="minorEastAsia" w:hAnsiTheme="minorEastAsia" w:eastAsiaTheme="minorEastAsia" w:cstheme="minorEastAsia"/>
        </w:rPr>
        <w:t>低</w:t>
      </w:r>
      <w:r>
        <w:rPr>
          <w:rFonts w:hint="eastAsia" w:asciiTheme="minorEastAsia" w:hAnsiTheme="minorEastAsia" w:eastAsiaTheme="minorEastAsia" w:cstheme="minorEastAsia"/>
          <w:lang w:val="zh-CN"/>
        </w:rPr>
        <w:t>的优先，</w:t>
      </w:r>
      <w:r>
        <w:rPr>
          <w:rFonts w:hint="eastAsia" w:asciiTheme="minorEastAsia" w:hAnsiTheme="minorEastAsia" w:eastAsiaTheme="minorEastAsia" w:cstheme="minorEastAsia"/>
        </w:rPr>
        <w:t>投标报价也相同的以技术得分高的优先，技术得分也相同的由采购人自行确定</w:t>
      </w:r>
      <w:r>
        <w:rPr>
          <w:rFonts w:hint="eastAsia" w:asciiTheme="minorEastAsia" w:hAnsiTheme="minorEastAsia" w:eastAsiaTheme="minorEastAsia" w:cstheme="minorEastAsia"/>
          <w:lang w:val="zh-CN"/>
        </w:rPr>
        <w:t>。</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3.4.4 </w:t>
      </w:r>
      <w:r>
        <w:rPr>
          <w:rFonts w:hint="eastAsia" w:asciiTheme="minorEastAsia" w:hAnsiTheme="minorEastAsia" w:eastAsiaTheme="minorEastAsia" w:cstheme="minorEastAsia"/>
          <w:lang w:val="zh-CN"/>
        </w:rPr>
        <w:t>计分过程中按四舍五入的法则，最终结果取至小数点后两位。</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3.4.5 </w:t>
      </w:r>
      <w:r>
        <w:rPr>
          <w:rFonts w:hint="eastAsia" w:asciiTheme="minorEastAsia" w:hAnsiTheme="minorEastAsia" w:eastAsiaTheme="minorEastAsia" w:cstheme="minorEastAsia"/>
          <w:lang w:val="zh-CN"/>
        </w:rPr>
        <w:t>评标委员会按照得分由高到低的顺序推荐</w:t>
      </w:r>
      <w:r>
        <w:rPr>
          <w:rFonts w:hint="eastAsia" w:asciiTheme="minorEastAsia" w:hAnsiTheme="minorEastAsia" w:eastAsiaTheme="minorEastAsia" w:cstheme="minorEastAsia"/>
        </w:rPr>
        <w:t>1-3名</w:t>
      </w:r>
      <w:r>
        <w:rPr>
          <w:rFonts w:hint="eastAsia" w:asciiTheme="minorEastAsia" w:hAnsiTheme="minorEastAsia" w:eastAsiaTheme="minorEastAsia" w:cstheme="minorEastAsia"/>
          <w:lang w:val="zh-CN"/>
        </w:rPr>
        <w:t>中标候选人。</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3.4.6 </w:t>
      </w:r>
      <w:r>
        <w:rPr>
          <w:rFonts w:hint="eastAsia" w:asciiTheme="minorEastAsia" w:hAnsiTheme="minorEastAsia" w:eastAsiaTheme="minorEastAsia" w:cstheme="minorEastAsia"/>
          <w:lang w:val="zh-CN"/>
        </w:rPr>
        <w:t>评标委员会完成评标后，应当向采购人提交书面评标报告。</w:t>
      </w:r>
    </w:p>
    <w:p>
      <w:pPr>
        <w:adjustRightInd w:val="0"/>
        <w:snapToGrid w:val="0"/>
        <w:spacing w:line="560" w:lineRule="exact"/>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rPr>
        <w:t xml:space="preserve">3.5 </w:t>
      </w:r>
      <w:r>
        <w:rPr>
          <w:rFonts w:hint="eastAsia" w:asciiTheme="minorEastAsia" w:hAnsiTheme="minorEastAsia" w:eastAsiaTheme="minorEastAsia" w:cstheme="minorEastAsia"/>
          <w:b/>
          <w:bCs/>
          <w:sz w:val="24"/>
          <w:lang w:val="zh-CN"/>
        </w:rPr>
        <w:t>顺延中标人或重新招标</w:t>
      </w:r>
    </w:p>
    <w:p>
      <w:pPr>
        <w:adjustRightInd w:val="0"/>
        <w:snapToGrid w:val="0"/>
        <w:spacing w:line="560" w:lineRule="exact"/>
        <w:ind w:firstLine="42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rPr>
          <w:rFonts w:asciiTheme="minorEastAsia" w:hAnsiTheme="minorEastAsia" w:eastAsiaTheme="minorEastAsia" w:cstheme="minorEastAsia"/>
          <w:b/>
          <w:bCs/>
          <w:sz w:val="24"/>
        </w:rPr>
      </w:pPr>
      <w:bookmarkStart w:id="263" w:name="_Toc11630"/>
      <w:bookmarkStart w:id="264" w:name="_Toc28863"/>
      <w:bookmarkStart w:id="265" w:name="_Toc17922"/>
      <w:bookmarkStart w:id="266" w:name="_Toc19590"/>
      <w:bookmarkStart w:id="267" w:name="_Toc16293"/>
      <w:bookmarkStart w:id="268" w:name="_Toc7468"/>
      <w:bookmarkStart w:id="269" w:name="_Toc54"/>
      <w:r>
        <w:rPr>
          <w:rFonts w:hint="eastAsia" w:asciiTheme="minorEastAsia" w:hAnsiTheme="minorEastAsia" w:eastAsiaTheme="minorEastAsia" w:cstheme="minorEastAsia"/>
          <w:b/>
          <w:bCs/>
          <w:sz w:val="24"/>
        </w:rPr>
        <w:t>3.6 保密及其他注意事项</w:t>
      </w:r>
      <w:bookmarkEnd w:id="263"/>
      <w:bookmarkEnd w:id="264"/>
      <w:bookmarkEnd w:id="265"/>
      <w:bookmarkEnd w:id="266"/>
      <w:bookmarkEnd w:id="267"/>
      <w:bookmarkEnd w:id="268"/>
      <w:bookmarkEnd w:id="269"/>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3.6.1 </w:t>
      </w:r>
      <w:r>
        <w:rPr>
          <w:rFonts w:hint="eastAsia" w:asciiTheme="minorEastAsia" w:hAnsiTheme="minorEastAsia" w:eastAsiaTheme="minorEastAsia" w:cstheme="minorEastAsia"/>
          <w:lang w:val="zh-CN"/>
        </w:rPr>
        <w:t>在评标期间，投标企业不得向评标委员会成员询问评标情况，不得进行旨在影响中标结果的活动。</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3.6.2 </w:t>
      </w:r>
      <w:r>
        <w:rPr>
          <w:rFonts w:hint="eastAsia" w:asciiTheme="minorEastAsia" w:hAnsiTheme="minorEastAsia" w:eastAsiaTheme="minorEastAsia" w:cstheme="minorEastAsia"/>
          <w:lang w:val="zh-CN"/>
        </w:rPr>
        <w:t>在评标结束后，凡与评标情况有接触的任何人不得也不应将评标情况扩散出评标委员会成员之外。</w:t>
      </w:r>
    </w:p>
    <w:p>
      <w:pPr>
        <w:adjustRightInd w:val="0"/>
        <w:snapToGrid w:val="0"/>
        <w:spacing w:line="560" w:lineRule="exact"/>
        <w:rPr>
          <w:rFonts w:asciiTheme="minorEastAsia" w:hAnsiTheme="minorEastAsia" w:eastAsiaTheme="minorEastAsia" w:cstheme="minorEastAsia"/>
          <w:sz w:val="44"/>
          <w:szCs w:val="44"/>
        </w:rPr>
      </w:pPr>
      <w:r>
        <w:rPr>
          <w:rFonts w:hint="eastAsia" w:asciiTheme="minorEastAsia" w:hAnsiTheme="minorEastAsia" w:eastAsiaTheme="minorEastAsia" w:cstheme="minorEastAsia"/>
        </w:rPr>
        <w:t>3.6.3</w:t>
      </w:r>
      <w:r>
        <w:rPr>
          <w:rFonts w:hint="eastAsia" w:asciiTheme="minorEastAsia" w:hAnsiTheme="minorEastAsia" w:eastAsiaTheme="minorEastAsia" w:cstheme="minorEastAsia"/>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19"/>
        <w:numPr>
          <w:ilvl w:val="0"/>
          <w:numId w:val="6"/>
        </w:numPr>
        <w:spacing w:line="600" w:lineRule="exact"/>
        <w:ind w:right="-63" w:rightChars="-3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w:t>
      </w:r>
      <w:bookmarkStart w:id="270" w:name="_Toc7325"/>
      <w:r>
        <w:rPr>
          <w:rFonts w:hint="eastAsia" w:asciiTheme="minorEastAsia" w:hAnsiTheme="minorEastAsia" w:eastAsiaTheme="minorEastAsia" w:cstheme="minorEastAsia"/>
          <w:sz w:val="36"/>
          <w:szCs w:val="36"/>
        </w:rPr>
        <w:t>合同条款及格式</w:t>
      </w:r>
      <w:bookmarkEnd w:id="246"/>
      <w:bookmarkEnd w:id="247"/>
      <w:bookmarkEnd w:id="248"/>
      <w:bookmarkEnd w:id="270"/>
    </w:p>
    <w:p>
      <w:r>
        <w:rPr>
          <w:rFonts w:hint="eastAsia"/>
        </w:rPr>
        <w:t xml:space="preserve">                             </w:t>
      </w:r>
      <w:r>
        <w:rPr>
          <w:rFonts w:hint="eastAsia"/>
          <w:sz w:val="28"/>
          <w:szCs w:val="28"/>
        </w:rPr>
        <w:t xml:space="preserve">    </w:t>
      </w:r>
      <w:r>
        <w:rPr>
          <w:rFonts w:hint="eastAsia"/>
          <w:b/>
          <w:bCs/>
          <w:sz w:val="28"/>
          <w:szCs w:val="28"/>
        </w:rPr>
        <w:t xml:space="preserve">  （仅供参考）</w:t>
      </w:r>
    </w:p>
    <w:p>
      <w:pPr>
        <w:adjustRightInd w:val="0"/>
        <w:spacing w:line="360" w:lineRule="auto"/>
        <w:ind w:firstLine="480" w:firstLineChars="200"/>
        <w:textAlignment w:val="baseline"/>
        <w:rPr>
          <w:rFonts w:ascii="宋体" w:hAnsi="宋体" w:cs="宋体"/>
          <w:sz w:val="24"/>
        </w:rPr>
      </w:pPr>
      <w:bookmarkStart w:id="271" w:name="_Toc12807"/>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甲方：（采购单位）</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乙方：（供应商 ）</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甲、乙双方持采购人、采购代理公司签发的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采购项目成交通知书，根据采购文件、响应性文件的内容，并经双方协商一致，达成以下合同条款：</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一、本合同所指货物为此次采购的货物（注明品名、规格、数量、单价等技术要求），合同总价款为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二、货物质量要求及乙方对质量负责条件和期限：</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乙方提供的货物达到乙方响应文件及澄清中的技术标准。（售后服务要求按采购文件及响应性文件相应条款制订）</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三、交货时间、地点、方式、验收：</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乙方应于2022年 月 日前按甲方要求在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（甲方指定地点）将货物运送达到验收条件。货物运送产生的费用由乙方负责。由甲方组织相关人员进行验收。</w:t>
      </w:r>
    </w:p>
    <w:p>
      <w:pPr>
        <w:numPr>
          <w:ilvl w:val="0"/>
          <w:numId w:val="10"/>
        </w:numPr>
        <w:adjustRightInd w:val="0"/>
        <w:spacing w:line="360" w:lineRule="auto"/>
        <w:ind w:firstLine="48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方式：签订合同付合同款的30%产品设备到厂付合同款的30%，安装完毕验收合格后付合同款的37%，剩余3%满</w:t>
      </w:r>
      <w:r>
        <w:rPr>
          <w:rFonts w:hint="eastAsia" w:asciiTheme="minorEastAsia" w:hAnsiTheme="minorEastAsia" w:eastAsiaTheme="minorEastAsia" w:cstheme="minorEastAsia"/>
          <w:szCs w:val="21"/>
          <w:lang w:val="en-US" w:eastAsia="zh-CN"/>
        </w:rPr>
        <w:t>一年</w:t>
      </w:r>
      <w:r>
        <w:rPr>
          <w:rFonts w:hint="eastAsia" w:asciiTheme="minorEastAsia" w:hAnsiTheme="minorEastAsia" w:eastAsiaTheme="minorEastAsia" w:cstheme="minorEastAsia"/>
          <w:szCs w:val="21"/>
        </w:rPr>
        <w:t>后无质量问题支付</w:t>
      </w:r>
      <w:r>
        <w:rPr>
          <w:rFonts w:hint="eastAsia" w:ascii="宋体" w:hAnsi="宋体" w:cs="宋体"/>
          <w:bCs/>
        </w:rPr>
        <w:t>。</w:t>
      </w:r>
    </w:p>
    <w:p>
      <w:pPr>
        <w:numPr>
          <w:ilvl w:val="0"/>
          <w:numId w:val="10"/>
        </w:numPr>
        <w:adjustRightInd w:val="0"/>
        <w:spacing w:line="360" w:lineRule="auto"/>
        <w:ind w:firstLine="48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违约责任：甲方无正当理由拒收货物、拒付货款的，向乙方偿付拒收拒付部分货物款总额的________违约金。</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乙方所交货物的规格型号、技术要求、质量品质等不符合合同规定，甲方有权拒收货物，乙方应负责更换并承担因更换而支付的全部实际费用。因更换而造成逾期交货，则按逾期交货处理。</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乙方不能交付货物的，乙方向甲方支付未交付部分货物款总额____违约金。</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若因中标人原因不能按期按质供货的，将扣除中标人2万元的违约金，同时每超过一天另扣除合同金额的千分之一。</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六、因货物的质量问题发生争议，由甲方所在地市级技术监督单位进行质量鉴定。</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七、甲乙双方应严格遵守投标要求和供应商须知，如有违反，按投标要求和供应商须知规定予以处理。</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八、采购文件及其修改补充、投标文件及其修改补充澄清均为本合同的组成部分。</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九、本合同发生争议时双方应按合同条款协商解决。双方协商不成的，可以根据仲裁协议向当地仲裁机构申请仲裁。当事人没有订立仲裁协议或者仲裁协议无效的，可以向当地人民法院起诉。</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十、合同生效及其它：</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本合同经甲、乙双方代表签字、加盖公章和骑缝章后生效。本合同一式五份，甲乙双方各持两份。合同签订后在2个工作日内，采购人将合同在焦作市政府采购网公示并备案。</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甲方：</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地址：</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                   法定代表人：</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                   委托代理人：</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电话：</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开户银行：</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银行账号：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银行账号：</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签约时间：                     签约地点：</w:t>
      </w:r>
    </w:p>
    <w:p>
      <w:pPr>
        <w:adjustRightInd w:val="0"/>
        <w:spacing w:line="360" w:lineRule="auto"/>
        <w:ind w:firstLine="422" w:firstLineChars="200"/>
        <w:textAlignment w:val="baseline"/>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重要提示：以上合同文本作为签订合同的重要依据，涉及付款方式、供应商名称等实质性内容不得变更。</w:t>
      </w:r>
    </w:p>
    <w:p>
      <w:pPr>
        <w:pStyle w:val="10"/>
        <w:jc w:val="center"/>
        <w:rPr>
          <w:rFonts w:asciiTheme="minorEastAsia" w:hAnsiTheme="minorEastAsia" w:eastAsiaTheme="minorEastAsia" w:cstheme="minorEastAsia"/>
          <w:b/>
          <w:bCs/>
          <w:sz w:val="21"/>
          <w:szCs w:val="21"/>
        </w:rPr>
      </w:pPr>
    </w:p>
    <w:p>
      <w:pPr>
        <w:pStyle w:val="10"/>
        <w:jc w:val="center"/>
        <w:rPr>
          <w:rFonts w:asciiTheme="minorEastAsia" w:hAnsiTheme="minorEastAsia" w:eastAsiaTheme="minorEastAsia" w:cstheme="minorEastAsia"/>
          <w:b/>
          <w:bCs/>
          <w:sz w:val="21"/>
          <w:szCs w:val="21"/>
        </w:rPr>
      </w:pPr>
    </w:p>
    <w:p>
      <w:pPr>
        <w:pStyle w:val="10"/>
        <w:jc w:val="center"/>
        <w:rPr>
          <w:rFonts w:asciiTheme="minorEastAsia" w:hAnsiTheme="minorEastAsia" w:eastAsiaTheme="minorEastAsia" w:cstheme="minorEastAsia"/>
          <w:b/>
          <w:bCs/>
          <w:sz w:val="21"/>
          <w:szCs w:val="21"/>
        </w:rPr>
      </w:pPr>
    </w:p>
    <w:p>
      <w:pPr>
        <w:pStyle w:val="10"/>
        <w:jc w:val="center"/>
        <w:rPr>
          <w:rFonts w:asciiTheme="minorEastAsia" w:hAnsiTheme="minorEastAsia" w:eastAsiaTheme="minorEastAsia" w:cstheme="minorEastAsia"/>
          <w:b/>
          <w:bCs/>
          <w:sz w:val="21"/>
          <w:szCs w:val="21"/>
        </w:rPr>
      </w:pPr>
    </w:p>
    <w:p>
      <w:pPr>
        <w:pStyle w:val="10"/>
        <w:jc w:val="center"/>
        <w:rPr>
          <w:rFonts w:asciiTheme="minorEastAsia" w:hAnsiTheme="minorEastAsia" w:eastAsiaTheme="minorEastAsia" w:cstheme="minorEastAsia"/>
          <w:b/>
          <w:bCs/>
          <w:sz w:val="21"/>
          <w:szCs w:val="21"/>
        </w:rPr>
      </w:pPr>
    </w:p>
    <w:p>
      <w:pPr>
        <w:pStyle w:val="10"/>
        <w:jc w:val="center"/>
        <w:rPr>
          <w:rFonts w:asciiTheme="minorEastAsia" w:hAnsiTheme="minorEastAsia" w:eastAsiaTheme="minorEastAsia" w:cstheme="minorEastAsia"/>
          <w:b/>
          <w:bCs/>
          <w:sz w:val="21"/>
          <w:szCs w:val="21"/>
        </w:rPr>
      </w:pPr>
    </w:p>
    <w:p>
      <w:pPr>
        <w:pStyle w:val="10"/>
        <w:jc w:val="center"/>
        <w:rPr>
          <w:rFonts w:asciiTheme="minorEastAsia" w:hAnsiTheme="minorEastAsia" w:eastAsiaTheme="minorEastAsia" w:cstheme="minorEastAsia"/>
          <w:b/>
          <w:bCs/>
          <w:sz w:val="21"/>
          <w:szCs w:val="21"/>
        </w:rPr>
      </w:pPr>
    </w:p>
    <w:p>
      <w:pPr>
        <w:pStyle w:val="10"/>
        <w:jc w:val="center"/>
        <w:rPr>
          <w:rFonts w:asciiTheme="minorEastAsia" w:hAnsiTheme="minorEastAsia" w:eastAsiaTheme="minorEastAsia" w:cstheme="minorEastAsia"/>
          <w:b/>
          <w:bCs/>
          <w:sz w:val="21"/>
          <w:szCs w:val="21"/>
        </w:rPr>
      </w:pPr>
    </w:p>
    <w:p>
      <w:pPr>
        <w:pStyle w:val="10"/>
        <w:jc w:val="center"/>
        <w:rPr>
          <w:rFonts w:asciiTheme="minorEastAsia" w:hAnsiTheme="minorEastAsia" w:eastAsiaTheme="minorEastAsia" w:cstheme="minorEastAsia"/>
          <w:b/>
          <w:bCs/>
          <w:sz w:val="21"/>
          <w:szCs w:val="21"/>
        </w:rPr>
      </w:pPr>
    </w:p>
    <w:p>
      <w:pPr>
        <w:pStyle w:val="10"/>
        <w:jc w:val="center"/>
        <w:rPr>
          <w:rFonts w:asciiTheme="minorEastAsia" w:hAnsiTheme="minorEastAsia" w:eastAsiaTheme="minorEastAsia" w:cstheme="minorEastAsia"/>
          <w:b/>
          <w:bCs/>
          <w:sz w:val="21"/>
          <w:szCs w:val="21"/>
        </w:rPr>
      </w:pPr>
    </w:p>
    <w:p>
      <w:pPr>
        <w:pStyle w:val="10"/>
        <w:jc w:val="center"/>
        <w:rPr>
          <w:rFonts w:asciiTheme="minorEastAsia" w:hAnsiTheme="minorEastAsia" w:eastAsiaTheme="minorEastAsia" w:cstheme="minorEastAsia"/>
          <w:b/>
          <w:bCs/>
          <w:sz w:val="21"/>
          <w:szCs w:val="21"/>
        </w:rPr>
      </w:pPr>
    </w:p>
    <w:p>
      <w:pPr>
        <w:pStyle w:val="10"/>
        <w:numPr>
          <w:ilvl w:val="0"/>
          <w:numId w:val="6"/>
        </w:numPr>
        <w:jc w:val="center"/>
        <w:outlineLvl w:val="0"/>
        <w:rPr>
          <w:b/>
          <w:bCs/>
          <w:sz w:val="32"/>
          <w:szCs w:val="32"/>
          <w:highlight w:val="none"/>
        </w:rPr>
      </w:pPr>
      <w:r>
        <w:rPr>
          <w:rFonts w:hint="eastAsia"/>
          <w:b/>
          <w:bCs/>
          <w:sz w:val="32"/>
          <w:szCs w:val="32"/>
          <w:highlight w:val="none"/>
        </w:rPr>
        <w:t xml:space="preserve">  采购内容及技术要求</w:t>
      </w:r>
    </w:p>
    <w:p>
      <w:pPr>
        <w:pStyle w:val="11"/>
        <w:outlineLvl w:val="1"/>
        <w:rPr>
          <w:rFonts w:ascii="宋体" w:hAnsi="宋体" w:cs="宋体"/>
          <w:sz w:val="24"/>
          <w:highlight w:val="none"/>
        </w:rPr>
      </w:pPr>
      <w:r>
        <w:rPr>
          <w:rFonts w:hint="eastAsia" w:ascii="宋体" w:hAnsi="宋体" w:cs="宋体"/>
          <w:b/>
          <w:bCs/>
          <w:sz w:val="24"/>
          <w:highlight w:val="none"/>
        </w:rPr>
        <w:t>一、产品技术参数及数量</w:t>
      </w:r>
    </w:p>
    <w:bookmarkEnd w:id="271"/>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70"/>
        <w:gridCol w:w="3450"/>
        <w:gridCol w:w="107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hint="eastAsia" w:asciiTheme="minorEastAsia" w:hAnsiTheme="minorEastAsia" w:eastAsiaTheme="minorEastAsia" w:cstheme="minorEastAsia"/>
                <w:color w:val="auto"/>
                <w:sz w:val="24"/>
                <w:szCs w:val="32"/>
                <w:highlight w:val="none"/>
                <w:vertAlign w:val="baseline"/>
                <w:lang w:val="en-US" w:eastAsia="zh-CN"/>
              </w:rPr>
            </w:pPr>
            <w:bookmarkStart w:id="272" w:name="_Toc7906"/>
            <w:bookmarkStart w:id="273" w:name="_Toc426369533"/>
            <w:bookmarkStart w:id="274" w:name="_Toc403122572"/>
            <w:r>
              <w:rPr>
                <w:rFonts w:hint="eastAsia" w:asciiTheme="minorEastAsia" w:hAnsiTheme="minorEastAsia" w:eastAsiaTheme="minorEastAsia" w:cstheme="minorEastAsia"/>
                <w:color w:val="auto"/>
                <w:sz w:val="24"/>
                <w:szCs w:val="32"/>
                <w:highlight w:val="none"/>
                <w:vertAlign w:val="baseline"/>
                <w:lang w:val="en-US" w:eastAsia="zh-CN"/>
              </w:rPr>
              <w:t>序号</w:t>
            </w:r>
          </w:p>
        </w:tc>
        <w:tc>
          <w:tcPr>
            <w:tcW w:w="1770" w:type="dxa"/>
          </w:tcPr>
          <w:p>
            <w:pPr>
              <w:jc w:val="center"/>
              <w:rPr>
                <w:rFonts w:hint="eastAsia" w:asciiTheme="minorEastAsia" w:hAnsiTheme="minorEastAsia" w:eastAsiaTheme="minorEastAsia" w:cstheme="minorEastAsia"/>
                <w:color w:val="auto"/>
                <w:sz w:val="24"/>
                <w:szCs w:val="32"/>
                <w:highlight w:val="none"/>
                <w:vertAlign w:val="baseline"/>
                <w:lang w:val="en-US" w:eastAsia="zh-CN"/>
              </w:rPr>
            </w:pPr>
            <w:r>
              <w:rPr>
                <w:rFonts w:hint="eastAsia" w:asciiTheme="minorEastAsia" w:hAnsiTheme="minorEastAsia" w:eastAsiaTheme="minorEastAsia" w:cstheme="minorEastAsia"/>
                <w:color w:val="auto"/>
                <w:sz w:val="24"/>
                <w:szCs w:val="32"/>
                <w:highlight w:val="none"/>
                <w:vertAlign w:val="baseline"/>
                <w:lang w:val="en-US" w:eastAsia="zh-CN"/>
              </w:rPr>
              <w:t>设备名称</w:t>
            </w:r>
          </w:p>
        </w:tc>
        <w:tc>
          <w:tcPr>
            <w:tcW w:w="3450" w:type="dxa"/>
          </w:tcPr>
          <w:p>
            <w:pPr>
              <w:jc w:val="center"/>
              <w:rPr>
                <w:rFonts w:hint="default" w:asciiTheme="minorEastAsia" w:hAnsiTheme="minorEastAsia" w:eastAsiaTheme="minorEastAsia" w:cstheme="minorEastAsia"/>
                <w:color w:val="auto"/>
                <w:sz w:val="24"/>
                <w:szCs w:val="32"/>
                <w:highlight w:val="none"/>
                <w:vertAlign w:val="baseline"/>
                <w:lang w:val="en-US" w:eastAsia="zh-CN"/>
              </w:rPr>
            </w:pPr>
            <w:r>
              <w:rPr>
                <w:rFonts w:hint="eastAsia" w:asciiTheme="minorEastAsia" w:hAnsiTheme="minorEastAsia" w:eastAsiaTheme="minorEastAsia" w:cstheme="minorEastAsia"/>
                <w:color w:val="auto"/>
                <w:sz w:val="24"/>
                <w:szCs w:val="32"/>
                <w:highlight w:val="none"/>
                <w:vertAlign w:val="baseline"/>
                <w:lang w:val="en-US" w:eastAsia="zh-CN"/>
              </w:rPr>
              <w:t>技术参数及要求</w:t>
            </w:r>
          </w:p>
        </w:tc>
        <w:tc>
          <w:tcPr>
            <w:tcW w:w="1070" w:type="dxa"/>
          </w:tcPr>
          <w:p>
            <w:pPr>
              <w:jc w:val="center"/>
              <w:rPr>
                <w:rFonts w:hint="eastAsia" w:asciiTheme="minorEastAsia" w:hAnsiTheme="minorEastAsia" w:eastAsiaTheme="minorEastAsia" w:cstheme="minorEastAsia"/>
                <w:color w:val="auto"/>
                <w:sz w:val="24"/>
                <w:szCs w:val="32"/>
                <w:highlight w:val="none"/>
                <w:vertAlign w:val="baseline"/>
                <w:lang w:val="en-US" w:eastAsia="zh-CN"/>
              </w:rPr>
            </w:pPr>
            <w:r>
              <w:rPr>
                <w:rFonts w:hint="eastAsia" w:asciiTheme="minorEastAsia" w:hAnsiTheme="minorEastAsia" w:eastAsiaTheme="minorEastAsia" w:cstheme="minorEastAsia"/>
                <w:color w:val="auto"/>
                <w:sz w:val="24"/>
                <w:szCs w:val="32"/>
                <w:highlight w:val="none"/>
                <w:vertAlign w:val="baseline"/>
                <w:lang w:val="en-US" w:eastAsia="zh-CN"/>
              </w:rPr>
              <w:t>单位</w:t>
            </w:r>
          </w:p>
        </w:tc>
        <w:tc>
          <w:tcPr>
            <w:tcW w:w="1210" w:type="dxa"/>
          </w:tcPr>
          <w:p>
            <w:pPr>
              <w:jc w:val="center"/>
              <w:rPr>
                <w:rFonts w:hint="eastAsia" w:asciiTheme="minorEastAsia" w:hAnsiTheme="minorEastAsia" w:eastAsiaTheme="minorEastAsia" w:cstheme="minorEastAsia"/>
                <w:color w:val="auto"/>
                <w:sz w:val="24"/>
                <w:szCs w:val="32"/>
                <w:highlight w:val="none"/>
                <w:vertAlign w:val="baseline"/>
                <w:lang w:val="en-US" w:eastAsia="zh-CN"/>
              </w:rPr>
            </w:pPr>
            <w:r>
              <w:rPr>
                <w:rFonts w:hint="eastAsia" w:asciiTheme="minorEastAsia" w:hAnsiTheme="minorEastAsia" w:eastAsiaTheme="minorEastAsia" w:cstheme="minorEastAsia"/>
                <w:color w:val="auto"/>
                <w:sz w:val="24"/>
                <w:szCs w:val="32"/>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w:t>
            </w:r>
          </w:p>
        </w:tc>
        <w:tc>
          <w:tcPr>
            <w:tcW w:w="1770" w:type="dxa"/>
            <w:vAlign w:val="top"/>
          </w:tcPr>
          <w:p>
            <w:pPr>
              <w:pStyle w:val="31"/>
              <w:spacing w:before="88" w:line="230" w:lineRule="auto"/>
              <w:jc w:val="center"/>
              <w:rPr>
                <w:rFonts w:hint="eastAsia" w:asciiTheme="minorEastAsia" w:hAnsiTheme="minorEastAsia" w:eastAsiaTheme="minorEastAsia" w:cstheme="minorEastAsia"/>
                <w:color w:val="auto"/>
                <w:kern w:val="2"/>
                <w:sz w:val="24"/>
                <w:szCs w:val="24"/>
                <w:highlight w:val="none"/>
                <w:lang w:val="en-US" w:eastAsia="en-US" w:bidi="ar-SA"/>
              </w:rPr>
            </w:pPr>
            <w:r>
              <w:rPr>
                <w:rFonts w:hint="eastAsia" w:asciiTheme="minorEastAsia" w:hAnsiTheme="minorEastAsia" w:eastAsiaTheme="minorEastAsia" w:cstheme="minorEastAsia"/>
                <w:color w:val="auto"/>
                <w:spacing w:val="5"/>
                <w:sz w:val="24"/>
                <w:szCs w:val="24"/>
                <w:highlight w:val="none"/>
              </w:rPr>
              <w:t>800</w:t>
            </w:r>
            <w:r>
              <w:rPr>
                <w:rFonts w:hint="eastAsia" w:asciiTheme="minorEastAsia" w:hAnsiTheme="minorEastAsia" w:eastAsiaTheme="minorEastAsia" w:cstheme="minorEastAsia"/>
                <w:color w:val="auto"/>
                <w:sz w:val="24"/>
                <w:szCs w:val="24"/>
                <w:highlight w:val="none"/>
              </w:rPr>
              <w:t>KVA</w:t>
            </w:r>
            <w:r>
              <w:rPr>
                <w:rFonts w:hint="eastAsia" w:asciiTheme="minorEastAsia" w:hAnsiTheme="minorEastAsia" w:eastAsiaTheme="minorEastAsia" w:cstheme="minorEastAsia"/>
                <w:color w:val="auto"/>
                <w:spacing w:val="5"/>
                <w:sz w:val="24"/>
                <w:szCs w:val="24"/>
                <w:highlight w:val="none"/>
              </w:rPr>
              <w:t>箱变【环网型】</w:t>
            </w:r>
          </w:p>
        </w:tc>
        <w:tc>
          <w:tcPr>
            <w:tcW w:w="3450" w:type="dxa"/>
            <w:vAlign w:val="top"/>
          </w:tcPr>
          <w:p>
            <w:pPr>
              <w:pStyle w:val="31"/>
              <w:spacing w:before="88" w:line="231"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pacing w:val="6"/>
                <w:sz w:val="24"/>
                <w:szCs w:val="24"/>
                <w:highlight w:val="none"/>
              </w:rPr>
              <w:t>S13-800</w:t>
            </w:r>
            <w:r>
              <w:rPr>
                <w:rFonts w:hint="eastAsia" w:asciiTheme="minorEastAsia" w:hAnsiTheme="minorEastAsia" w:eastAsiaTheme="minorEastAsia" w:cstheme="minorEastAsia"/>
                <w:color w:val="auto"/>
                <w:sz w:val="24"/>
                <w:szCs w:val="24"/>
                <w:highlight w:val="none"/>
              </w:rPr>
              <w:t>KVA</w:t>
            </w:r>
            <w:r>
              <w:rPr>
                <w:rFonts w:hint="eastAsia" w:asciiTheme="minorEastAsia" w:hAnsiTheme="minorEastAsia" w:eastAsiaTheme="minorEastAsia" w:cstheme="minorEastAsia"/>
                <w:color w:val="auto"/>
                <w:spacing w:val="6"/>
                <w:sz w:val="24"/>
                <w:szCs w:val="24"/>
                <w:highlight w:val="none"/>
              </w:rPr>
              <w:t xml:space="preserve"> 铜变</w:t>
            </w:r>
          </w:p>
        </w:tc>
        <w:tc>
          <w:tcPr>
            <w:tcW w:w="1070" w:type="dxa"/>
          </w:tcPr>
          <w:p>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台</w:t>
            </w:r>
          </w:p>
        </w:tc>
        <w:tc>
          <w:tcPr>
            <w:tcW w:w="1210" w:type="dxa"/>
          </w:tcPr>
          <w:p>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w:t>
            </w:r>
          </w:p>
        </w:tc>
        <w:tc>
          <w:tcPr>
            <w:tcW w:w="1770" w:type="dxa"/>
            <w:vAlign w:val="top"/>
          </w:tcPr>
          <w:p>
            <w:pPr>
              <w:pStyle w:val="31"/>
              <w:spacing w:before="89" w:line="229" w:lineRule="auto"/>
              <w:jc w:val="center"/>
              <w:rPr>
                <w:rFonts w:hint="eastAsia" w:asciiTheme="minorEastAsia" w:hAnsiTheme="minorEastAsia" w:eastAsiaTheme="minorEastAsia" w:cstheme="minorEastAsia"/>
                <w:color w:val="auto"/>
                <w:kern w:val="2"/>
                <w:sz w:val="24"/>
                <w:szCs w:val="24"/>
                <w:highlight w:val="none"/>
                <w:lang w:val="en-US" w:eastAsia="en-US" w:bidi="ar-SA"/>
              </w:rPr>
            </w:pPr>
            <w:r>
              <w:rPr>
                <w:rFonts w:hint="eastAsia" w:asciiTheme="minorEastAsia" w:hAnsiTheme="minorEastAsia" w:eastAsiaTheme="minorEastAsia" w:cstheme="minorEastAsia"/>
                <w:color w:val="auto"/>
                <w:spacing w:val="6"/>
                <w:sz w:val="24"/>
                <w:szCs w:val="24"/>
                <w:highlight w:val="none"/>
              </w:rPr>
              <w:t>800</w:t>
            </w:r>
            <w:r>
              <w:rPr>
                <w:rFonts w:hint="eastAsia" w:asciiTheme="minorEastAsia" w:hAnsiTheme="minorEastAsia" w:eastAsiaTheme="minorEastAsia" w:cstheme="minorEastAsia"/>
                <w:color w:val="auto"/>
                <w:sz w:val="24"/>
                <w:szCs w:val="24"/>
                <w:highlight w:val="none"/>
              </w:rPr>
              <w:t>KVA</w:t>
            </w:r>
            <w:r>
              <w:rPr>
                <w:rFonts w:hint="eastAsia" w:asciiTheme="minorEastAsia" w:hAnsiTheme="minorEastAsia" w:eastAsiaTheme="minorEastAsia" w:cstheme="minorEastAsia"/>
                <w:color w:val="auto"/>
                <w:spacing w:val="6"/>
                <w:sz w:val="24"/>
                <w:szCs w:val="24"/>
                <w:highlight w:val="none"/>
              </w:rPr>
              <w:t>箱变【终端型】</w:t>
            </w:r>
          </w:p>
        </w:tc>
        <w:tc>
          <w:tcPr>
            <w:tcW w:w="3450" w:type="dxa"/>
            <w:vAlign w:val="top"/>
          </w:tcPr>
          <w:p>
            <w:pPr>
              <w:pStyle w:val="31"/>
              <w:spacing w:before="88" w:line="231"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pacing w:val="6"/>
                <w:sz w:val="24"/>
                <w:szCs w:val="24"/>
                <w:highlight w:val="none"/>
              </w:rPr>
              <w:t>S13-800</w:t>
            </w:r>
            <w:r>
              <w:rPr>
                <w:rFonts w:hint="eastAsia" w:asciiTheme="minorEastAsia" w:hAnsiTheme="minorEastAsia" w:eastAsiaTheme="minorEastAsia" w:cstheme="minorEastAsia"/>
                <w:color w:val="auto"/>
                <w:sz w:val="24"/>
                <w:szCs w:val="24"/>
                <w:highlight w:val="none"/>
              </w:rPr>
              <w:t>KVA</w:t>
            </w:r>
            <w:r>
              <w:rPr>
                <w:rFonts w:hint="eastAsia" w:asciiTheme="minorEastAsia" w:hAnsiTheme="minorEastAsia" w:eastAsiaTheme="minorEastAsia" w:cstheme="minorEastAsia"/>
                <w:color w:val="auto"/>
                <w:spacing w:val="6"/>
                <w:sz w:val="24"/>
                <w:szCs w:val="24"/>
                <w:highlight w:val="none"/>
              </w:rPr>
              <w:t xml:space="preserve"> 铜变</w:t>
            </w:r>
          </w:p>
        </w:tc>
        <w:tc>
          <w:tcPr>
            <w:tcW w:w="1070" w:type="dxa"/>
            <w:vAlign w:val="top"/>
          </w:tcPr>
          <w:p>
            <w:pPr>
              <w:jc w:val="center"/>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highlight w:val="none"/>
                <w:vertAlign w:val="baseline"/>
                <w:lang w:val="en-US" w:eastAsia="zh-CN"/>
              </w:rPr>
              <w:t>台</w:t>
            </w:r>
          </w:p>
        </w:tc>
        <w:tc>
          <w:tcPr>
            <w:tcW w:w="1210" w:type="dxa"/>
            <w:vAlign w:val="top"/>
          </w:tcPr>
          <w:p>
            <w:pPr>
              <w:jc w:val="center"/>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w:t>
            </w:r>
          </w:p>
        </w:tc>
        <w:tc>
          <w:tcPr>
            <w:tcW w:w="1770" w:type="dxa"/>
            <w:vAlign w:val="top"/>
          </w:tcPr>
          <w:p>
            <w:pPr>
              <w:pStyle w:val="31"/>
              <w:spacing w:before="89" w:line="230" w:lineRule="auto"/>
              <w:jc w:val="center"/>
              <w:rPr>
                <w:rFonts w:hint="eastAsia" w:asciiTheme="minorEastAsia" w:hAnsiTheme="minorEastAsia" w:eastAsiaTheme="minorEastAsia" w:cstheme="minorEastAsia"/>
                <w:color w:val="auto"/>
                <w:kern w:val="2"/>
                <w:sz w:val="24"/>
                <w:szCs w:val="24"/>
                <w:highlight w:val="none"/>
                <w:lang w:val="en-US" w:eastAsia="en-US" w:bidi="ar-SA"/>
              </w:rPr>
            </w:pPr>
            <w:r>
              <w:rPr>
                <w:rFonts w:hint="eastAsia" w:asciiTheme="minorEastAsia" w:hAnsiTheme="minorEastAsia" w:eastAsiaTheme="minorEastAsia" w:cstheme="minorEastAsia"/>
                <w:color w:val="auto"/>
                <w:spacing w:val="6"/>
                <w:sz w:val="24"/>
                <w:szCs w:val="24"/>
                <w:highlight w:val="none"/>
              </w:rPr>
              <w:t>630</w:t>
            </w:r>
            <w:r>
              <w:rPr>
                <w:rFonts w:hint="eastAsia" w:asciiTheme="minorEastAsia" w:hAnsiTheme="minorEastAsia" w:eastAsiaTheme="minorEastAsia" w:cstheme="minorEastAsia"/>
                <w:color w:val="auto"/>
                <w:sz w:val="24"/>
                <w:szCs w:val="24"/>
                <w:highlight w:val="none"/>
              </w:rPr>
              <w:t>KVA</w:t>
            </w:r>
            <w:r>
              <w:rPr>
                <w:rFonts w:hint="eastAsia" w:asciiTheme="minorEastAsia" w:hAnsiTheme="minorEastAsia" w:eastAsiaTheme="minorEastAsia" w:cstheme="minorEastAsia"/>
                <w:color w:val="auto"/>
                <w:spacing w:val="6"/>
                <w:sz w:val="24"/>
                <w:szCs w:val="24"/>
                <w:highlight w:val="none"/>
              </w:rPr>
              <w:t>箱变【环网型】</w:t>
            </w:r>
          </w:p>
        </w:tc>
        <w:tc>
          <w:tcPr>
            <w:tcW w:w="3450" w:type="dxa"/>
            <w:vAlign w:val="top"/>
          </w:tcPr>
          <w:p>
            <w:pPr>
              <w:pStyle w:val="31"/>
              <w:spacing w:before="89" w:line="231"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pacing w:val="6"/>
                <w:sz w:val="24"/>
                <w:szCs w:val="24"/>
                <w:highlight w:val="none"/>
              </w:rPr>
              <w:t>S13-630</w:t>
            </w:r>
            <w:r>
              <w:rPr>
                <w:rFonts w:hint="eastAsia" w:asciiTheme="minorEastAsia" w:hAnsiTheme="minorEastAsia" w:eastAsiaTheme="minorEastAsia" w:cstheme="minorEastAsia"/>
                <w:color w:val="auto"/>
                <w:sz w:val="24"/>
                <w:szCs w:val="24"/>
                <w:highlight w:val="none"/>
              </w:rPr>
              <w:t>KVA</w:t>
            </w:r>
            <w:r>
              <w:rPr>
                <w:rFonts w:hint="eastAsia" w:asciiTheme="minorEastAsia" w:hAnsiTheme="minorEastAsia" w:eastAsiaTheme="minorEastAsia" w:cstheme="minorEastAsia"/>
                <w:color w:val="auto"/>
                <w:spacing w:val="6"/>
                <w:sz w:val="24"/>
                <w:szCs w:val="24"/>
                <w:highlight w:val="none"/>
              </w:rPr>
              <w:t xml:space="preserve"> 铜变</w:t>
            </w:r>
          </w:p>
        </w:tc>
        <w:tc>
          <w:tcPr>
            <w:tcW w:w="1070" w:type="dxa"/>
            <w:vAlign w:val="top"/>
          </w:tcPr>
          <w:p>
            <w:pPr>
              <w:jc w:val="center"/>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highlight w:val="none"/>
                <w:vertAlign w:val="baseline"/>
                <w:lang w:val="en-US" w:eastAsia="zh-CN"/>
              </w:rPr>
              <w:t>台</w:t>
            </w:r>
          </w:p>
        </w:tc>
        <w:tc>
          <w:tcPr>
            <w:tcW w:w="1210" w:type="dxa"/>
            <w:vAlign w:val="top"/>
          </w:tcPr>
          <w:p>
            <w:pPr>
              <w:jc w:val="center"/>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6" w:type="dxa"/>
          </w:tcPr>
          <w:p>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4</w:t>
            </w:r>
          </w:p>
        </w:tc>
        <w:tc>
          <w:tcPr>
            <w:tcW w:w="1770" w:type="dxa"/>
            <w:vAlign w:val="top"/>
          </w:tcPr>
          <w:p>
            <w:pPr>
              <w:pStyle w:val="31"/>
              <w:spacing w:before="89" w:line="229" w:lineRule="auto"/>
              <w:jc w:val="center"/>
              <w:rPr>
                <w:rFonts w:hint="eastAsia" w:asciiTheme="minorEastAsia" w:hAnsiTheme="minorEastAsia" w:eastAsiaTheme="minorEastAsia" w:cstheme="minorEastAsia"/>
                <w:color w:val="auto"/>
                <w:kern w:val="2"/>
                <w:sz w:val="24"/>
                <w:szCs w:val="24"/>
                <w:highlight w:val="none"/>
                <w:lang w:val="en-US" w:eastAsia="en-US" w:bidi="ar-SA"/>
              </w:rPr>
            </w:pPr>
            <w:r>
              <w:rPr>
                <w:rFonts w:hint="eastAsia" w:asciiTheme="minorEastAsia" w:hAnsiTheme="minorEastAsia" w:eastAsiaTheme="minorEastAsia" w:cstheme="minorEastAsia"/>
                <w:color w:val="auto"/>
                <w:spacing w:val="6"/>
                <w:sz w:val="24"/>
                <w:szCs w:val="24"/>
                <w:highlight w:val="none"/>
              </w:rPr>
              <w:t>630</w:t>
            </w:r>
            <w:r>
              <w:rPr>
                <w:rFonts w:hint="eastAsia" w:asciiTheme="minorEastAsia" w:hAnsiTheme="minorEastAsia" w:eastAsiaTheme="minorEastAsia" w:cstheme="minorEastAsia"/>
                <w:color w:val="auto"/>
                <w:sz w:val="24"/>
                <w:szCs w:val="24"/>
                <w:highlight w:val="none"/>
              </w:rPr>
              <w:t>KVA</w:t>
            </w:r>
            <w:r>
              <w:rPr>
                <w:rFonts w:hint="eastAsia" w:asciiTheme="minorEastAsia" w:hAnsiTheme="minorEastAsia" w:eastAsiaTheme="minorEastAsia" w:cstheme="minorEastAsia"/>
                <w:color w:val="auto"/>
                <w:spacing w:val="6"/>
                <w:sz w:val="24"/>
                <w:szCs w:val="24"/>
                <w:highlight w:val="none"/>
              </w:rPr>
              <w:t>箱变【终端型】</w:t>
            </w:r>
          </w:p>
        </w:tc>
        <w:tc>
          <w:tcPr>
            <w:tcW w:w="3450" w:type="dxa"/>
            <w:vAlign w:val="top"/>
          </w:tcPr>
          <w:p>
            <w:pPr>
              <w:pStyle w:val="31"/>
              <w:spacing w:before="88" w:line="231"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pacing w:val="6"/>
                <w:sz w:val="24"/>
                <w:szCs w:val="24"/>
                <w:highlight w:val="none"/>
              </w:rPr>
              <w:t>S13-630</w:t>
            </w:r>
            <w:r>
              <w:rPr>
                <w:rFonts w:hint="eastAsia" w:asciiTheme="minorEastAsia" w:hAnsiTheme="minorEastAsia" w:eastAsiaTheme="minorEastAsia" w:cstheme="minorEastAsia"/>
                <w:color w:val="auto"/>
                <w:sz w:val="24"/>
                <w:szCs w:val="24"/>
                <w:highlight w:val="none"/>
              </w:rPr>
              <w:t>KVA</w:t>
            </w:r>
            <w:r>
              <w:rPr>
                <w:rFonts w:hint="eastAsia" w:asciiTheme="minorEastAsia" w:hAnsiTheme="minorEastAsia" w:eastAsiaTheme="minorEastAsia" w:cstheme="minorEastAsia"/>
                <w:color w:val="auto"/>
                <w:spacing w:val="6"/>
                <w:sz w:val="24"/>
                <w:szCs w:val="24"/>
                <w:highlight w:val="none"/>
              </w:rPr>
              <w:t xml:space="preserve"> 铜变</w:t>
            </w:r>
          </w:p>
        </w:tc>
        <w:tc>
          <w:tcPr>
            <w:tcW w:w="1070" w:type="dxa"/>
            <w:vAlign w:val="top"/>
          </w:tcPr>
          <w:p>
            <w:pPr>
              <w:jc w:val="center"/>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highlight w:val="none"/>
                <w:vertAlign w:val="baseline"/>
                <w:lang w:val="en-US" w:eastAsia="zh-CN"/>
              </w:rPr>
              <w:t>台</w:t>
            </w:r>
          </w:p>
        </w:tc>
        <w:tc>
          <w:tcPr>
            <w:tcW w:w="1210" w:type="dxa"/>
            <w:vAlign w:val="top"/>
          </w:tcPr>
          <w:p>
            <w:pPr>
              <w:jc w:val="center"/>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5</w:t>
            </w:r>
          </w:p>
        </w:tc>
        <w:tc>
          <w:tcPr>
            <w:tcW w:w="1770" w:type="dxa"/>
            <w:vAlign w:val="top"/>
          </w:tcPr>
          <w:p>
            <w:pPr>
              <w:pStyle w:val="31"/>
              <w:spacing w:before="89" w:line="230" w:lineRule="auto"/>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2500KVA箱变</w:t>
            </w:r>
          </w:p>
          <w:p>
            <w:pPr>
              <w:pStyle w:val="31"/>
              <w:spacing w:before="89" w:line="230" w:lineRule="auto"/>
              <w:jc w:val="center"/>
              <w:rPr>
                <w:rFonts w:hint="eastAsia" w:asciiTheme="minorEastAsia" w:hAnsiTheme="minorEastAsia" w:eastAsiaTheme="minorEastAsia" w:cstheme="minorEastAsia"/>
                <w:color w:val="auto"/>
                <w:spacing w:val="6"/>
                <w:sz w:val="24"/>
                <w:szCs w:val="24"/>
                <w:highlight w:val="none"/>
                <w:lang w:val="en-US" w:eastAsia="en-US"/>
              </w:rPr>
            </w:pPr>
            <w:r>
              <w:rPr>
                <w:rFonts w:hint="eastAsia" w:asciiTheme="minorEastAsia" w:hAnsiTheme="minorEastAsia" w:eastAsiaTheme="minorEastAsia" w:cstheme="minorEastAsia"/>
                <w:color w:val="auto"/>
                <w:spacing w:val="6"/>
                <w:sz w:val="24"/>
                <w:szCs w:val="24"/>
                <w:highlight w:val="none"/>
              </w:rPr>
              <w:t>【环网型】</w:t>
            </w:r>
          </w:p>
        </w:tc>
        <w:tc>
          <w:tcPr>
            <w:tcW w:w="3450" w:type="dxa"/>
            <w:vAlign w:val="top"/>
          </w:tcPr>
          <w:p>
            <w:pPr>
              <w:pStyle w:val="31"/>
              <w:spacing w:before="89" w:line="231"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pacing w:val="6"/>
                <w:sz w:val="24"/>
                <w:szCs w:val="24"/>
                <w:highlight w:val="none"/>
              </w:rPr>
              <w:t>S13-2500KVA 铜变</w:t>
            </w:r>
          </w:p>
        </w:tc>
        <w:tc>
          <w:tcPr>
            <w:tcW w:w="1070" w:type="dxa"/>
            <w:vAlign w:val="top"/>
          </w:tcPr>
          <w:p>
            <w:pPr>
              <w:jc w:val="center"/>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highlight w:val="none"/>
                <w:vertAlign w:val="baseline"/>
                <w:lang w:val="en-US" w:eastAsia="zh-CN"/>
              </w:rPr>
              <w:t>台</w:t>
            </w:r>
          </w:p>
        </w:tc>
        <w:tc>
          <w:tcPr>
            <w:tcW w:w="1210" w:type="dxa"/>
            <w:vAlign w:val="top"/>
          </w:tcPr>
          <w:p>
            <w:pPr>
              <w:jc w:val="center"/>
              <w:rPr>
                <w:rFonts w:hint="default"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kern w:val="2"/>
                <w:sz w:val="24"/>
                <w:szCs w:val="24"/>
                <w:highlight w:val="none"/>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6</w:t>
            </w:r>
          </w:p>
        </w:tc>
        <w:tc>
          <w:tcPr>
            <w:tcW w:w="1770" w:type="dxa"/>
            <w:vAlign w:val="top"/>
          </w:tcPr>
          <w:p>
            <w:pPr>
              <w:pStyle w:val="31"/>
              <w:spacing w:before="89" w:line="230" w:lineRule="auto"/>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2500KVA箱变</w:t>
            </w:r>
          </w:p>
          <w:p>
            <w:pPr>
              <w:pStyle w:val="31"/>
              <w:spacing w:before="90" w:line="229" w:lineRule="auto"/>
              <w:jc w:val="center"/>
              <w:rPr>
                <w:rFonts w:hint="eastAsia" w:asciiTheme="minorEastAsia" w:hAnsiTheme="minorEastAsia" w:eastAsiaTheme="minorEastAsia" w:cstheme="minorEastAsia"/>
                <w:color w:val="auto"/>
                <w:kern w:val="2"/>
                <w:sz w:val="24"/>
                <w:szCs w:val="24"/>
                <w:highlight w:val="none"/>
                <w:lang w:val="en-US" w:eastAsia="en-US" w:bidi="ar-SA"/>
              </w:rPr>
            </w:pPr>
            <w:r>
              <w:rPr>
                <w:rFonts w:hint="eastAsia" w:asciiTheme="minorEastAsia" w:hAnsiTheme="minorEastAsia" w:eastAsiaTheme="minorEastAsia" w:cstheme="minorEastAsia"/>
                <w:color w:val="auto"/>
                <w:spacing w:val="6"/>
                <w:sz w:val="24"/>
                <w:szCs w:val="24"/>
                <w:highlight w:val="none"/>
              </w:rPr>
              <w:t>【终端型】</w:t>
            </w:r>
          </w:p>
        </w:tc>
        <w:tc>
          <w:tcPr>
            <w:tcW w:w="3450" w:type="dxa"/>
            <w:vAlign w:val="top"/>
          </w:tcPr>
          <w:p>
            <w:pPr>
              <w:pStyle w:val="31"/>
              <w:spacing w:before="90" w:line="231"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pacing w:val="6"/>
                <w:sz w:val="24"/>
                <w:szCs w:val="24"/>
                <w:highlight w:val="none"/>
              </w:rPr>
              <w:t>S13-2500KVA 铜变</w:t>
            </w:r>
          </w:p>
        </w:tc>
        <w:tc>
          <w:tcPr>
            <w:tcW w:w="1070" w:type="dxa"/>
            <w:vAlign w:val="top"/>
          </w:tcPr>
          <w:p>
            <w:pPr>
              <w:jc w:val="center"/>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highlight w:val="none"/>
                <w:vertAlign w:val="baseline"/>
                <w:lang w:val="en-US" w:eastAsia="zh-CN"/>
              </w:rPr>
              <w:t>台</w:t>
            </w:r>
          </w:p>
        </w:tc>
        <w:tc>
          <w:tcPr>
            <w:tcW w:w="1210" w:type="dxa"/>
            <w:vAlign w:val="top"/>
          </w:tcPr>
          <w:p>
            <w:pPr>
              <w:jc w:val="center"/>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kern w:val="2"/>
                <w:sz w:val="24"/>
                <w:szCs w:val="24"/>
                <w:highlight w:val="none"/>
                <w:vertAlign w:val="baseline"/>
                <w:lang w:val="en-US" w:eastAsia="zh-CN" w:bidi="ar-SA"/>
              </w:rPr>
              <w:t>1</w:t>
            </w:r>
          </w:p>
        </w:tc>
      </w:tr>
    </w:tbl>
    <w:p>
      <w:pPr>
        <w:widowControl/>
        <w:spacing w:line="560" w:lineRule="exact"/>
        <w:ind w:firstLine="482"/>
        <w:rPr>
          <w:b/>
          <w:bCs/>
          <w:sz w:val="24"/>
          <w:highlight w:val="none"/>
        </w:rPr>
      </w:pPr>
      <w:r>
        <w:rPr>
          <w:b/>
          <w:bCs/>
          <w:sz w:val="24"/>
          <w:highlight w:val="none"/>
        </w:rPr>
        <w:t>注：本招标项目必须要实质性满足技术要求和商务要求：</w:t>
      </w:r>
    </w:p>
    <w:p>
      <w:pPr>
        <w:widowControl/>
        <w:numPr>
          <w:ilvl w:val="0"/>
          <w:numId w:val="11"/>
        </w:numPr>
        <w:spacing w:line="560" w:lineRule="exact"/>
        <w:ind w:left="0" w:firstLine="482"/>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此次招标核心产品为：</w:t>
      </w:r>
      <w:r>
        <w:rPr>
          <w:rFonts w:hint="eastAsia" w:asciiTheme="minorEastAsia" w:hAnsiTheme="minorEastAsia" w:eastAsiaTheme="minorEastAsia"/>
          <w:b/>
          <w:bCs/>
          <w:sz w:val="24"/>
          <w:highlight w:val="none"/>
          <w:lang w:val="en-US" w:eastAsia="zh-CN"/>
        </w:rPr>
        <w:t>箱式变压器</w:t>
      </w:r>
    </w:p>
    <w:p>
      <w:pPr>
        <w:widowControl/>
        <w:numPr>
          <w:ilvl w:val="0"/>
          <w:numId w:val="11"/>
        </w:numPr>
        <w:spacing w:line="560" w:lineRule="exact"/>
        <w:ind w:left="0" w:firstLine="482"/>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投标人提供的货物必须是原装全新、高于或等于招标文件规定技术参数的产品。</w:t>
      </w:r>
    </w:p>
    <w:p>
      <w:pPr>
        <w:widowControl/>
        <w:numPr>
          <w:ilvl w:val="0"/>
          <w:numId w:val="11"/>
        </w:numPr>
        <w:spacing w:line="560" w:lineRule="exact"/>
        <w:ind w:left="0" w:firstLine="482"/>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属于</w:t>
      </w:r>
      <w:r>
        <w:rPr>
          <w:rFonts w:hint="eastAsia" w:asciiTheme="minorEastAsia" w:hAnsiTheme="minorEastAsia" w:eastAsiaTheme="minorEastAsia"/>
          <w:b/>
          <w:bCs/>
          <w:sz w:val="24"/>
          <w:highlight w:val="none"/>
        </w:rPr>
        <w:t>节能</w:t>
      </w:r>
      <w:r>
        <w:rPr>
          <w:rFonts w:asciiTheme="minorEastAsia" w:hAnsiTheme="minorEastAsia" w:eastAsiaTheme="minorEastAsia"/>
          <w:b/>
          <w:bCs/>
          <w:sz w:val="24"/>
          <w:highlight w:val="none"/>
        </w:rPr>
        <w:t>产品政府采购清单规定必须强制采购的, 必须采购当期</w:t>
      </w:r>
      <w:r>
        <w:rPr>
          <w:rFonts w:hint="eastAsia" w:asciiTheme="minorEastAsia" w:hAnsiTheme="minorEastAsia" w:eastAsiaTheme="minorEastAsia"/>
          <w:b/>
          <w:bCs/>
          <w:sz w:val="24"/>
          <w:highlight w:val="none"/>
        </w:rPr>
        <w:t>节能</w:t>
      </w:r>
      <w:r>
        <w:rPr>
          <w:rFonts w:asciiTheme="minorEastAsia" w:hAnsiTheme="minorEastAsia" w:eastAsiaTheme="minorEastAsia"/>
          <w:b/>
          <w:bCs/>
          <w:sz w:val="24"/>
          <w:highlight w:val="none"/>
        </w:rPr>
        <w:t>产品政府采购清单内设备或产品；在价格、技术、服务等指标同等条件下，优先采购</w:t>
      </w:r>
      <w:r>
        <w:rPr>
          <w:rFonts w:hint="eastAsia" w:asciiTheme="minorEastAsia" w:hAnsiTheme="minorEastAsia" w:eastAsiaTheme="minorEastAsia"/>
          <w:b/>
          <w:bCs/>
          <w:sz w:val="24"/>
          <w:highlight w:val="none"/>
        </w:rPr>
        <w:t>节能</w:t>
      </w:r>
      <w:r>
        <w:rPr>
          <w:rFonts w:asciiTheme="minorEastAsia" w:hAnsiTheme="minorEastAsia" w:eastAsiaTheme="minorEastAsia"/>
          <w:b/>
          <w:bCs/>
          <w:sz w:val="24"/>
          <w:highlight w:val="none"/>
        </w:rPr>
        <w:t>产品（开标时需提供投标人所投产品属于政府采购清单规定的</w:t>
      </w:r>
      <w:r>
        <w:rPr>
          <w:rFonts w:hint="eastAsia" w:asciiTheme="minorEastAsia" w:hAnsiTheme="minorEastAsia" w:eastAsiaTheme="minorEastAsia"/>
          <w:b/>
          <w:bCs/>
          <w:sz w:val="24"/>
          <w:highlight w:val="none"/>
        </w:rPr>
        <w:t>节能</w:t>
      </w:r>
      <w:r>
        <w:rPr>
          <w:rFonts w:asciiTheme="minorEastAsia" w:hAnsiTheme="minorEastAsia" w:eastAsiaTheme="minorEastAsia"/>
          <w:b/>
          <w:bCs/>
          <w:sz w:val="24"/>
          <w:highlight w:val="none"/>
        </w:rPr>
        <w:t>产品的证明材料）。</w:t>
      </w:r>
    </w:p>
    <w:p>
      <w:pPr>
        <w:widowControl/>
        <w:numPr>
          <w:ilvl w:val="0"/>
          <w:numId w:val="11"/>
        </w:numPr>
        <w:spacing w:line="560" w:lineRule="exact"/>
        <w:ind w:left="0" w:firstLine="482"/>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本项目标的物所属行业：工业。</w:t>
      </w:r>
    </w:p>
    <w:p>
      <w:pPr>
        <w:pStyle w:val="2"/>
        <w:rPr>
          <w:rFonts w:hint="default" w:eastAsiaTheme="minorEastAsia"/>
          <w:highlight w:val="none"/>
          <w:lang w:val="en-US" w:eastAsia="zh-CN"/>
        </w:rPr>
      </w:pPr>
      <w:r>
        <w:rPr>
          <w:rFonts w:hint="eastAsia" w:asciiTheme="minorEastAsia" w:hAnsiTheme="minorEastAsia" w:eastAsiaTheme="minorEastAsia"/>
          <w:b/>
          <w:bCs/>
          <w:sz w:val="24"/>
          <w:highlight w:val="none"/>
          <w:lang w:val="en-US" w:eastAsia="zh-CN"/>
        </w:rPr>
        <w:t>5.供应商需在合同签订后提供设备及安装基础图纸。</w:t>
      </w:r>
    </w:p>
    <w:p>
      <w:pPr>
        <w:pStyle w:val="20"/>
        <w:ind w:firstLine="320"/>
        <w:rPr>
          <w:rFonts w:hint="default" w:eastAsiaTheme="minorEastAsia"/>
          <w:highlight w:val="none"/>
        </w:rPr>
      </w:pPr>
    </w:p>
    <w:p>
      <w:pPr>
        <w:widowControl/>
        <w:spacing w:line="560" w:lineRule="exact"/>
        <w:ind w:firstLine="482"/>
        <w:rPr>
          <w:rFonts w:asciiTheme="minorEastAsia" w:hAnsiTheme="minorEastAsia" w:eastAsiaTheme="minorEastAsia"/>
          <w:b/>
          <w:bCs/>
          <w:sz w:val="24"/>
        </w:rPr>
      </w:pPr>
    </w:p>
    <w:p>
      <w:pPr>
        <w:pStyle w:val="5"/>
        <w:spacing w:before="0" w:after="0" w:line="360" w:lineRule="auto"/>
        <w:ind w:firstLine="643" w:firstLineChars="200"/>
        <w:rPr>
          <w:sz w:val="32"/>
          <w:szCs w:val="32"/>
        </w:rPr>
      </w:pPr>
      <w:r>
        <w:rPr>
          <w:rFonts w:hint="eastAsia"/>
          <w:sz w:val="32"/>
          <w:szCs w:val="32"/>
        </w:rPr>
        <w:t>第六章 质疑与投诉</w:t>
      </w:r>
    </w:p>
    <w:p/>
    <w:p>
      <w:pPr>
        <w:pStyle w:val="6"/>
        <w:rPr>
          <w:rFonts w:ascii="宋体" w:hAnsi="宋体" w:cs="宋体"/>
          <w:b w:val="0"/>
          <w:bCs w:val="0"/>
          <w:szCs w:val="21"/>
        </w:rPr>
      </w:pPr>
      <w:r>
        <w:rPr>
          <w:rFonts w:hint="eastAsia" w:ascii="宋体" w:hAnsi="宋体" w:cs="宋体"/>
          <w:szCs w:val="21"/>
        </w:rPr>
        <w:t>一、质疑与答复</w:t>
      </w:r>
    </w:p>
    <w:p>
      <w:pPr>
        <w:pStyle w:val="20"/>
        <w:spacing w:line="360" w:lineRule="auto"/>
        <w:ind w:firstLineChars="200"/>
        <w:rPr>
          <w:rFonts w:hint="default" w:ascii="宋体" w:hAnsi="宋体" w:eastAsia="宋体" w:cs="宋体"/>
          <w:sz w:val="21"/>
          <w:szCs w:val="21"/>
        </w:rPr>
      </w:pPr>
      <w:r>
        <w:rPr>
          <w:rFonts w:ascii="宋体" w:hAnsi="宋体" w:eastAsia="宋体" w:cs="宋体"/>
          <w:sz w:val="21"/>
          <w:szCs w:val="21"/>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2"/>
        <w:spacing w:line="360" w:lineRule="auto"/>
        <w:rPr>
          <w:rFonts w:ascii="宋体" w:hAnsi="宋体" w:cs="宋体"/>
          <w:szCs w:val="21"/>
        </w:rPr>
      </w:pPr>
      <w:r>
        <w:rPr>
          <w:rFonts w:hint="eastAsia" w:ascii="宋体" w:hAnsi="宋体" w:cs="宋体"/>
          <w:szCs w:val="21"/>
        </w:rPr>
        <w:t>2. 供应商提出质疑应当提交质疑函和必要的证明材料。政府采购供应商质疑函范本下载地址：</w:t>
      </w:r>
    </w:p>
    <w:p>
      <w:pPr>
        <w:pStyle w:val="2"/>
        <w:spacing w:line="360" w:lineRule="auto"/>
        <w:ind w:left="420" w:leftChars="200" w:firstLine="0" w:firstLineChars="0"/>
        <w:rPr>
          <w:rFonts w:ascii="宋体" w:hAnsi="宋体" w:cs="宋体"/>
          <w:szCs w:val="21"/>
        </w:rPr>
      </w:pPr>
      <w:r>
        <w:fldChar w:fldCharType="begin"/>
      </w:r>
      <w:r>
        <w:instrText xml:space="preserve"> HYPERLINK "http://download.ccgp.gov.cn/2018/zhiyihanfanben.zip；" </w:instrText>
      </w:r>
      <w:r>
        <w:fldChar w:fldCharType="separate"/>
      </w:r>
      <w:r>
        <w:rPr>
          <w:rStyle w:val="24"/>
          <w:rFonts w:hint="eastAsia" w:ascii="宋体" w:hAnsi="宋体" w:cs="宋体"/>
          <w:color w:val="auto"/>
          <w:szCs w:val="21"/>
        </w:rPr>
        <w:t>http://download.ccgp.gov.cn/2018/zhiyihanfanben.zip；</w:t>
      </w:r>
      <w:r>
        <w:rPr>
          <w:rStyle w:val="24"/>
          <w:rFonts w:hint="eastAsia" w:ascii="宋体" w:hAnsi="宋体" w:cs="宋体"/>
          <w:color w:val="auto"/>
          <w:szCs w:val="21"/>
        </w:rPr>
        <w:fldChar w:fldCharType="end"/>
      </w:r>
    </w:p>
    <w:p>
      <w:pPr>
        <w:numPr>
          <w:ilvl w:val="0"/>
          <w:numId w:val="12"/>
        </w:numPr>
        <w:spacing w:line="360" w:lineRule="auto"/>
        <w:ind w:firstLine="420" w:firstLineChars="200"/>
        <w:rPr>
          <w:rFonts w:ascii="宋体" w:hAnsi="宋体" w:cs="宋体"/>
          <w:szCs w:val="21"/>
        </w:rPr>
      </w:pPr>
      <w:r>
        <w:rPr>
          <w:rFonts w:hint="eastAsia" w:ascii="宋体" w:hAnsi="宋体" w:cs="宋体"/>
          <w:szCs w:val="21"/>
        </w:rPr>
        <w:t>采购人、采购代理机构不得拒收质疑供应商在法定质疑期内发出的质疑函，应当在收到质疑函后7个工作日内作出答复，并以书面形式通知质疑供应商和其他有关供应商。</w:t>
      </w:r>
    </w:p>
    <w:p>
      <w:pPr>
        <w:numPr>
          <w:ilvl w:val="0"/>
          <w:numId w:val="12"/>
        </w:numPr>
        <w:spacing w:line="360" w:lineRule="auto"/>
        <w:ind w:firstLine="420" w:firstLineChars="200"/>
        <w:rPr>
          <w:rFonts w:ascii="宋体" w:hAnsi="宋体" w:cs="宋体"/>
          <w:szCs w:val="21"/>
        </w:rPr>
      </w:pPr>
      <w:r>
        <w:rPr>
          <w:rFonts w:hint="eastAsia" w:ascii="宋体" w:hAnsi="宋体" w:cs="宋体"/>
          <w:szCs w:val="21"/>
        </w:rPr>
        <w:t>供应商提出质疑应当提交质疑函和必要的证明材料。质疑函应当包括下列内容：</w:t>
      </w:r>
    </w:p>
    <w:p>
      <w:pPr>
        <w:numPr>
          <w:ilvl w:val="1"/>
          <w:numId w:val="12"/>
        </w:numPr>
        <w:spacing w:line="360" w:lineRule="auto"/>
        <w:ind w:left="420" w:leftChars="200"/>
        <w:rPr>
          <w:rFonts w:ascii="宋体" w:hAnsi="宋体" w:cs="宋体"/>
          <w:szCs w:val="21"/>
        </w:rPr>
      </w:pPr>
      <w:r>
        <w:rPr>
          <w:rFonts w:hint="eastAsia" w:ascii="宋体" w:hAnsi="宋体" w:cs="宋体"/>
          <w:szCs w:val="21"/>
        </w:rPr>
        <w:t>供应商的姓名或者名称、地址、邮编、联系人及联系电话；</w:t>
      </w:r>
    </w:p>
    <w:p>
      <w:pPr>
        <w:numPr>
          <w:ilvl w:val="1"/>
          <w:numId w:val="12"/>
        </w:numPr>
        <w:spacing w:line="360" w:lineRule="auto"/>
        <w:ind w:left="420" w:leftChars="200"/>
        <w:rPr>
          <w:rFonts w:ascii="宋体" w:hAnsi="宋体" w:cs="宋体"/>
          <w:szCs w:val="21"/>
        </w:rPr>
      </w:pPr>
      <w:r>
        <w:rPr>
          <w:rFonts w:hint="eastAsia" w:ascii="宋体" w:hAnsi="宋体" w:cs="宋体"/>
          <w:szCs w:val="21"/>
        </w:rPr>
        <w:t>质疑项目的名称、编号；</w:t>
      </w:r>
    </w:p>
    <w:p>
      <w:pPr>
        <w:numPr>
          <w:ilvl w:val="1"/>
          <w:numId w:val="12"/>
        </w:numPr>
        <w:spacing w:line="360" w:lineRule="auto"/>
        <w:ind w:left="420" w:leftChars="200"/>
        <w:rPr>
          <w:rFonts w:ascii="宋体" w:hAnsi="宋体" w:cs="宋体"/>
          <w:szCs w:val="21"/>
        </w:rPr>
      </w:pPr>
      <w:r>
        <w:rPr>
          <w:rFonts w:hint="eastAsia" w:ascii="宋体" w:hAnsi="宋体" w:cs="宋体"/>
          <w:szCs w:val="21"/>
        </w:rPr>
        <w:t>具体、明确的质疑事项和与质疑事项相关的请求；</w:t>
      </w:r>
    </w:p>
    <w:p>
      <w:pPr>
        <w:numPr>
          <w:ilvl w:val="1"/>
          <w:numId w:val="12"/>
        </w:numPr>
        <w:spacing w:line="360" w:lineRule="auto"/>
        <w:ind w:left="420" w:leftChars="200"/>
        <w:rPr>
          <w:rFonts w:ascii="宋体" w:hAnsi="宋体" w:cs="宋体"/>
          <w:szCs w:val="21"/>
        </w:rPr>
      </w:pPr>
      <w:r>
        <w:rPr>
          <w:rFonts w:hint="eastAsia" w:ascii="宋体" w:hAnsi="宋体" w:cs="宋体"/>
          <w:szCs w:val="21"/>
        </w:rPr>
        <w:t>事实依据；</w:t>
      </w:r>
    </w:p>
    <w:p>
      <w:pPr>
        <w:numPr>
          <w:ilvl w:val="1"/>
          <w:numId w:val="12"/>
        </w:numPr>
        <w:spacing w:line="360" w:lineRule="auto"/>
        <w:ind w:left="420" w:leftChars="200"/>
        <w:rPr>
          <w:rFonts w:ascii="宋体" w:hAnsi="宋体" w:cs="宋体"/>
          <w:szCs w:val="21"/>
        </w:rPr>
      </w:pPr>
      <w:r>
        <w:rPr>
          <w:rFonts w:hint="eastAsia" w:ascii="宋体" w:hAnsi="宋体" w:cs="宋体"/>
          <w:szCs w:val="21"/>
        </w:rPr>
        <w:t>必要的法律依据；</w:t>
      </w:r>
    </w:p>
    <w:p>
      <w:pPr>
        <w:numPr>
          <w:ilvl w:val="1"/>
          <w:numId w:val="12"/>
        </w:numPr>
        <w:spacing w:line="360" w:lineRule="auto"/>
        <w:ind w:left="420" w:leftChars="200"/>
        <w:rPr>
          <w:rFonts w:ascii="宋体" w:hAnsi="宋体" w:cs="宋体"/>
          <w:szCs w:val="21"/>
        </w:rPr>
      </w:pPr>
      <w:r>
        <w:rPr>
          <w:rFonts w:hint="eastAsia" w:ascii="宋体" w:hAnsi="宋体" w:cs="宋体"/>
          <w:szCs w:val="21"/>
        </w:rPr>
        <w:t>提出质疑的日期；</w:t>
      </w:r>
    </w:p>
    <w:p>
      <w:pPr>
        <w:numPr>
          <w:ilvl w:val="1"/>
          <w:numId w:val="12"/>
        </w:numPr>
        <w:spacing w:line="360" w:lineRule="auto"/>
        <w:ind w:left="420" w:leftChars="200"/>
        <w:rPr>
          <w:rFonts w:ascii="宋体" w:hAnsi="宋体" w:cs="宋体"/>
          <w:szCs w:val="21"/>
        </w:rPr>
      </w:pPr>
      <w:r>
        <w:rPr>
          <w:rFonts w:hint="eastAsia" w:ascii="宋体" w:hAnsi="宋体" w:cs="宋体"/>
          <w:szCs w:val="21"/>
        </w:rPr>
        <w:t>获取招标文件的凭证；</w:t>
      </w:r>
    </w:p>
    <w:p>
      <w:pPr>
        <w:numPr>
          <w:ilvl w:val="1"/>
          <w:numId w:val="12"/>
        </w:numPr>
        <w:spacing w:line="360" w:lineRule="auto"/>
        <w:ind w:left="420" w:leftChars="200"/>
        <w:rPr>
          <w:rFonts w:ascii="宋体" w:hAnsi="宋体" w:cs="宋体"/>
          <w:szCs w:val="21"/>
          <w:highlight w:val="none"/>
        </w:rPr>
      </w:pPr>
      <w:r>
        <w:rPr>
          <w:rFonts w:hint="eastAsia" w:ascii="宋体" w:hAnsi="宋体" w:cs="宋体"/>
          <w:szCs w:val="21"/>
        </w:rPr>
        <w:t>以上资料一式</w:t>
      </w:r>
      <w:r>
        <w:rPr>
          <w:rFonts w:hint="eastAsia" w:ascii="宋体" w:hAnsi="宋体" w:cs="宋体"/>
          <w:szCs w:val="21"/>
          <w:highlight w:val="none"/>
        </w:rPr>
        <w:t>二份（采购人、采购代理机构各执一份）。</w:t>
      </w:r>
    </w:p>
    <w:p>
      <w:pPr>
        <w:numPr>
          <w:ilvl w:val="0"/>
          <w:numId w:val="12"/>
        </w:num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投标人不得虚假质疑和恶意质疑，并对质疑内容的真实性承担责任。</w:t>
      </w:r>
    </w:p>
    <w:p>
      <w:pPr>
        <w:pStyle w:val="6"/>
        <w:rPr>
          <w:rFonts w:ascii="宋体" w:hAnsi="宋体" w:cs="宋体"/>
          <w:b w:val="0"/>
          <w:bCs w:val="0"/>
          <w:szCs w:val="21"/>
          <w:highlight w:val="none"/>
        </w:rPr>
      </w:pPr>
      <w:r>
        <w:rPr>
          <w:rFonts w:hint="eastAsia" w:ascii="宋体" w:hAnsi="宋体" w:cs="宋体"/>
          <w:szCs w:val="21"/>
          <w:highlight w:val="none"/>
        </w:rPr>
        <w:t>二、投诉与处理</w:t>
      </w:r>
    </w:p>
    <w:p>
      <w:pPr>
        <w:pStyle w:val="20"/>
        <w:spacing w:line="360" w:lineRule="auto"/>
        <w:ind w:firstLineChars="200"/>
        <w:rPr>
          <w:rFonts w:hint="default" w:ascii="宋体" w:hAnsi="宋体" w:eastAsia="宋体" w:cs="宋体"/>
          <w:sz w:val="21"/>
          <w:szCs w:val="21"/>
          <w:highlight w:val="none"/>
        </w:rPr>
      </w:pPr>
      <w:r>
        <w:rPr>
          <w:rFonts w:ascii="宋体" w:hAnsi="宋体" w:eastAsia="宋体" w:cs="宋体"/>
          <w:sz w:val="21"/>
          <w:szCs w:val="21"/>
          <w:highlight w:val="none"/>
        </w:rPr>
        <w:t>1、质疑供应商对采购人、采购代理机构的答复不满意，或者采购人、采购代理机构未在规定时间内作出答复的，可以在答复期满后15个工作日内向本办法第六条规定的</w:t>
      </w:r>
      <w:r>
        <w:rPr>
          <w:rFonts w:hint="eastAsia" w:ascii="宋体" w:hAnsi="宋体" w:eastAsia="宋体" w:cs="宋体"/>
          <w:sz w:val="21"/>
          <w:szCs w:val="21"/>
          <w:highlight w:val="none"/>
          <w:lang w:eastAsia="zh-CN"/>
        </w:rPr>
        <w:t>博爱县时代交通投资发展有限公司</w:t>
      </w:r>
      <w:r>
        <w:rPr>
          <w:rFonts w:ascii="宋体" w:hAnsi="宋体" w:eastAsia="宋体" w:cs="宋体"/>
          <w:sz w:val="21"/>
          <w:szCs w:val="21"/>
          <w:highlight w:val="none"/>
        </w:rPr>
        <w:t>提起投诉。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2、质疑供应商对采购人、采购代理机构的答复不满意，或者采购人、采购代理机构未在规定时间内作出答复的，可以在答复期满后15个工作日内向</w:t>
      </w:r>
      <w:r>
        <w:rPr>
          <w:rFonts w:hint="eastAsia" w:ascii="宋体" w:hAnsi="宋体" w:cs="宋体"/>
          <w:szCs w:val="21"/>
          <w:highlight w:val="none"/>
          <w:lang w:eastAsia="zh-CN"/>
        </w:rPr>
        <w:t>博爱县时代交通投资发展有限公司</w:t>
      </w:r>
      <w:r>
        <w:rPr>
          <w:rFonts w:hint="eastAsia" w:ascii="宋体" w:hAnsi="宋体" w:cs="宋体"/>
          <w:szCs w:val="21"/>
          <w:highlight w:val="none"/>
        </w:rPr>
        <w:t>提起投诉。</w:t>
      </w:r>
    </w:p>
    <w:p>
      <w:pPr>
        <w:pStyle w:val="20"/>
        <w:spacing w:line="360" w:lineRule="auto"/>
        <w:ind w:firstLineChars="200"/>
        <w:rPr>
          <w:rFonts w:hint="default" w:ascii="宋体" w:hAnsi="宋体" w:eastAsia="宋体" w:cs="宋体"/>
          <w:sz w:val="21"/>
          <w:szCs w:val="21"/>
          <w:highlight w:val="none"/>
        </w:rPr>
      </w:pPr>
      <w:r>
        <w:rPr>
          <w:rFonts w:ascii="宋体" w:hAnsi="宋体" w:eastAsia="宋体" w:cs="宋体"/>
          <w:sz w:val="21"/>
          <w:szCs w:val="21"/>
          <w:highlight w:val="none"/>
        </w:rPr>
        <w:t>3、投诉人投诉时,应当提交投诉书和必要的证明材料，并按照被投诉采购人、采购代理机构（以下简称被投诉人）和与投诉事项有关的供应商数量提供投诉书的副本。政府采购供应商投诉书范本下载地址：</w:t>
      </w:r>
    </w:p>
    <w:p>
      <w:pPr>
        <w:pStyle w:val="20"/>
        <w:spacing w:line="360" w:lineRule="auto"/>
        <w:ind w:firstLine="640" w:firstLineChars="200"/>
        <w:rPr>
          <w:rFonts w:hint="default" w:ascii="宋体" w:hAnsi="宋体" w:eastAsia="宋体" w:cs="宋体"/>
          <w:sz w:val="21"/>
          <w:szCs w:val="21"/>
          <w:highlight w:val="none"/>
        </w:rPr>
      </w:pPr>
      <w:r>
        <w:rPr>
          <w:highlight w:val="none"/>
        </w:rPr>
        <w:fldChar w:fldCharType="begin"/>
      </w:r>
      <w:r>
        <w:rPr>
          <w:highlight w:val="none"/>
        </w:rPr>
        <w:instrText xml:space="preserve"> HYPERLINK "http://download.ccgp.gov.cn/2018/tousushufanben.zip" </w:instrText>
      </w:r>
      <w:r>
        <w:rPr>
          <w:highlight w:val="none"/>
        </w:rPr>
        <w:fldChar w:fldCharType="separate"/>
      </w:r>
      <w:r>
        <w:rPr>
          <w:rStyle w:val="24"/>
          <w:rFonts w:ascii="宋体" w:hAnsi="宋体" w:eastAsia="宋体" w:cs="宋体"/>
          <w:color w:val="auto"/>
          <w:sz w:val="21"/>
          <w:szCs w:val="21"/>
          <w:highlight w:val="none"/>
        </w:rPr>
        <w:t>http://download.ccgp.gov.cn/2018/tousushufanben.zip</w:t>
      </w:r>
      <w:r>
        <w:rPr>
          <w:rStyle w:val="24"/>
          <w:rFonts w:ascii="宋体" w:hAnsi="宋体" w:eastAsia="宋体" w:cs="宋体"/>
          <w:color w:val="auto"/>
          <w:sz w:val="21"/>
          <w:szCs w:val="21"/>
          <w:highlight w:val="none"/>
        </w:rPr>
        <w:fldChar w:fldCharType="end"/>
      </w:r>
    </w:p>
    <w:p>
      <w:pPr>
        <w:numPr>
          <w:ilvl w:val="0"/>
          <w:numId w:val="1"/>
        </w:num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博爱县时代交通投资发展有限公司</w:t>
      </w:r>
      <w:r>
        <w:rPr>
          <w:rFonts w:hint="eastAsia" w:ascii="宋体" w:hAnsi="宋体" w:cs="宋体"/>
          <w:szCs w:val="21"/>
          <w:highlight w:val="none"/>
        </w:rPr>
        <w:t>自收到投诉之日起30个工作日内，对投诉事项作出处理决定并公示。</w:t>
      </w:r>
    </w:p>
    <w:p>
      <w:pPr>
        <w:pStyle w:val="2"/>
        <w:spacing w:line="360" w:lineRule="auto"/>
        <w:rPr>
          <w:rFonts w:ascii="宋体" w:hAnsi="宋体" w:cs="宋体"/>
          <w:szCs w:val="21"/>
          <w:highlight w:val="none"/>
        </w:rPr>
      </w:pPr>
    </w:p>
    <w:p>
      <w:pPr>
        <w:rPr>
          <w:rFonts w:ascii="宋体" w:hAnsi="宋体" w:cs="宋体"/>
          <w:b/>
          <w:bCs/>
          <w:szCs w:val="21"/>
        </w:rPr>
      </w:pPr>
      <w:r>
        <w:rPr>
          <w:rFonts w:hint="eastAsia" w:ascii="宋体" w:hAnsi="宋体" w:cs="宋体"/>
          <w:szCs w:val="21"/>
          <w:highlight w:val="none"/>
        </w:rPr>
        <w:t>投诉联系电话：03</w:t>
      </w:r>
      <w:r>
        <w:rPr>
          <w:rFonts w:hint="eastAsia" w:ascii="宋体" w:hAnsi="宋体" w:cs="宋体"/>
          <w:szCs w:val="21"/>
        </w:rPr>
        <w:t>91-8683273  地址：博爱县葵城路</w:t>
      </w:r>
    </w:p>
    <w:p>
      <w:pPr>
        <w:rPr>
          <w:rFonts w:ascii="宋体" w:hAnsi="宋体" w:cs="宋体"/>
          <w:szCs w:val="21"/>
        </w:rPr>
      </w:pPr>
    </w:p>
    <w:p>
      <w:pPr>
        <w:rPr>
          <w:szCs w:val="21"/>
        </w:rPr>
      </w:pPr>
    </w:p>
    <w:p>
      <w:pPr>
        <w:rPr>
          <w:szCs w:val="21"/>
        </w:rPr>
      </w:pPr>
    </w:p>
    <w:p>
      <w:pPr>
        <w:rPr>
          <w:szCs w:val="21"/>
        </w:rPr>
      </w:pPr>
    </w:p>
    <w:p>
      <w:pPr>
        <w:rPr>
          <w:szCs w:val="21"/>
        </w:rPr>
      </w:pPr>
    </w:p>
    <w:p>
      <w:pPr>
        <w:rPr>
          <w:szCs w:val="21"/>
        </w:rPr>
      </w:pPr>
    </w:p>
    <w:p/>
    <w:p/>
    <w:p>
      <w:pPr>
        <w:pStyle w:val="11"/>
      </w:pPr>
    </w:p>
    <w:p>
      <w:pPr>
        <w:pStyle w:val="12"/>
      </w:pPr>
    </w:p>
    <w:p>
      <w:pPr>
        <w:pStyle w:val="11"/>
      </w:pPr>
    </w:p>
    <w:p>
      <w:pPr>
        <w:pStyle w:val="12"/>
      </w:pPr>
    </w:p>
    <w:p>
      <w:pPr>
        <w:pStyle w:val="11"/>
      </w:pPr>
    </w:p>
    <w:p>
      <w:pPr>
        <w:pStyle w:val="12"/>
      </w:pPr>
    </w:p>
    <w:p>
      <w:pPr>
        <w:pStyle w:val="12"/>
      </w:pPr>
    </w:p>
    <w:p>
      <w:pPr>
        <w:pStyle w:val="11"/>
      </w:pPr>
    </w:p>
    <w:p>
      <w:pPr>
        <w:pStyle w:val="12"/>
      </w:pPr>
    </w:p>
    <w:p>
      <w:pPr>
        <w:pStyle w:val="20"/>
        <w:spacing w:line="360" w:lineRule="auto"/>
        <w:ind w:firstLine="643" w:firstLineChars="200"/>
        <w:jc w:val="center"/>
        <w:rPr>
          <w:rFonts w:hint="default" w:asciiTheme="majorEastAsia" w:hAnsiTheme="majorEastAsia" w:eastAsiaTheme="majorEastAsia" w:cstheme="majorEastAsia"/>
          <w:b/>
          <w:bCs/>
          <w:szCs w:val="32"/>
        </w:rPr>
      </w:pPr>
      <w:r>
        <w:rPr>
          <w:rFonts w:asciiTheme="majorEastAsia" w:hAnsiTheme="majorEastAsia" w:eastAsiaTheme="majorEastAsia" w:cstheme="majorEastAsia"/>
          <w:b/>
          <w:bCs/>
          <w:szCs w:val="32"/>
        </w:rPr>
        <w:t>第七章 履约验收</w:t>
      </w:r>
    </w:p>
    <w:p>
      <w:pPr>
        <w:pStyle w:val="2"/>
      </w:pPr>
    </w:p>
    <w:p>
      <w:pPr>
        <w:pStyle w:val="20"/>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供应商履约完成后，向采购人提出验收建议，采购人自收到验收建议之日起五个工作日内，采购人组织供应商参与，共同完成验收。技术复杂、专业性强等项目可适当延长验收时间。验收流程如下：</w:t>
      </w:r>
    </w:p>
    <w:p>
      <w:pPr>
        <w:pStyle w:val="20"/>
        <w:numPr>
          <w:ilvl w:val="0"/>
          <w:numId w:val="13"/>
        </w:numPr>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0"/>
        <w:numPr>
          <w:ilvl w:val="0"/>
          <w:numId w:val="13"/>
        </w:numPr>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0"/>
        <w:numPr>
          <w:ilvl w:val="0"/>
          <w:numId w:val="13"/>
        </w:numPr>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0"/>
        <w:numPr>
          <w:ilvl w:val="0"/>
          <w:numId w:val="13"/>
        </w:numPr>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pPr>
        <w:pStyle w:val="11"/>
        <w:rPr>
          <w:rFonts w:asciiTheme="minorEastAsia" w:hAnsiTheme="minorEastAsia" w:eastAsiaTheme="minorEastAsia" w:cstheme="minorEastAsia"/>
          <w:szCs w:val="21"/>
        </w:rPr>
      </w:pPr>
    </w:p>
    <w:p>
      <w:pPr>
        <w:pStyle w:val="12"/>
        <w:rPr>
          <w:rFonts w:asciiTheme="minorEastAsia" w:hAnsiTheme="minorEastAsia" w:eastAsiaTheme="minorEastAsia" w:cstheme="minorEastAsia"/>
          <w:szCs w:val="21"/>
        </w:rPr>
      </w:pPr>
    </w:p>
    <w:p>
      <w:pPr>
        <w:pStyle w:val="11"/>
        <w:rPr>
          <w:rFonts w:asciiTheme="minorEastAsia" w:hAnsiTheme="minorEastAsia" w:eastAsiaTheme="minorEastAsia" w:cstheme="minorEastAsia"/>
          <w:szCs w:val="21"/>
        </w:rPr>
      </w:pPr>
    </w:p>
    <w:p>
      <w:pPr>
        <w:pStyle w:val="12"/>
        <w:rPr>
          <w:rFonts w:asciiTheme="minorEastAsia" w:hAnsiTheme="minorEastAsia" w:eastAsiaTheme="minorEastAsia" w:cstheme="minorEastAsia"/>
          <w:szCs w:val="21"/>
        </w:rPr>
      </w:pPr>
    </w:p>
    <w:p>
      <w:pPr>
        <w:pStyle w:val="11"/>
        <w:rPr>
          <w:rFonts w:asciiTheme="minorEastAsia" w:hAnsiTheme="minorEastAsia" w:eastAsiaTheme="minorEastAsia" w:cstheme="minorEastAsia"/>
          <w:szCs w:val="21"/>
        </w:rPr>
      </w:pPr>
    </w:p>
    <w:p>
      <w:pPr>
        <w:pStyle w:val="12"/>
        <w:rPr>
          <w:rFonts w:asciiTheme="minorEastAsia" w:hAnsiTheme="minorEastAsia" w:eastAsiaTheme="minorEastAsia" w:cstheme="minorEastAsia"/>
          <w:szCs w:val="21"/>
        </w:rPr>
      </w:pPr>
    </w:p>
    <w:p>
      <w:pPr>
        <w:pStyle w:val="11"/>
      </w:pPr>
    </w:p>
    <w:p>
      <w:pPr>
        <w:pStyle w:val="19"/>
        <w:spacing w:line="600" w:lineRule="exact"/>
        <w:ind w:right="-63" w:rightChars="-30"/>
        <w:rPr>
          <w:rFonts w:asciiTheme="minorEastAsia" w:hAnsiTheme="minorEastAsia" w:eastAsiaTheme="minorEastAsia" w:cstheme="minorEastAsia"/>
          <w:sz w:val="36"/>
          <w:szCs w:val="36"/>
        </w:rPr>
      </w:pPr>
      <w:bookmarkStart w:id="275" w:name="_Toc12999"/>
      <w:r>
        <w:rPr>
          <w:rFonts w:hint="eastAsia" w:asciiTheme="minorEastAsia" w:hAnsiTheme="minorEastAsia" w:eastAsiaTheme="minorEastAsia" w:cstheme="minorEastAsia"/>
          <w:sz w:val="36"/>
          <w:szCs w:val="36"/>
        </w:rPr>
        <w:t>第八章  投标文件格式</w:t>
      </w:r>
      <w:bookmarkEnd w:id="272"/>
      <w:bookmarkEnd w:id="273"/>
      <w:bookmarkEnd w:id="274"/>
      <w:bookmarkEnd w:id="275"/>
    </w:p>
    <w:p>
      <w:pPr>
        <w:rPr>
          <w:rFonts w:asciiTheme="minorEastAsia" w:hAnsiTheme="minorEastAsia" w:eastAsiaTheme="minorEastAsia" w:cstheme="minorEastAsia"/>
        </w:rPr>
      </w:pPr>
      <w:bookmarkStart w:id="276" w:name="_Toc27452"/>
      <w:bookmarkStart w:id="277" w:name="_Toc403122573"/>
      <w:bookmarkStart w:id="278" w:name="_Toc18905"/>
      <w:bookmarkStart w:id="279" w:name="_Toc402961301"/>
    </w:p>
    <w:bookmarkEnd w:id="276"/>
    <w:bookmarkEnd w:id="277"/>
    <w:bookmarkEnd w:id="278"/>
    <w:bookmarkEnd w:id="279"/>
    <w:p>
      <w:pPr>
        <w:ind w:firstLine="2891" w:firstLineChars="800"/>
        <w:rPr>
          <w:rFonts w:asciiTheme="minorEastAsia" w:hAnsiTheme="minorEastAsia" w:eastAsiaTheme="minorEastAsia" w:cstheme="minorEastAsia"/>
        </w:rPr>
      </w:pPr>
      <w:r>
        <w:rPr>
          <w:rFonts w:hint="eastAsia" w:asciiTheme="minorEastAsia" w:hAnsiTheme="minorEastAsia" w:eastAsiaTheme="minorEastAsia" w:cstheme="minorEastAsia"/>
          <w:b/>
          <w:sz w:val="36"/>
          <w:szCs w:val="36"/>
        </w:rPr>
        <w:t xml:space="preserve">（项目名称）                  </w:t>
      </w:r>
    </w:p>
    <w:p>
      <w:pPr>
        <w:spacing w:line="360" w:lineRule="auto"/>
        <w:jc w:val="center"/>
        <w:rPr>
          <w:rFonts w:asciiTheme="minorEastAsia" w:hAnsiTheme="minorEastAsia" w:eastAsiaTheme="minorEastAsia" w:cstheme="minorEastAsia"/>
          <w:b/>
          <w:sz w:val="32"/>
          <w:szCs w:val="32"/>
        </w:rPr>
      </w:pPr>
    </w:p>
    <w:p>
      <w:pPr>
        <w:pStyle w:val="2"/>
      </w:pPr>
    </w:p>
    <w:p>
      <w:pPr>
        <w:pStyle w:val="2"/>
      </w:pPr>
    </w:p>
    <w:p>
      <w:pPr>
        <w:pStyle w:val="2"/>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pStyle w:val="8"/>
      </w:pPr>
      <w:r>
        <w:rPr>
          <w:rFonts w:hint="eastAsia" w:asciiTheme="minorEastAsia" w:hAnsiTheme="minorEastAsia" w:eastAsiaTheme="minorEastAsia" w:cstheme="minorEastAsia"/>
        </w:rPr>
        <w:t xml:space="preserve"> </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13"/>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pPr>
        <w:pStyle w:val="13"/>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pPr>
        <w:pStyle w:val="13"/>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pStyle w:val="2"/>
        <w:ind w:firstLine="883"/>
        <w:rPr>
          <w:rFonts w:asciiTheme="minorEastAsia" w:hAnsiTheme="minorEastAsia" w:eastAsiaTheme="minorEastAsia" w:cstheme="minorEastAsia"/>
          <w:b/>
          <w:bCs/>
          <w:sz w:val="44"/>
          <w:szCs w:val="44"/>
        </w:rPr>
      </w:pPr>
    </w:p>
    <w:p>
      <w:pPr>
        <w:rPr>
          <w:rFonts w:asciiTheme="minorEastAsia" w:hAnsiTheme="minorEastAsia" w:eastAsiaTheme="minorEastAsia" w:cstheme="minorEastAsia"/>
          <w:b/>
          <w:bCs/>
          <w:sz w:val="44"/>
          <w:szCs w:val="44"/>
        </w:rPr>
      </w:pPr>
    </w:p>
    <w:p>
      <w:pPr>
        <w:pStyle w:val="2"/>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600" w:lineRule="exact"/>
        <w:jc w:val="center"/>
        <w:outlineLvl w:val="1"/>
        <w:rPr>
          <w:rFonts w:asciiTheme="minorEastAsia" w:hAnsiTheme="minorEastAsia" w:eastAsiaTheme="minorEastAsia" w:cstheme="minorEastAsia"/>
          <w:b/>
          <w:bCs/>
          <w:sz w:val="28"/>
          <w:szCs w:val="28"/>
        </w:rPr>
      </w:pPr>
      <w:bookmarkStart w:id="280" w:name="_Toc31547"/>
      <w:bookmarkStart w:id="281" w:name="_Toc2130"/>
      <w:r>
        <w:rPr>
          <w:rFonts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82" w:name="_Toc1921"/>
      <w:r>
        <w:rPr>
          <w:rFonts w:hint="eastAsia" w:asciiTheme="minorEastAsia" w:hAnsiTheme="minorEastAsia" w:eastAsiaTheme="minorEastAsia" w:cstheme="minorEastAsia"/>
          <w:b/>
          <w:bCs/>
          <w:sz w:val="30"/>
          <w:szCs w:val="30"/>
        </w:rPr>
        <w:t>一、投标函</w:t>
      </w:r>
      <w:bookmarkEnd w:id="280"/>
      <w:r>
        <w:rPr>
          <w:rFonts w:hint="eastAsia" w:asciiTheme="minorEastAsia" w:hAnsiTheme="minorEastAsia" w:eastAsiaTheme="minorEastAsia" w:cstheme="minorEastAsia"/>
          <w:b/>
          <w:bCs/>
          <w:sz w:val="30"/>
          <w:szCs w:val="30"/>
        </w:rPr>
        <w:t>及开标一览表</w:t>
      </w:r>
      <w:bookmarkEnd w:id="281"/>
      <w:bookmarkEnd w:id="282"/>
    </w:p>
    <w:p>
      <w:pPr>
        <w:numPr>
          <w:ilvl w:val="0"/>
          <w:numId w:val="14"/>
        </w:numPr>
        <w:spacing w:line="600" w:lineRule="exact"/>
        <w:jc w:val="center"/>
        <w:outlineLvl w:val="2"/>
        <w:rPr>
          <w:rFonts w:asciiTheme="minorEastAsia" w:hAnsiTheme="minorEastAsia" w:eastAsiaTheme="minorEastAsia" w:cstheme="minorEastAsia"/>
          <w:b/>
          <w:sz w:val="28"/>
          <w:szCs w:val="28"/>
        </w:rPr>
      </w:pPr>
      <w:bookmarkStart w:id="283" w:name="_Toc600"/>
      <w:bookmarkStart w:id="284" w:name="_Toc27218"/>
      <w:bookmarkStart w:id="285" w:name="_Toc28684"/>
      <w:bookmarkStart w:id="286" w:name="_Toc12044"/>
      <w:r>
        <w:rPr>
          <w:rFonts w:hint="eastAsia" w:asciiTheme="minorEastAsia" w:hAnsiTheme="minorEastAsia" w:eastAsiaTheme="minorEastAsia" w:cstheme="minorEastAsia"/>
          <w:b/>
          <w:sz w:val="28"/>
          <w:szCs w:val="28"/>
        </w:rPr>
        <w:t>投标函</w:t>
      </w:r>
      <w:bookmarkEnd w:id="283"/>
      <w:bookmarkEnd w:id="284"/>
      <w:bookmarkEnd w:id="285"/>
      <w:bookmarkEnd w:id="286"/>
    </w:p>
    <w:p>
      <w:pPr>
        <w:pStyle w:val="2"/>
        <w:ind w:firstLine="0" w:firstLineChars="0"/>
      </w:pPr>
    </w:p>
    <w:p>
      <w:pPr>
        <w:widowControl/>
        <w:spacing w:line="360" w:lineRule="auto"/>
        <w:ind w:firstLine="562" w:firstLineChars="200"/>
        <w:rPr>
          <w:rFonts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pPr>
        <w:pStyle w:val="20"/>
        <w:spacing w:line="360" w:lineRule="auto"/>
        <w:ind w:firstLine="480" w:firstLineChars="200"/>
        <w:rPr>
          <w:rFonts w:hint="default" w:ascii="宋体" w:hAnsi="宋体" w:eastAsia="宋体"/>
          <w:sz w:val="24"/>
        </w:rPr>
      </w:pPr>
      <w:r>
        <w:rPr>
          <w:rFonts w:ascii="宋体" w:hAnsi="宋体" w:eastAsia="宋体"/>
          <w:sz w:val="24"/>
        </w:rPr>
        <w:t>我单位已收到的</w:t>
      </w:r>
      <w:r>
        <w:rPr>
          <w:rFonts w:ascii="宋体" w:hAnsi="宋体" w:eastAsia="宋体"/>
          <w:sz w:val="24"/>
          <w:u w:val="single"/>
        </w:rPr>
        <w:t xml:space="preserve">                           </w:t>
      </w:r>
      <w:r>
        <w:rPr>
          <w:rFonts w:ascii="宋体" w:hAnsi="宋体" w:eastAsia="宋体"/>
          <w:sz w:val="24"/>
        </w:rPr>
        <w:t xml:space="preserve"> 项目采购文件及有关纪要通知，现对参与投标及中标后工作，做出如下郑重承诺：</w:t>
      </w:r>
    </w:p>
    <w:p>
      <w:pPr>
        <w:spacing w:line="360" w:lineRule="auto"/>
        <w:ind w:firstLine="480" w:firstLineChars="200"/>
        <w:rPr>
          <w:rFonts w:ascii="宋体" w:hAnsi="宋体"/>
          <w:sz w:val="24"/>
        </w:rPr>
      </w:pPr>
      <w:r>
        <w:rPr>
          <w:rFonts w:hint="eastAsia" w:ascii="宋体" w:hAnsi="宋体"/>
          <w:sz w:val="24"/>
        </w:rPr>
        <w:t>1、我方愿以总价为人民币（大写）</w:t>
      </w:r>
      <w:r>
        <w:rPr>
          <w:rFonts w:hint="eastAsia" w:ascii="宋体" w:hAnsi="宋体"/>
          <w:sz w:val="24"/>
          <w:u w:val="single"/>
        </w:rPr>
        <w:t xml:space="preserve">             </w:t>
      </w:r>
      <w:r>
        <w:rPr>
          <w:rFonts w:hint="eastAsia" w:ascii="宋体" w:hAnsi="宋体"/>
          <w:sz w:val="24"/>
        </w:rPr>
        <w:t xml:space="preserve">（小写）￥ </w:t>
      </w:r>
      <w:r>
        <w:rPr>
          <w:rFonts w:hint="eastAsia" w:ascii="宋体" w:hAnsi="宋体"/>
          <w:sz w:val="24"/>
          <w:u w:val="single"/>
        </w:rPr>
        <w:t xml:space="preserve">           </w:t>
      </w:r>
      <w:r>
        <w:rPr>
          <w:rFonts w:hint="eastAsia" w:ascii="宋体" w:hAnsi="宋体"/>
          <w:sz w:val="24"/>
        </w:rPr>
        <w:t>元，供货安装期：</w:t>
      </w:r>
      <w:r>
        <w:rPr>
          <w:rFonts w:hint="eastAsia" w:ascii="宋体" w:hAnsi="宋体"/>
          <w:sz w:val="24"/>
          <w:u w:val="single"/>
        </w:rPr>
        <w:t xml:space="preserve">           </w:t>
      </w:r>
      <w:r>
        <w:rPr>
          <w:rFonts w:hint="eastAsia" w:ascii="宋体" w:hAnsi="宋体"/>
          <w:sz w:val="24"/>
        </w:rPr>
        <w:t xml:space="preserve"> ，按合同约定实施和完成本项目。 </w:t>
      </w:r>
    </w:p>
    <w:p>
      <w:pPr>
        <w:widowControl/>
        <w:spacing w:line="360" w:lineRule="auto"/>
        <w:ind w:firstLine="480" w:firstLineChars="200"/>
        <w:rPr>
          <w:rFonts w:ascii="宋体" w:hAnsi="宋体" w:cs="宋体"/>
          <w:strike/>
          <w:sz w:val="24"/>
        </w:rPr>
      </w:pPr>
      <w:r>
        <w:rPr>
          <w:rFonts w:hint="eastAsia" w:ascii="宋体" w:hAnsi="宋体" w:cs="宋体"/>
          <w:sz w:val="24"/>
        </w:rPr>
        <w:t>2、</w:t>
      </w:r>
      <w:r>
        <w:rPr>
          <w:rFonts w:hint="eastAsia" w:ascii="宋体" w:hAnsi="宋体"/>
          <w:sz w:val="24"/>
        </w:rPr>
        <w:t>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w:t>
      </w:r>
    </w:p>
    <w:p>
      <w:pPr>
        <w:widowControl/>
        <w:spacing w:line="360" w:lineRule="auto"/>
        <w:ind w:firstLine="480" w:firstLineChars="200"/>
        <w:rPr>
          <w:rFonts w:ascii="宋体" w:hAnsi="宋体" w:cs="宋体"/>
          <w:sz w:val="24"/>
        </w:rPr>
      </w:pPr>
      <w:r>
        <w:rPr>
          <w:rFonts w:hint="eastAsia" w:ascii="宋体" w:hAnsi="宋体" w:cs="宋体"/>
          <w:sz w:val="24"/>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s="宋体"/>
          <w:sz w:val="24"/>
        </w:rPr>
      </w:pPr>
      <w:r>
        <w:rPr>
          <w:rFonts w:hint="eastAsia" w:ascii="宋体" w:hAnsi="宋体" w:cs="宋体"/>
          <w:sz w:val="24"/>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360" w:lineRule="auto"/>
        <w:ind w:firstLine="480" w:firstLineChars="200"/>
        <w:jc w:val="left"/>
      </w:pPr>
      <w:r>
        <w:rPr>
          <w:rFonts w:hint="eastAsia" w:ascii="宋体" w:hAnsi="宋体" w:cs="宋体"/>
          <w:sz w:val="24"/>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pPr>
        <w:widowControl/>
        <w:spacing w:line="360" w:lineRule="auto"/>
        <w:ind w:firstLine="480" w:firstLineChars="200"/>
        <w:rPr>
          <w:rFonts w:ascii="宋体" w:hAnsi="宋体"/>
          <w:kern w:val="0"/>
          <w:sz w:val="24"/>
        </w:rPr>
      </w:pPr>
      <w:r>
        <w:rPr>
          <w:rFonts w:hint="eastAsia" w:ascii="宋体" w:hAnsi="宋体"/>
          <w:kern w:val="0"/>
          <w:sz w:val="24"/>
        </w:rPr>
        <w:t>供应商：（盖章）</w:t>
      </w:r>
    </w:p>
    <w:p>
      <w:pPr>
        <w:widowControl/>
        <w:spacing w:line="360" w:lineRule="auto"/>
        <w:ind w:firstLine="480" w:firstLineChars="200"/>
        <w:rPr>
          <w:rFonts w:ascii="宋体" w:hAnsi="宋体"/>
          <w:kern w:val="0"/>
          <w:sz w:val="24"/>
        </w:rPr>
      </w:pPr>
      <w:r>
        <w:rPr>
          <w:rFonts w:hint="eastAsia" w:ascii="宋体" w:hAnsi="宋体"/>
          <w:kern w:val="0"/>
          <w:sz w:val="24"/>
        </w:rPr>
        <w:t>法定代表人或授权委托代理人：（签字或盖章）</w:t>
      </w:r>
    </w:p>
    <w:p>
      <w:pPr>
        <w:widowControl/>
        <w:spacing w:line="360" w:lineRule="auto"/>
        <w:ind w:firstLine="480" w:firstLineChars="200"/>
        <w:rPr>
          <w:rFonts w:ascii="宋体" w:hAnsi="宋体"/>
          <w:b/>
          <w:bCs/>
          <w:kern w:val="0"/>
          <w:sz w:val="32"/>
          <w:szCs w:val="32"/>
        </w:rPr>
      </w:pPr>
      <w:r>
        <w:rPr>
          <w:rFonts w:hint="eastAsia" w:ascii="宋体" w:hAnsi="宋体"/>
          <w:kern w:val="0"/>
          <w:sz w:val="24"/>
        </w:rPr>
        <w:t>年      月      日</w:t>
      </w: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87" w:name="_Toc14778"/>
      <w:bookmarkStart w:id="288" w:name="_Toc208"/>
      <w:bookmarkStart w:id="289" w:name="_Toc31291"/>
      <w:bookmarkStart w:id="290" w:name="_Toc9543"/>
      <w:r>
        <w:rPr>
          <w:rFonts w:hint="eastAsia" w:asciiTheme="minorEastAsia" w:hAnsiTheme="minorEastAsia" w:eastAsiaTheme="minorEastAsia" w:cstheme="minorEastAsia"/>
          <w:b/>
          <w:bCs/>
          <w:sz w:val="28"/>
          <w:szCs w:val="28"/>
        </w:rPr>
        <w:t>（二） 开标一览表</w:t>
      </w:r>
      <w:bookmarkEnd w:id="287"/>
      <w:bookmarkEnd w:id="288"/>
      <w:bookmarkEnd w:id="289"/>
      <w:bookmarkEnd w:id="290"/>
    </w:p>
    <w:p>
      <w:pPr>
        <w:jc w:val="center"/>
        <w:rPr>
          <w:rFonts w:asciiTheme="minorEastAsia" w:hAnsiTheme="minorEastAsia" w:eastAsiaTheme="minorEastAsia" w:cstheme="minorEastAsia"/>
          <w:b/>
          <w:bCs/>
          <w:sz w:val="28"/>
        </w:rPr>
      </w:pPr>
    </w:p>
    <w:tbl>
      <w:tblPr>
        <w:tblStyle w:val="21"/>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pPr>
              <w:pStyle w:val="3"/>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pPr>
              <w:pStyle w:val="3"/>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5898" w:type="dxa"/>
            <w:vAlign w:val="center"/>
          </w:tcPr>
          <w:p>
            <w:pPr>
              <w:pStyle w:val="3"/>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pPr>
              <w:pStyle w:val="3"/>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c>
          <w:tcPr>
            <w:tcW w:w="5898" w:type="dxa"/>
            <w:vAlign w:val="center"/>
          </w:tcPr>
          <w:p>
            <w:pPr>
              <w:pStyle w:val="3"/>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供货安装期</w:t>
            </w:r>
          </w:p>
        </w:tc>
        <w:tc>
          <w:tcPr>
            <w:tcW w:w="5898" w:type="dxa"/>
            <w:vAlign w:val="center"/>
          </w:tcPr>
          <w:p>
            <w:pPr>
              <w:pStyle w:val="3"/>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bCs/>
                <w:iCs/>
                <w:sz w:val="24"/>
              </w:rPr>
              <w:t>质保期</w:t>
            </w:r>
          </w:p>
        </w:tc>
        <w:tc>
          <w:tcPr>
            <w:tcW w:w="5898" w:type="dxa"/>
            <w:vAlign w:val="center"/>
          </w:tcPr>
          <w:p>
            <w:pPr>
              <w:pStyle w:val="3"/>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bCs/>
                <w:iCs/>
                <w:sz w:val="24"/>
              </w:rPr>
              <w:t>投标有效期</w:t>
            </w:r>
          </w:p>
        </w:tc>
        <w:tc>
          <w:tcPr>
            <w:tcW w:w="5898" w:type="dxa"/>
            <w:vAlign w:val="center"/>
          </w:tcPr>
          <w:p>
            <w:pPr>
              <w:pStyle w:val="3"/>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3"/>
              <w:spacing w:line="400" w:lineRule="exact"/>
              <w:ind w:firstLine="480"/>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pPr>
              <w:pStyle w:val="3"/>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3"/>
              <w:spacing w:line="400" w:lineRule="exact"/>
              <w:ind w:firstLine="480"/>
              <w:rPr>
                <w:rFonts w:asciiTheme="minorEastAsia" w:hAnsiTheme="minorEastAsia" w:eastAsiaTheme="minorEastAsia" w:cstheme="minorEastAsia"/>
                <w:sz w:val="24"/>
                <w:szCs w:val="20"/>
              </w:rPr>
            </w:pP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供应商：（单位公章）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11"/>
        <w:rPr>
          <w:rFonts w:asciiTheme="minorEastAsia" w:hAnsiTheme="minorEastAsia" w:eastAsiaTheme="minorEastAsia" w:cstheme="minorEastAsia"/>
          <w:sz w:val="24"/>
        </w:rPr>
      </w:pPr>
    </w:p>
    <w:p>
      <w:pPr>
        <w:pStyle w:val="19"/>
        <w:spacing w:before="120" w:after="120" w:line="500" w:lineRule="exact"/>
        <w:ind w:right="29" w:rightChars="14"/>
        <w:outlineLvl w:val="9"/>
        <w:rPr>
          <w:rFonts w:asciiTheme="minorEastAsia" w:hAnsiTheme="minorEastAsia" w:eastAsiaTheme="minorEastAsia" w:cstheme="minorEastAsia"/>
          <w:sz w:val="24"/>
        </w:rPr>
      </w:pPr>
    </w:p>
    <w:p>
      <w:pPr>
        <w:pStyle w:val="19"/>
        <w:spacing w:before="120" w:after="120" w:line="500" w:lineRule="exact"/>
        <w:ind w:right="29" w:rightChars="14"/>
        <w:outlineLvl w:val="1"/>
        <w:rPr>
          <w:rFonts w:asciiTheme="minorEastAsia" w:hAnsiTheme="minorEastAsia" w:eastAsiaTheme="minorEastAsia" w:cstheme="minorEastAsia"/>
          <w:sz w:val="24"/>
        </w:rPr>
        <w:sectPr>
          <w:headerReference r:id="rId5" w:type="default"/>
          <w:footerReference r:id="rId6" w:type="default"/>
          <w:pgSz w:w="11907" w:h="16840"/>
          <w:pgMar w:top="1276" w:right="1116" w:bottom="1417" w:left="911" w:header="850" w:footer="998" w:gutter="0"/>
          <w:pgNumType w:fmt="numberInDash"/>
          <w:cols w:space="720" w:num="1"/>
          <w:docGrid w:type="lines" w:linePitch="380" w:charSpace="0"/>
        </w:sectPr>
      </w:pP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（三）报价明细表</w:t>
      </w:r>
    </w:p>
    <w:p>
      <w:pPr>
        <w:spacing w:line="440" w:lineRule="exact"/>
        <w:ind w:firstLine="308" w:firstLineChars="147"/>
        <w:rPr>
          <w:rFonts w:ascii="宋体" w:hAnsi="宋体" w:cs="宋体"/>
          <w:bCs/>
          <w:szCs w:val="21"/>
        </w:rPr>
      </w:pPr>
    </w:p>
    <w:tbl>
      <w:tblPr>
        <w:tblStyle w:val="21"/>
        <w:tblW w:w="991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307" w:type="dxa"/>
            <w:vMerge w:val="restart"/>
            <w:tcBorders>
              <w:top w:val="single" w:color="auto" w:sz="4" w:space="0"/>
              <w:left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rPr>
            </w:pPr>
            <w:r>
              <w:rPr>
                <w:rFonts w:hint="eastAsia"/>
                <w:bCs/>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rPr>
            </w:pPr>
            <w:r>
              <w:rPr>
                <w:rFonts w:hint="eastAsia"/>
                <w:bCs/>
              </w:rPr>
              <w:t>所投设备</w:t>
            </w:r>
          </w:p>
        </w:tc>
        <w:tc>
          <w:tcPr>
            <w:tcW w:w="772" w:type="dxa"/>
            <w:vMerge w:val="restart"/>
            <w:tcBorders>
              <w:top w:val="single" w:color="auto" w:sz="4" w:space="0"/>
              <w:left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rPr>
            </w:pPr>
            <w:r>
              <w:rPr>
                <w:rFonts w:hint="eastAsia"/>
                <w:bCs/>
              </w:rPr>
              <w:t>单位</w:t>
            </w:r>
          </w:p>
        </w:tc>
        <w:tc>
          <w:tcPr>
            <w:tcW w:w="723" w:type="dxa"/>
            <w:vMerge w:val="restart"/>
            <w:tcBorders>
              <w:top w:val="single" w:color="auto" w:sz="4" w:space="0"/>
              <w:left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rPr>
            </w:pPr>
            <w:r>
              <w:rPr>
                <w:rFonts w:hint="eastAsia"/>
                <w:bCs/>
              </w:rPr>
              <w:t>数量</w:t>
            </w:r>
          </w:p>
        </w:tc>
        <w:tc>
          <w:tcPr>
            <w:tcW w:w="818" w:type="dxa"/>
            <w:vMerge w:val="restart"/>
            <w:tcBorders>
              <w:top w:val="single" w:color="auto" w:sz="4" w:space="0"/>
              <w:left w:val="single" w:color="auto" w:sz="4" w:space="0"/>
              <w:right w:val="single" w:color="auto" w:sz="4" w:space="0"/>
            </w:tcBorders>
            <w:noWrap/>
            <w:vAlign w:val="center"/>
          </w:tcPr>
          <w:p>
            <w:pPr>
              <w:pStyle w:val="18"/>
              <w:widowControl w:val="0"/>
              <w:adjustRightInd w:val="0"/>
              <w:spacing w:before="0" w:beforeAutospacing="0" w:after="0" w:afterAutospacing="0" w:line="480" w:lineRule="exact"/>
              <w:ind w:firstLine="235" w:firstLineChars="98"/>
              <w:jc w:val="center"/>
              <w:rPr>
                <w:bCs/>
              </w:rPr>
            </w:pPr>
          </w:p>
          <w:p>
            <w:pPr>
              <w:pStyle w:val="18"/>
              <w:widowControl w:val="0"/>
              <w:adjustRightInd w:val="0"/>
              <w:spacing w:before="0" w:beforeAutospacing="0" w:after="0" w:afterAutospacing="0" w:line="480" w:lineRule="exact"/>
              <w:jc w:val="center"/>
              <w:rPr>
                <w:bCs/>
              </w:rPr>
            </w:pPr>
            <w:r>
              <w:rPr>
                <w:rFonts w:hint="eastAsia"/>
                <w:bCs/>
              </w:rPr>
              <w:t>单价（元）</w:t>
            </w:r>
          </w:p>
          <w:p>
            <w:pPr>
              <w:pStyle w:val="18"/>
              <w:widowControl w:val="0"/>
              <w:adjustRightInd w:val="0"/>
              <w:spacing w:before="0" w:beforeAutospacing="0" w:after="0" w:afterAutospacing="0" w:line="480" w:lineRule="exact"/>
              <w:ind w:firstLine="235" w:firstLineChars="98"/>
              <w:jc w:val="center"/>
              <w:rPr>
                <w:bCs/>
              </w:rPr>
            </w:pPr>
          </w:p>
        </w:tc>
        <w:tc>
          <w:tcPr>
            <w:tcW w:w="937" w:type="dxa"/>
            <w:vMerge w:val="restart"/>
            <w:tcBorders>
              <w:top w:val="single" w:color="auto" w:sz="4" w:space="0"/>
              <w:left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rPr>
            </w:pPr>
            <w:r>
              <w:rPr>
                <w:rFonts w:hint="eastAsia"/>
                <w:bCs/>
              </w:rPr>
              <w:t>合价（元）</w:t>
            </w:r>
          </w:p>
        </w:tc>
        <w:tc>
          <w:tcPr>
            <w:tcW w:w="1142" w:type="dxa"/>
            <w:vMerge w:val="restart"/>
            <w:tcBorders>
              <w:top w:val="single" w:color="auto" w:sz="4" w:space="0"/>
              <w:left w:val="single" w:color="auto" w:sz="4" w:space="0"/>
              <w:right w:val="single" w:color="auto" w:sz="4" w:space="0"/>
            </w:tcBorders>
            <w:noWrap/>
          </w:tcPr>
          <w:p>
            <w:pPr>
              <w:pStyle w:val="18"/>
              <w:widowControl w:val="0"/>
              <w:adjustRightInd w:val="0"/>
              <w:spacing w:before="0" w:beforeAutospacing="0" w:after="0" w:afterAutospacing="0" w:line="480" w:lineRule="exact"/>
              <w:jc w:val="both"/>
              <w:rPr>
                <w:bCs/>
              </w:rPr>
            </w:pPr>
            <w:r>
              <w:rPr>
                <w:rFonts w:hint="eastAsia"/>
                <w:bCs/>
              </w:rPr>
              <w:t xml:space="preserve"> </w:t>
            </w:r>
          </w:p>
          <w:p>
            <w:pPr>
              <w:pStyle w:val="18"/>
              <w:widowControl w:val="0"/>
              <w:adjustRightInd w:val="0"/>
              <w:spacing w:before="0" w:beforeAutospacing="0" w:after="0" w:afterAutospacing="0" w:line="480" w:lineRule="exact"/>
              <w:jc w:val="both"/>
              <w:rPr>
                <w:bCs/>
              </w:rPr>
            </w:pPr>
            <w:r>
              <w:rPr>
                <w:rFonts w:hint="eastAsia"/>
                <w:bCs/>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307" w:type="dxa"/>
            <w:vMerge w:val="continue"/>
            <w:tcBorders>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rPr>
            </w:pPr>
            <w:r>
              <w:rPr>
                <w:rFonts w:hint="eastAsia"/>
                <w:bCs/>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rPr>
            </w:pPr>
            <w:r>
              <w:rPr>
                <w:rFonts w:hint="eastAsia"/>
                <w:bCs/>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rPr>
            </w:pPr>
            <w:r>
              <w:rPr>
                <w:rFonts w:hint="eastAsia"/>
                <w:bCs/>
              </w:rPr>
              <w:t>技术参数</w:t>
            </w:r>
          </w:p>
        </w:tc>
        <w:tc>
          <w:tcPr>
            <w:tcW w:w="772" w:type="dxa"/>
            <w:vMerge w:val="continue"/>
            <w:tcBorders>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rPr>
            </w:pPr>
          </w:p>
        </w:tc>
        <w:tc>
          <w:tcPr>
            <w:tcW w:w="723" w:type="dxa"/>
            <w:vMerge w:val="continue"/>
            <w:tcBorders>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rPr>
            </w:pPr>
          </w:p>
        </w:tc>
        <w:tc>
          <w:tcPr>
            <w:tcW w:w="818" w:type="dxa"/>
            <w:vMerge w:val="continue"/>
            <w:tcBorders>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ind w:firstLine="235" w:firstLineChars="98"/>
              <w:jc w:val="center"/>
              <w:rPr>
                <w:bCs/>
              </w:rPr>
            </w:pPr>
          </w:p>
        </w:tc>
        <w:tc>
          <w:tcPr>
            <w:tcW w:w="937" w:type="dxa"/>
            <w:vMerge w:val="continue"/>
            <w:tcBorders>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rPr>
            </w:pPr>
          </w:p>
        </w:tc>
        <w:tc>
          <w:tcPr>
            <w:tcW w:w="1142" w:type="dxa"/>
            <w:vMerge w:val="continue"/>
            <w:tcBorders>
              <w:left w:val="single" w:color="auto" w:sz="4" w:space="0"/>
              <w:bottom w:val="single" w:color="auto" w:sz="4" w:space="0"/>
              <w:right w:val="single" w:color="auto" w:sz="4" w:space="0"/>
            </w:tcBorders>
            <w:noWrap/>
          </w:tcPr>
          <w:p>
            <w:pPr>
              <w:pStyle w:val="18"/>
              <w:widowControl w:val="0"/>
              <w:adjustRightInd w:val="0"/>
              <w:spacing w:before="0" w:beforeAutospacing="0" w:after="0" w:afterAutospacing="0" w:line="480" w:lineRule="exact"/>
              <w:ind w:left="105" w:leftChars="50" w:firstLine="115" w:firstLineChars="48"/>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r>
              <w:rPr>
                <w:rFonts w:hint="eastAsia" w:ascii="宋体" w:hAnsi="宋体" w:cs="宋体"/>
                <w:bCs/>
                <w:sz w:val="24"/>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Cs/>
                <w:sz w:val="24"/>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Cs/>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9917" w:type="dxa"/>
            <w:gridSpan w:val="9"/>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
                <w:sz w:val="24"/>
              </w:rPr>
            </w:pPr>
            <w:r>
              <w:rPr>
                <w:rFonts w:hint="eastAsia" w:ascii="宋体" w:hAnsi="宋体" w:cs="宋体"/>
                <w:b/>
                <w:sz w:val="24"/>
              </w:rPr>
              <w:t>重要提示：1、本表的每一页须加盖企业印章；</w:t>
            </w:r>
          </w:p>
          <w:p>
            <w:pPr>
              <w:spacing w:line="480" w:lineRule="exact"/>
              <w:rPr>
                <w:rFonts w:ascii="宋体" w:hAnsi="宋体" w:cs="宋体"/>
                <w:bCs/>
                <w:sz w:val="24"/>
              </w:rPr>
            </w:pPr>
            <w:r>
              <w:rPr>
                <w:rFonts w:hint="eastAsia" w:ascii="宋体" w:hAnsi="宋体" w:cs="宋体"/>
                <w:b/>
                <w:sz w:val="24"/>
              </w:rPr>
              <w:t>2、涉及有国家标准的产品，须填写名称、品牌、型号及技术参数、报价等本表内容（若品牌、型号等填写的与实际不符，按照无效标处理）。</w:t>
            </w:r>
          </w:p>
        </w:tc>
      </w:tr>
    </w:tbl>
    <w:p>
      <w:pPr>
        <w:spacing w:line="480" w:lineRule="exact"/>
        <w:jc w:val="right"/>
        <w:rPr>
          <w:rFonts w:ascii="宋体" w:hAnsi="宋体" w:cs="宋体"/>
          <w:bCs/>
          <w:sz w:val="24"/>
        </w:rPr>
      </w:pPr>
      <w:r>
        <w:rPr>
          <w:rFonts w:hint="eastAsia" w:ascii="宋体" w:hAnsi="宋体" w:cs="宋体"/>
          <w:bCs/>
          <w:sz w:val="24"/>
        </w:rPr>
        <w:t>供应商：（单位公章）</w:t>
      </w:r>
    </w:p>
    <w:p>
      <w:pPr>
        <w:spacing w:line="480" w:lineRule="exact"/>
        <w:jc w:val="right"/>
        <w:rPr>
          <w:rFonts w:ascii="宋体" w:hAnsi="宋体" w:cs="宋体"/>
          <w:bCs/>
          <w:sz w:val="24"/>
        </w:rPr>
      </w:pPr>
      <w:r>
        <w:rPr>
          <w:rFonts w:hint="eastAsia" w:ascii="宋体" w:hAnsi="宋体" w:cs="宋体"/>
          <w:bCs/>
          <w:sz w:val="24"/>
        </w:rPr>
        <w:t xml:space="preserve">     法定代表人</w:t>
      </w:r>
      <w:r>
        <w:rPr>
          <w:rFonts w:hint="eastAsia" w:ascii="宋体" w:hAnsi="宋体" w:cs="宋体"/>
          <w:bCs/>
          <w:sz w:val="24"/>
          <w:szCs w:val="20"/>
        </w:rPr>
        <w:t>或其委托代理人</w:t>
      </w:r>
      <w:r>
        <w:rPr>
          <w:rFonts w:hint="eastAsia" w:ascii="宋体" w:hAnsi="宋体" w:cs="宋体"/>
          <w:bCs/>
          <w:sz w:val="24"/>
        </w:rPr>
        <w:t>：（签字或盖章）</w:t>
      </w:r>
    </w:p>
    <w:p>
      <w:pPr>
        <w:ind w:left="1050" w:leftChars="500"/>
        <w:jc w:val="right"/>
        <w:rPr>
          <w:rFonts w:ascii="宋体" w:hAnsi="宋体" w:cs="宋体"/>
          <w:bCs/>
          <w:sz w:val="24"/>
        </w:rPr>
      </w:pPr>
      <w:r>
        <w:rPr>
          <w:rFonts w:hint="eastAsia" w:ascii="宋体" w:hAnsi="宋体" w:cs="宋体"/>
          <w:bCs/>
          <w:sz w:val="24"/>
        </w:rPr>
        <w:t xml:space="preserve">                日  期：     年   月   日</w:t>
      </w:r>
    </w:p>
    <w:p>
      <w:pPr>
        <w:autoSpaceDE w:val="0"/>
        <w:autoSpaceDN w:val="0"/>
        <w:adjustRightInd w:val="0"/>
        <w:spacing w:line="440" w:lineRule="exact"/>
        <w:jc w:val="right"/>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r>
        <w:rPr>
          <w:rFonts w:hint="eastAsia" w:ascii="宋体" w:hAnsi="宋体" w:cs="宋体"/>
          <w:b/>
          <w:sz w:val="30"/>
          <w:szCs w:val="30"/>
        </w:rPr>
        <w:t>（四）技术偏离表</w:t>
      </w:r>
    </w:p>
    <w:p>
      <w:pPr>
        <w:spacing w:line="440" w:lineRule="exact"/>
        <w:rPr>
          <w:rFonts w:ascii="宋体" w:hAnsi="宋体" w:cs="宋体"/>
          <w:sz w:val="32"/>
        </w:rPr>
      </w:pPr>
    </w:p>
    <w:tbl>
      <w:tblPr>
        <w:tblStyle w:val="21"/>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pPr>
              <w:spacing w:line="440" w:lineRule="exact"/>
              <w:ind w:left="-141"/>
              <w:jc w:val="center"/>
              <w:rPr>
                <w:rFonts w:ascii="宋体" w:hAnsi="宋体" w:cs="宋体"/>
                <w:b/>
                <w:sz w:val="24"/>
              </w:rPr>
            </w:pPr>
            <w:r>
              <w:rPr>
                <w:rFonts w:hint="eastAsia" w:ascii="宋体" w:hAnsi="宋体" w:cs="宋体"/>
                <w:b/>
                <w:sz w:val="24"/>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rPr>
            </w:pPr>
            <w:r>
              <w:rPr>
                <w:rFonts w:hint="eastAsia" w:ascii="宋体" w:hAnsi="宋体" w:cs="宋体"/>
                <w:b/>
                <w:sz w:val="24"/>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rPr>
            </w:pPr>
            <w:r>
              <w:rPr>
                <w:rFonts w:hint="eastAsia" w:ascii="宋体" w:hAnsi="宋体" w:cs="宋体"/>
                <w:b/>
                <w:sz w:val="24"/>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pPr>
              <w:widowControl/>
              <w:spacing w:line="440" w:lineRule="exact"/>
              <w:jc w:val="center"/>
              <w:rPr>
                <w:rFonts w:ascii="宋体" w:hAnsi="宋体" w:cs="宋体"/>
                <w:b/>
                <w:sz w:val="24"/>
              </w:rPr>
            </w:pPr>
            <w:r>
              <w:rPr>
                <w:rFonts w:hint="eastAsia" w:ascii="宋体" w:hAnsi="宋体" w:cs="宋体"/>
                <w:b/>
                <w:sz w:val="24"/>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pPr>
              <w:widowControl/>
              <w:spacing w:line="440" w:lineRule="exact"/>
              <w:jc w:val="center"/>
              <w:rPr>
                <w:rFonts w:ascii="宋体" w:hAnsi="宋体" w:cs="宋体"/>
                <w:b/>
                <w:sz w:val="24"/>
              </w:rPr>
            </w:pPr>
            <w:r>
              <w:rPr>
                <w:rFonts w:hint="eastAsia" w:ascii="宋体" w:hAnsi="宋体" w:cs="宋体"/>
                <w:b/>
                <w:sz w:val="24"/>
              </w:rPr>
              <w:t>偏离说明</w:t>
            </w:r>
          </w:p>
          <w:p>
            <w:pPr>
              <w:widowControl/>
              <w:spacing w:line="440" w:lineRule="exact"/>
              <w:jc w:val="center"/>
              <w:rPr>
                <w:rFonts w:ascii="宋体" w:hAnsi="宋体" w:cs="宋体"/>
                <w:b/>
                <w:sz w:val="24"/>
              </w:rPr>
            </w:pPr>
            <w:r>
              <w:rPr>
                <w:rFonts w:hint="eastAsia" w:ascii="宋体" w:hAnsi="宋体" w:cs="宋体"/>
                <w:b/>
                <w:sz w:val="24"/>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pStyle w:val="18"/>
              <w:widowControl w:val="0"/>
              <w:tabs>
                <w:tab w:val="left" w:pos="420"/>
              </w:tabs>
              <w:spacing w:before="0" w:beforeAutospacing="0" w:after="0" w:afterAutospacing="0" w:line="440" w:lineRule="exact"/>
              <w:jc w:val="both"/>
              <w:rPr>
                <w:bCs/>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bl>
    <w:p>
      <w:pPr>
        <w:ind w:firstLine="480" w:firstLineChars="200"/>
        <w:rPr>
          <w:rFonts w:ascii="宋体" w:hAnsi="宋体"/>
          <w:sz w:val="24"/>
        </w:rPr>
      </w:pPr>
      <w:r>
        <w:rPr>
          <w:rFonts w:hint="eastAsia" w:ascii="宋体" w:hAnsi="宋体"/>
          <w:sz w:val="24"/>
        </w:rPr>
        <w:t>注：投标人须对照招标文件技术规格，将自己所投的所有货物的功能、技术性能、配置等内容按照上表格式与招标文件要求逐条填写，</w:t>
      </w:r>
      <w:r>
        <w:rPr>
          <w:rFonts w:hint="eastAsia" w:ascii="宋体" w:hAnsi="宋体"/>
          <w:b/>
          <w:bCs/>
          <w:sz w:val="24"/>
        </w:rPr>
        <w:t>供应商必须提供所投设备的具体参数值，并在偏离说明栏中标明技术及配置的实际响应情况</w:t>
      </w:r>
      <w:r>
        <w:rPr>
          <w:rFonts w:hint="eastAsia" w:ascii="宋体" w:hAnsi="宋体"/>
          <w:sz w:val="24"/>
        </w:rPr>
        <w:t>：</w:t>
      </w:r>
    </w:p>
    <w:p>
      <w:pPr>
        <w:ind w:firstLine="480" w:firstLineChars="200"/>
        <w:rPr>
          <w:rFonts w:ascii="宋体" w:hAnsi="宋体"/>
          <w:sz w:val="24"/>
        </w:rPr>
      </w:pPr>
      <w:r>
        <w:rPr>
          <w:rFonts w:hint="eastAsia" w:ascii="宋体" w:hAnsi="宋体"/>
          <w:sz w:val="24"/>
        </w:rPr>
        <w:t>1、偏离说明栏中必须标明技术及配置的响应情况，整项货物及该项货物各部分相应情况须按下列要求填写，任何不真实响应都将按无效投标处理：</w:t>
      </w:r>
    </w:p>
    <w:p>
      <w:pPr>
        <w:numPr>
          <w:ilvl w:val="0"/>
          <w:numId w:val="15"/>
        </w:numPr>
        <w:ind w:firstLine="480" w:firstLineChars="200"/>
        <w:rPr>
          <w:rFonts w:ascii="宋体" w:hAnsi="宋体"/>
          <w:sz w:val="24"/>
        </w:rPr>
      </w:pPr>
      <w:r>
        <w:rPr>
          <w:rFonts w:hint="eastAsia" w:ascii="宋体" w:hAnsi="宋体"/>
          <w:sz w:val="24"/>
        </w:rPr>
        <w:t>对应项中的所有技术参数、性能和配置全部符合招标文件要求的才能填写“符合”；</w:t>
      </w:r>
    </w:p>
    <w:p>
      <w:pPr>
        <w:numPr>
          <w:ilvl w:val="0"/>
          <w:numId w:val="15"/>
        </w:numPr>
        <w:ind w:firstLine="480" w:firstLineChars="200"/>
        <w:rPr>
          <w:rFonts w:ascii="宋体" w:hAnsi="宋体"/>
          <w:sz w:val="24"/>
        </w:rPr>
      </w:pPr>
      <w:r>
        <w:rPr>
          <w:rFonts w:hint="eastAsia" w:ascii="宋体" w:hAnsi="宋体"/>
          <w:sz w:val="24"/>
        </w:rPr>
        <w:t>对应项中的所有技术参数、性能和配置全部符合招标文件要求并且其中有一个或以上指标优于招标文件要求的，可填写“正偏离”；</w:t>
      </w:r>
    </w:p>
    <w:p>
      <w:pPr>
        <w:spacing w:line="600" w:lineRule="exact"/>
        <w:rPr>
          <w:rFonts w:ascii="宋体" w:hAnsi="宋体" w:cs="宋体"/>
          <w:sz w:val="24"/>
        </w:rPr>
      </w:pPr>
    </w:p>
    <w:p>
      <w:pPr>
        <w:spacing w:line="600" w:lineRule="exact"/>
        <w:rPr>
          <w:rFonts w:ascii="宋体" w:hAnsi="宋体" w:cs="宋体"/>
          <w:sz w:val="24"/>
          <w:u w:val="single"/>
        </w:rPr>
      </w:pPr>
      <w:r>
        <w:rPr>
          <w:rFonts w:hint="eastAsia" w:asciiTheme="minorEastAsia" w:hAnsiTheme="minorEastAsia" w:eastAsiaTheme="minorEastAsia" w:cstheme="minorEastAsia"/>
          <w:sz w:val="24"/>
        </w:rPr>
        <w:t>供应商</w:t>
      </w:r>
      <w:r>
        <w:rPr>
          <w:rFonts w:hint="eastAsia" w:ascii="宋体" w:hAnsi="宋体" w:cs="宋体"/>
          <w:sz w:val="24"/>
        </w:rPr>
        <w:t>（盖章）：</w:t>
      </w:r>
    </w:p>
    <w:p>
      <w:pPr>
        <w:spacing w:line="600" w:lineRule="exact"/>
        <w:rPr>
          <w:rFonts w:ascii="宋体" w:hAnsi="宋体" w:cs="宋体"/>
          <w:sz w:val="24"/>
        </w:rPr>
      </w:pPr>
      <w:r>
        <w:rPr>
          <w:rFonts w:hint="eastAsia" w:ascii="宋体" w:hAnsi="宋体" w:cs="宋体"/>
          <w:sz w:val="24"/>
        </w:rPr>
        <w:t>法人代表或授权委托人（签字或盖章）：</w:t>
      </w:r>
    </w:p>
    <w:p>
      <w:pPr>
        <w:spacing w:line="720" w:lineRule="auto"/>
        <w:jc w:val="center"/>
        <w:rPr>
          <w:rFonts w:ascii="宋体" w:hAnsi="宋体" w:cs="宋体"/>
          <w:sz w:val="24"/>
        </w:rPr>
      </w:pPr>
      <w:r>
        <w:rPr>
          <w:rFonts w:hint="eastAsia" w:ascii="宋体" w:hAnsi="宋体" w:cs="宋体"/>
          <w:sz w:val="24"/>
        </w:rPr>
        <w:t xml:space="preserve">                                         年    月    日  </w:t>
      </w:r>
    </w:p>
    <w:p>
      <w:pPr>
        <w:spacing w:line="720" w:lineRule="auto"/>
        <w:jc w:val="center"/>
        <w:rPr>
          <w:rFonts w:ascii="宋体" w:hAnsi="宋体" w:cs="宋体"/>
          <w:sz w:val="24"/>
        </w:rPr>
      </w:pPr>
    </w:p>
    <w:p>
      <w:pPr>
        <w:pStyle w:val="2"/>
        <w:ind w:firstLine="480"/>
        <w:rPr>
          <w:rFonts w:asciiTheme="minorEastAsia" w:hAnsiTheme="minorEastAsia" w:eastAsiaTheme="minorEastAsia" w:cstheme="minorEastAsia"/>
          <w:sz w:val="24"/>
        </w:rPr>
      </w:pPr>
    </w:p>
    <w:p>
      <w:pPr>
        <w:pStyle w:val="19"/>
        <w:spacing w:before="120" w:after="120" w:line="500" w:lineRule="exact"/>
        <w:ind w:right="29" w:rightChars="14"/>
        <w:outlineLvl w:val="1"/>
        <w:rPr>
          <w:rFonts w:asciiTheme="minorEastAsia" w:hAnsiTheme="minorEastAsia" w:eastAsiaTheme="minorEastAsia" w:cstheme="minorEastAsia"/>
          <w:sz w:val="30"/>
          <w:szCs w:val="30"/>
        </w:rPr>
      </w:pPr>
      <w:bookmarkStart w:id="291" w:name="_Toc2213"/>
      <w:bookmarkStart w:id="292" w:name="_Toc26698"/>
      <w:bookmarkStart w:id="293" w:name="_Toc5614"/>
      <w:r>
        <w:rPr>
          <w:rFonts w:hint="eastAsia" w:asciiTheme="minorEastAsia" w:hAnsiTheme="minorEastAsia" w:eastAsiaTheme="minorEastAsia" w:cstheme="minorEastAsia"/>
          <w:sz w:val="30"/>
          <w:szCs w:val="30"/>
          <w:lang w:val="en-US" w:eastAsia="zh-CN"/>
        </w:rPr>
        <w:t>二</w:t>
      </w:r>
      <w:r>
        <w:rPr>
          <w:rFonts w:hint="eastAsia" w:asciiTheme="minorEastAsia" w:hAnsiTheme="minorEastAsia" w:eastAsiaTheme="minorEastAsia" w:cstheme="minorEastAsia"/>
          <w:sz w:val="30"/>
          <w:szCs w:val="30"/>
        </w:rPr>
        <w:t>、法定代表人身份证明书</w:t>
      </w:r>
      <w:bookmarkEnd w:id="291"/>
      <w:bookmarkEnd w:id="292"/>
      <w:bookmarkEnd w:id="293"/>
    </w:p>
    <w:p/>
    <w:p>
      <w:pPr>
        <w:spacing w:line="360" w:lineRule="auto"/>
        <w:ind w:firstLine="480" w:firstLineChars="200"/>
        <w:rPr>
          <w:rFonts w:ascii="宋体" w:hAnsi="宋体"/>
          <w:sz w:val="24"/>
        </w:rPr>
      </w:pPr>
      <w:r>
        <w:rPr>
          <w:rFonts w:hint="eastAsia" w:ascii="宋体" w:hAnsi="宋体"/>
          <w:sz w:val="24"/>
          <w:szCs w:val="18"/>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_</w:t>
      </w:r>
    </w:p>
    <w:p>
      <w:pPr>
        <w:spacing w:line="360" w:lineRule="auto"/>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（供应商名称）的法定代表人。</w:t>
      </w:r>
    </w:p>
    <w:p>
      <w:pPr>
        <w:spacing w:line="360" w:lineRule="auto"/>
        <w:ind w:firstLine="480" w:firstLineChars="200"/>
        <w:rPr>
          <w:rFonts w:ascii="宋体" w:hAnsi="宋体"/>
          <w:sz w:val="24"/>
        </w:rPr>
      </w:pPr>
      <w:r>
        <w:rPr>
          <w:rFonts w:hint="eastAsia" w:ascii="宋体" w:hAnsi="宋体"/>
          <w:sz w:val="24"/>
        </w:rPr>
        <w:t>特此证明。</w:t>
      </w:r>
    </w:p>
    <w:p>
      <w:pPr>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346710</wp:posOffset>
                </wp:positionV>
                <wp:extent cx="3134360" cy="2108200"/>
                <wp:effectExtent l="4445" t="4445" r="10795" b="8255"/>
                <wp:wrapNone/>
                <wp:docPr id="3" name="自选图形 2"/>
                <wp:cNvGraphicFramePr/>
                <a:graphic xmlns:a="http://schemas.openxmlformats.org/drawingml/2006/main">
                  <a:graphicData uri="http://schemas.microsoft.com/office/word/2010/wordprocessingShape">
                    <wps:wsp>
                      <wps:cNvSpPr/>
                      <wps:spPr>
                        <a:xfrm>
                          <a:off x="0" y="0"/>
                          <a:ext cx="3134360" cy="2108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2" o:spid="_x0000_s1026" o:spt="176" type="#_x0000_t176" style="position:absolute;left:0pt;margin-left:208.6pt;margin-top:27.3pt;height:166pt;width:246.8pt;z-index:251661312;mso-width-relative:page;mso-height-relative:page;" fillcolor="#FFFFFF" filled="t" stroked="t" coordsize="21600,21600" o:gfxdata="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GfVz2QAAAAoB&#10;AAAPAAAAAAAAAAEAIAAAACIAAABkcnMvZG93bnJldi54bWxQSwECFAAUAAAACACHTuJAaqGG7xoC&#10;AABFBAAADgAAAAAAAAABACAAAAAoAQAAZHJzL2Uyb0RvYy54bWxQSwUGAAAAAAYABgBZAQAAtAUA&#10;AAAA&#10;">
                <v:fill on="t" focussize="0,0"/>
                <v:stroke color="#000000" joinstyle="miter"/>
                <v:imagedata o:title=""/>
                <o:lock v:ext="edit" aspectratio="f"/>
                <v:textbox>
                  <w:txbxContent>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274955</wp:posOffset>
                </wp:positionV>
                <wp:extent cx="2912745" cy="2235200"/>
                <wp:effectExtent l="4445" t="4445" r="16510" b="8255"/>
                <wp:wrapNone/>
                <wp:docPr id="1"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3" o:spid="_x0000_s1026" o:spt="176" type="#_x0000_t176" style="position:absolute;left:0pt;margin-left:-23.4pt;margin-top:21.65pt;height:176pt;width:229.35pt;z-index:251659264;mso-width-relative:page;mso-height-relative:page;" fillcolor="#FFFFFF" filled="t" stroked="t" coordsize="21600,21600" o:gfxdata="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1pmXZAAAACgEA&#10;AA8AAAAAAAAAAQAgAAAAIgAAAGRycy9kb3ducmV2LnhtbFBLAQIUABQAAAAIAIdO4kBSq43dGQIA&#10;AEUEAAAOAAAAAAAAAAEAIAAAACgBAABkcnMvZTJvRG9jLnhtbFBLBQYAAAAABgAGAFkBAACzBQAA&#10;AAA=&#10;">
                <v:fill on="t" focussize="0,0"/>
                <v:stroke color="#000000" joinstyle="miter"/>
                <v:imagedata o:title=""/>
                <o:lock v:ext="edit" aspectratio="f"/>
                <v:textbox>
                  <w:txbxContent>
                    <w:p/>
                  </w:txbxContent>
                </v:textbox>
              </v:shape>
            </w:pict>
          </mc:Fallback>
        </mc:AlternateContent>
      </w:r>
    </w:p>
    <w:p>
      <w:pPr>
        <w:rPr>
          <w:rFonts w:ascii="宋体" w:hAnsi="宋体"/>
          <w:sz w:val="24"/>
        </w:rPr>
      </w:pPr>
    </w:p>
    <w:p>
      <w:pPr>
        <w:rPr>
          <w:rFonts w:ascii="宋体" w:hAnsi="宋体"/>
          <w:sz w:val="24"/>
        </w:rPr>
      </w:pPr>
    </w:p>
    <w:p>
      <w:pPr>
        <w:rPr>
          <w:rFonts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2692400</wp:posOffset>
                </wp:positionH>
                <wp:positionV relativeFrom="paragraph">
                  <wp:posOffset>152400</wp:posOffset>
                </wp:positionV>
                <wp:extent cx="2810510" cy="296545"/>
                <wp:effectExtent l="4445" t="4445" r="17145" b="16510"/>
                <wp:wrapNone/>
                <wp:docPr id="4"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法定代表人身份证复印件粘贴处（背面）</w:t>
                            </w:r>
                          </w:p>
                        </w:txbxContent>
                      </wps:txbx>
                      <wps:bodyPr upright="1"/>
                    </wps:wsp>
                  </a:graphicData>
                </a:graphic>
              </wp:anchor>
            </w:drawing>
          </mc:Choice>
          <mc:Fallback>
            <w:pict>
              <v:shape id="_x0000_s1026" o:spid="_x0000_s1026" o:spt="202" type="#_x0000_t202" style="position:absolute;left:0pt;margin-left:212pt;margin-top:12pt;height:23.35pt;width:221.3pt;z-index:251662336;mso-width-relative:page;mso-height-relative:page;" fillcolor="#FFFFFF" filled="t" stroked="t" coordsize="21600,21600" o:gfxdata="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R2/tXYAAAACQEAAA8AAAAAAAAAAQAgAAAA&#10;IgAAAGRycy9kb3ducmV2LnhtbFBLAQIUABQAAAAIAIdO4kBtqxMrCwIAADYEAAAOAAAAAAAAAAEA&#10;IAAAACcBAABkcnMvZTJvRG9jLnhtbFBLBQYAAAAABgAGAFkBAACkBQAAAAA=&#10;">
                <v:fill on="t" focussize="0,0"/>
                <v:stroke color="#000000" joinstyle="miter"/>
                <v:imagedata o:title=""/>
                <o:lock v:ext="edit" aspectratio="f"/>
                <v:textbox>
                  <w:txbxContent>
                    <w:p>
                      <w:r>
                        <w:rPr>
                          <w:rFonts w:hint="eastAsia" w:ascii="宋体" w:hAnsi="宋体"/>
                          <w:sz w:val="24"/>
                        </w:rPr>
                        <w:t>法定代表人身份证复印件粘贴处（背面）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-245110</wp:posOffset>
                </wp:positionH>
                <wp:positionV relativeFrom="paragraph">
                  <wp:posOffset>169545</wp:posOffset>
                </wp:positionV>
                <wp:extent cx="2810510" cy="296545"/>
                <wp:effectExtent l="4445" t="4445" r="17145" b="16510"/>
                <wp:wrapNone/>
                <wp:docPr id="2" name="文本框 5"/>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法定代表人身份证复印件粘贴处（正面）</w:t>
                            </w:r>
                          </w:p>
                        </w:txbxContent>
                      </wps:txbx>
                      <wps:bodyPr upright="1"/>
                    </wps:wsp>
                  </a:graphicData>
                </a:graphic>
              </wp:anchor>
            </w:drawing>
          </mc:Choice>
          <mc:Fallback>
            <w:pict>
              <v:shape id="文本框 5" o:spid="_x0000_s1026" o:spt="202" type="#_x0000_t202" style="position:absolute;left:0pt;margin-left:-19.3pt;margin-top:13.35pt;height:23.35pt;width:221.3pt;z-index:251660288;mso-width-relative:page;mso-height-relative:page;" fillcolor="#FFFFFF" filled="t" stroked="t" coordsize="21600,21600" o:gfxdata="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VbkcdkAAAAJAQAADwAAAAAAAAABACAA&#10;AAAiAAAAZHJzL2Rvd25yZXYueG1sUEsBAhQAFAAAAAgAh07iQJlJoW8MAgAANgQAAA4AAAAAAAAA&#10;AQAgAAAAKAEAAGRycy9lMm9Eb2MueG1sUEsFBgAAAAAGAAYAWQEAAKYFAAAAAA==&#10;">
                <v:fill on="t" focussize="0,0"/>
                <v:stroke color="#000000" joinstyle="miter"/>
                <v:imagedata o:title=""/>
                <o:lock v:ext="edit" aspectratio="f"/>
                <v:textbox>
                  <w:txbxContent>
                    <w:p>
                      <w:r>
                        <w:rPr>
                          <w:rFonts w:hint="eastAsia" w:ascii="宋体" w:hAnsi="宋体"/>
                          <w:sz w:val="24"/>
                        </w:rPr>
                        <w:t>法定代表人身份证复印件粘贴处（正面）</w:t>
                      </w:r>
                    </w:p>
                  </w:txbxContent>
                </v:textbox>
              </v:shape>
            </w:pict>
          </mc:Fallback>
        </mc:AlternateContent>
      </w:r>
    </w:p>
    <w:p/>
    <w:p>
      <w:pPr>
        <w:spacing w:line="360" w:lineRule="auto"/>
        <w:ind w:firstLine="480" w:firstLineChars="200"/>
        <w:rPr>
          <w:rFonts w:ascii="宋体" w:hAnsi="宋体"/>
          <w:sz w:val="24"/>
        </w:rPr>
      </w:pPr>
    </w:p>
    <w:p>
      <w:pPr>
        <w:spacing w:line="360" w:lineRule="auto"/>
        <w:rPr>
          <w:rFonts w:ascii="宋体" w:hAnsi="宋体"/>
          <w:sz w:val="24"/>
        </w:rPr>
      </w:pPr>
      <w:r>
        <w:rPr>
          <w:rFonts w:hint="eastAsia" w:ascii="宋体" w:hAnsi="宋体"/>
          <w:sz w:val="24"/>
        </w:rPr>
        <w:t>供应商： （盖单位章）</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p>
    <w:p>
      <w:pPr>
        <w:spacing w:line="360" w:lineRule="auto"/>
        <w:ind w:firstLine="5760" w:firstLineChars="2400"/>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（盖单位公章）</w:t>
      </w:r>
    </w:p>
    <w:p>
      <w:pPr>
        <w:spacing w:line="360" w:lineRule="auto"/>
        <w:ind w:firstLine="5760" w:firstLineChars="2400"/>
        <w:rPr>
          <w:rFonts w:ascii="宋体" w:hAnsi="宋体"/>
          <w:sz w:val="24"/>
        </w:rPr>
      </w:pPr>
      <w:r>
        <w:rPr>
          <w:rFonts w:hint="eastAsia" w:ascii="宋体" w:hAnsi="宋体"/>
          <w:sz w:val="24"/>
        </w:rPr>
        <w:t>年    月     日</w:t>
      </w:r>
    </w:p>
    <w:p>
      <w:pPr>
        <w:spacing w:line="440" w:lineRule="exact"/>
        <w:rPr>
          <w:rFonts w:asciiTheme="minorEastAsia" w:hAnsiTheme="minorEastAsia" w:eastAsiaTheme="minorEastAsia" w:cstheme="minorEastAsia"/>
        </w:rPr>
      </w:pPr>
    </w:p>
    <w:p>
      <w:pPr>
        <w:pStyle w:val="19"/>
        <w:spacing w:before="120" w:after="120" w:line="500" w:lineRule="exact"/>
        <w:ind w:right="29" w:rightChars="14"/>
        <w:outlineLvl w:val="9"/>
        <w:rPr>
          <w:rFonts w:asciiTheme="minorEastAsia" w:hAnsiTheme="minorEastAsia" w:eastAsiaTheme="minorEastAsia" w:cstheme="minorEastAsia"/>
          <w:sz w:val="30"/>
          <w:szCs w:val="30"/>
        </w:rPr>
      </w:pPr>
      <w:bookmarkStart w:id="294" w:name="_Toc15395"/>
      <w:bookmarkStart w:id="295" w:name="_Toc6009"/>
    </w:p>
    <w:p>
      <w:pPr>
        <w:pStyle w:val="19"/>
        <w:spacing w:before="120" w:after="120" w:line="500" w:lineRule="exact"/>
        <w:ind w:right="29" w:rightChars="14"/>
        <w:outlineLvl w:val="1"/>
        <w:rPr>
          <w:rFonts w:asciiTheme="minorEastAsia" w:hAnsiTheme="minorEastAsia" w:eastAsiaTheme="minorEastAsia" w:cstheme="minorEastAsia"/>
          <w:sz w:val="30"/>
          <w:szCs w:val="30"/>
        </w:rPr>
      </w:pPr>
      <w:bookmarkStart w:id="296" w:name="_Toc17980"/>
    </w:p>
    <w:p>
      <w:pPr>
        <w:pStyle w:val="19"/>
        <w:spacing w:before="120" w:after="120" w:line="500" w:lineRule="exact"/>
        <w:ind w:right="29" w:rightChars="14"/>
        <w:outlineLvl w:val="1"/>
        <w:rPr>
          <w:rFonts w:asciiTheme="minorEastAsia" w:hAnsiTheme="minorEastAsia" w:eastAsiaTheme="minorEastAsia" w:cstheme="minorEastAsia"/>
          <w:sz w:val="30"/>
          <w:szCs w:val="30"/>
        </w:rPr>
      </w:pPr>
    </w:p>
    <w:p>
      <w:pPr>
        <w:pStyle w:val="19"/>
        <w:spacing w:before="120" w:after="120" w:line="500" w:lineRule="exact"/>
        <w:ind w:right="29" w:rightChars="14"/>
        <w:outlineLvl w:val="1"/>
        <w:rPr>
          <w:rFonts w:asciiTheme="minorEastAsia" w:hAnsiTheme="minorEastAsia" w:eastAsiaTheme="minorEastAsia" w:cstheme="minorEastAsia"/>
          <w:sz w:val="30"/>
          <w:szCs w:val="30"/>
        </w:rPr>
      </w:pPr>
    </w:p>
    <w:p>
      <w:pPr>
        <w:pStyle w:val="19"/>
        <w:spacing w:before="120" w:after="120" w:line="500" w:lineRule="exact"/>
        <w:ind w:right="29" w:rightChars="14"/>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三</w:t>
      </w:r>
      <w:r>
        <w:rPr>
          <w:rFonts w:hint="eastAsia" w:asciiTheme="minorEastAsia" w:hAnsiTheme="minorEastAsia" w:eastAsiaTheme="minorEastAsia" w:cstheme="minorEastAsia"/>
          <w:sz w:val="30"/>
          <w:szCs w:val="30"/>
        </w:rPr>
        <w:t>、授权委托书</w:t>
      </w:r>
      <w:bookmarkEnd w:id="294"/>
      <w:bookmarkEnd w:id="295"/>
      <w:bookmarkEnd w:id="296"/>
    </w:p>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（项目名称）项目响应文件、签订合同和处理有关事宜，其法律后果由我方承担。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代理人无转委托权。</w:t>
      </w:r>
    </w:p>
    <w:p>
      <w:pPr>
        <w:spacing w:line="360" w:lineRule="auto"/>
        <w:ind w:firstLine="480" w:firstLineChars="200"/>
        <w:rPr>
          <w:rFonts w:ascii="宋体" w:hAns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-363855</wp:posOffset>
                </wp:positionH>
                <wp:positionV relativeFrom="paragraph">
                  <wp:posOffset>158750</wp:posOffset>
                </wp:positionV>
                <wp:extent cx="3050540" cy="2235200"/>
                <wp:effectExtent l="4445" t="4445" r="5715" b="8255"/>
                <wp:wrapNone/>
                <wp:docPr id="5" name="自选图形 7"/>
                <wp:cNvGraphicFramePr/>
                <a:graphic xmlns:a="http://schemas.openxmlformats.org/drawingml/2006/main">
                  <a:graphicData uri="http://schemas.microsoft.com/office/word/2010/wordprocessingShape">
                    <wps:wsp>
                      <wps:cNvSpPr/>
                      <wps:spPr>
                        <a:xfrm>
                          <a:off x="0" y="0"/>
                          <a:ext cx="305054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7" o:spid="_x0000_s1026" o:spt="176" type="#_x0000_t176" style="position:absolute;left:0pt;margin-left:-28.65pt;margin-top:12.5pt;height:176pt;width:240.2pt;z-index:251663360;mso-width-relative:page;mso-height-relative:page;" fillcolor="#FFFFFF" filled="t" stroked="t" coordsize="21600,21600" o:gfxdata="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cJm9jYAAAACgEA&#10;AA8AAAAAAAAAAQAgAAAAIgAAAGRycy9kb3ducmV2LnhtbFBLAQIUABQAAAAIAIdO4kCFOY5tGgIA&#10;AEUEAAAOAAAAAAAAAAEAIAAAACcBAABkcnMvZTJvRG9jLnhtbFBLBQYAAAAABgAGAFkBAACzBQAA&#10;AAA=&#10;">
                <v:fill on="t" focussize="0,0"/>
                <v:stroke color="#000000" joinstyle="miter"/>
                <v:imagedata o:title=""/>
                <o:lock v:ext="edit" aspectratio="f"/>
                <v:textbox>
                  <w:txbxContent>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179705</wp:posOffset>
                </wp:positionV>
                <wp:extent cx="3134360" cy="2235200"/>
                <wp:effectExtent l="4445" t="5080" r="107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6" o:spid="_x0000_s1026" o:spt="176" type="#_x0000_t176" style="position:absolute;left:0pt;margin-left:212.25pt;margin-top:14.15pt;height:176pt;width:246.8pt;z-index:251664384;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9z/e82QAAAAoBAAAPAAAA&#10;AAAAAAEAIAAAACIAAABkcnMvZG93bnJldi54bWxQSwECFAAUAAAACACHTuJADJ3OQhQCAAA6BAAA&#10;DgAAAAAAAAABACAAAAAoAQAAZHJzL2Uyb0RvYy54bWxQSwUGAAAAAAYABgBZAQAArgUAAAAA&#10;">
                <v:fill on="t" focussize="0,0"/>
                <v:stroke color="#000000" joinstyle="miter"/>
                <v:imagedata o:title=""/>
                <o:lock v:ext="edit" aspectratio="f"/>
              </v:shape>
            </w:pict>
          </mc:Fallback>
        </mc:AlternateContent>
      </w:r>
    </w:p>
    <w:p>
      <w:pPr>
        <w:spacing w:line="360" w:lineRule="auto"/>
        <w:ind w:firstLine="480" w:firstLineChars="200"/>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-265430</wp:posOffset>
                </wp:positionH>
                <wp:positionV relativeFrom="paragraph">
                  <wp:posOffset>273050</wp:posOffset>
                </wp:positionV>
                <wp:extent cx="2810510" cy="296545"/>
                <wp:effectExtent l="4445" t="4445" r="17145" b="16510"/>
                <wp:wrapNone/>
                <wp:docPr id="7" name="文本框 8"/>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委托代理人身份证复印件粘贴处（正面）</w:t>
                            </w:r>
                          </w:p>
                        </w:txbxContent>
                      </wps:txbx>
                      <wps:bodyPr upright="1"/>
                    </wps:wsp>
                  </a:graphicData>
                </a:graphic>
              </wp:anchor>
            </w:drawing>
          </mc:Choice>
          <mc:Fallback>
            <w:pict>
              <v:shape id="文本框 8" o:spid="_x0000_s1026" o:spt="202" type="#_x0000_t202" style="position:absolute;left:0pt;margin-left:-20.9pt;margin-top:21.5pt;height:23.35pt;width:221.3pt;z-index:251665408;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tWmUnYAAAACQEAAA8AAAAAAAAAAQAgAAAA&#10;IgAAAGRycy9kb3ducmV2LnhtbFBLAQIUABQAAAAIAIdO4kBQcvtlCwIAADYEAAAOAAAAAAAAAAEA&#10;IAAAACcBAABkcnMvZTJvRG9jLnhtbFBLBQYAAAAABgAGAFkBAACkBQAAAAA=&#10;">
                <v:fill on="t" focussize="0,0"/>
                <v:stroke color="#000000" joinstyle="miter"/>
                <v:imagedata o:title=""/>
                <o:lock v:ext="edit" aspectratio="f"/>
                <v:textbox>
                  <w:txbxContent>
                    <w:p>
                      <w:r>
                        <w:rPr>
                          <w:rFonts w:hint="eastAsia" w:ascii="宋体" w:hAnsi="宋体"/>
                          <w:sz w:val="24"/>
                        </w:rPr>
                        <w:t>委托代理人身份证复印件粘贴处（正面）</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2825115</wp:posOffset>
                </wp:positionH>
                <wp:positionV relativeFrom="paragraph">
                  <wp:posOffset>234950</wp:posOffset>
                </wp:positionV>
                <wp:extent cx="2810510" cy="296545"/>
                <wp:effectExtent l="4445" t="4445" r="17145" b="16510"/>
                <wp:wrapNone/>
                <wp:docPr id="8"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委托代理人身份证复印件粘贴处（背面）</w:t>
                            </w:r>
                          </w:p>
                        </w:txbxContent>
                      </wps:txbx>
                      <wps:bodyPr upright="1"/>
                    </wps:wsp>
                  </a:graphicData>
                </a:graphic>
              </wp:anchor>
            </w:drawing>
          </mc:Choice>
          <mc:Fallback>
            <w:pict>
              <v:shape id="文本框 9" o:spid="_x0000_s1026" o:spt="202" type="#_x0000_t202" style="position:absolute;left:0pt;margin-left:222.45pt;margin-top:18.5pt;height:23.35pt;width:221.3pt;z-index:251666432;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8R6xfZAAAACQEAAA8AAAAAAAAAAQAgAAAA&#10;IgAAAGRycy9kb3ducmV2LnhtbFBLAQIUABQAAAAIAIdO4kC2NVLHCgIAADYEAAAOAAAAAAAAAAEA&#10;IAAAACgBAABkcnMvZTJvRG9jLnhtbFBLBQYAAAAABgAGAFkBAACkBQAAAAA=&#10;">
                <v:fill on="t" focussize="0,0"/>
                <v:stroke color="#000000" joinstyle="miter"/>
                <v:imagedata o:title=""/>
                <o:lock v:ext="edit" aspectratio="f"/>
                <v:textbox>
                  <w:txbxContent>
                    <w:p>
                      <w:r>
                        <w:rPr>
                          <w:rFonts w:hint="eastAsia" w:ascii="宋体" w:hAnsi="宋体"/>
                          <w:sz w:val="24"/>
                        </w:rPr>
                        <w:t>委托代理人身份证复印件粘贴处（背面）</w:t>
                      </w:r>
                    </w:p>
                  </w:txbxContent>
                </v:textbox>
              </v:shape>
            </w:pict>
          </mc:Fallback>
        </mc:AlternateConten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 xml:space="preserve">（盖单位公章） </w:t>
      </w:r>
    </w:p>
    <w:p>
      <w:pPr>
        <w:spacing w:line="360" w:lineRule="auto"/>
        <w:jc w:val="left"/>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360" w:lineRule="auto"/>
        <w:jc w:val="left"/>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（签字或盖章）</w:t>
      </w:r>
    </w:p>
    <w:p>
      <w:pPr>
        <w:spacing w:line="360" w:lineRule="auto"/>
        <w:ind w:firstLine="5040" w:firstLineChars="2100"/>
        <w:rPr>
          <w:rFonts w:ascii="宋体" w:hAnsi="宋体"/>
          <w:sz w:val="24"/>
        </w:rPr>
      </w:pPr>
    </w:p>
    <w:p>
      <w:pPr>
        <w:spacing w:line="360" w:lineRule="auto"/>
        <w:ind w:firstLine="5040" w:firstLineChars="2100"/>
        <w:rPr>
          <w:rFonts w:asciiTheme="minorEastAsia" w:hAnsiTheme="minorEastAsia" w:eastAsiaTheme="minorEastAsia" w:cstheme="minorEastAsia"/>
          <w:sz w:val="30"/>
          <w:szCs w:val="30"/>
        </w:rPr>
      </w:pP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bookmarkEnd w:id="245"/>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kern w:val="2"/>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kern w:val="2"/>
          <w:sz w:val="30"/>
          <w:szCs w:val="30"/>
        </w:rPr>
      </w:pPr>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bookmarkStart w:id="297" w:name="_Toc8304"/>
      <w:bookmarkStart w:id="298" w:name="_Toc25161"/>
      <w:r>
        <w:rPr>
          <w:rFonts w:hint="eastAsia" w:asciiTheme="minorEastAsia" w:hAnsiTheme="minorEastAsia" w:eastAsiaTheme="minorEastAsia" w:cstheme="minorEastAsia"/>
          <w:b/>
          <w:kern w:val="2"/>
          <w:sz w:val="30"/>
          <w:szCs w:val="30"/>
          <w:lang w:val="en-US" w:eastAsia="zh-CN"/>
        </w:rPr>
        <w:t>四</w:t>
      </w:r>
      <w:r>
        <w:rPr>
          <w:rFonts w:hint="eastAsia" w:asciiTheme="minorEastAsia" w:hAnsiTheme="minorEastAsia" w:eastAsiaTheme="minorEastAsia" w:cstheme="minorEastAsia"/>
          <w:b/>
          <w:kern w:val="2"/>
          <w:sz w:val="30"/>
          <w:szCs w:val="30"/>
        </w:rPr>
        <w:t>、项目实施方案</w:t>
      </w:r>
      <w:bookmarkEnd w:id="297"/>
      <w:r>
        <w:rPr>
          <w:rFonts w:hint="eastAsia" w:asciiTheme="minorEastAsia" w:hAnsiTheme="minorEastAsia" w:eastAsiaTheme="minorEastAsia" w:cstheme="minorEastAsia"/>
          <w:b/>
          <w:kern w:val="2"/>
          <w:sz w:val="30"/>
          <w:szCs w:val="30"/>
        </w:rPr>
        <w:t>等</w:t>
      </w:r>
      <w:bookmarkEnd w:id="298"/>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bookmarkStart w:id="299" w:name="_Toc10043"/>
    </w:p>
    <w:p>
      <w:pPr>
        <w:autoSpaceDE w:val="0"/>
        <w:autoSpaceDN w:val="0"/>
        <w:adjustRightInd w:val="0"/>
        <w:spacing w:line="440" w:lineRule="exact"/>
        <w:jc w:val="center"/>
        <w:rPr>
          <w:rFonts w:ascii="宋体" w:hAnsi="宋体" w:cs="宋体"/>
          <w:b/>
          <w:sz w:val="30"/>
          <w:szCs w:val="30"/>
        </w:rPr>
      </w:pPr>
    </w:p>
    <w:p>
      <w:pPr>
        <w:pStyle w:val="20"/>
        <w:ind w:firstLine="301"/>
        <w:rPr>
          <w:rFonts w:hint="default" w:ascii="宋体" w:hAnsi="宋体" w:cs="宋体"/>
          <w:b/>
          <w:sz w:val="30"/>
          <w:szCs w:val="30"/>
        </w:rPr>
      </w:pPr>
    </w:p>
    <w:p>
      <w:pPr>
        <w:pStyle w:val="2"/>
      </w:pPr>
    </w:p>
    <w:p>
      <w:pPr>
        <w:overflowPunct w:val="0"/>
        <w:adjustRightInd w:val="0"/>
        <w:snapToGrid w:val="0"/>
        <w:spacing w:line="574" w:lineRule="exact"/>
        <w:jc w:val="center"/>
        <w:rPr>
          <w:rFonts w:hint="eastAsia" w:asciiTheme="minorEastAsia" w:hAnsiTheme="minorEastAsia" w:eastAsiaTheme="minorEastAsia" w:cstheme="minorEastAsia"/>
          <w:b/>
          <w:sz w:val="30"/>
          <w:szCs w:val="30"/>
          <w:lang w:val="en-US" w:eastAsia="zh-CN"/>
        </w:rPr>
      </w:pPr>
      <w:bookmarkStart w:id="300" w:name="_Toc20650"/>
      <w:bookmarkStart w:id="301" w:name="_Toc29492"/>
      <w:bookmarkStart w:id="302" w:name="_Toc30146"/>
    </w:p>
    <w:p>
      <w:pPr>
        <w:overflowPunct w:val="0"/>
        <w:adjustRightInd w:val="0"/>
        <w:snapToGrid w:val="0"/>
        <w:spacing w:line="574" w:lineRule="exact"/>
        <w:jc w:val="center"/>
        <w:rPr>
          <w:rFonts w:ascii="宋体" w:hAnsi="宋体" w:cs="宋体"/>
          <w:b/>
          <w:bCs/>
          <w:sz w:val="32"/>
          <w:szCs w:val="32"/>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w:t>
      </w:r>
      <w:bookmarkEnd w:id="299"/>
      <w:bookmarkEnd w:id="300"/>
      <w:bookmarkEnd w:id="301"/>
      <w:bookmarkEnd w:id="302"/>
      <w:r>
        <w:rPr>
          <w:rFonts w:hint="eastAsia" w:ascii="宋体" w:hAnsi="宋体" w:cs="宋体"/>
          <w:b/>
          <w:bCs/>
          <w:sz w:val="32"/>
          <w:szCs w:val="32"/>
        </w:rPr>
        <w:t>政府采购供应商资格信用承诺函</w:t>
      </w:r>
    </w:p>
    <w:p>
      <w:pPr>
        <w:spacing w:line="400" w:lineRule="exact"/>
        <w:jc w:val="left"/>
        <w:rPr>
          <w:sz w:val="24"/>
        </w:rPr>
      </w:pP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致</w:t>
      </w:r>
      <w:r>
        <w:rPr>
          <w:rFonts w:hint="eastAsia" w:ascii="仿宋_GB2312" w:hAnsi="仿宋_GB2312" w:cs="仿宋_GB2312"/>
          <w:sz w:val="24"/>
          <w:u w:val="single"/>
        </w:rPr>
        <w:t xml:space="preserve">（采购人）     </w:t>
      </w:r>
      <w:r>
        <w:rPr>
          <w:rFonts w:hint="eastAsia" w:ascii="仿宋_GB2312" w:hAnsi="仿宋_GB2312" w:cs="仿宋_GB2312"/>
          <w:sz w:val="24"/>
        </w:rPr>
        <w:t>：</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供应商名称：</w:t>
      </w:r>
      <w:r>
        <w:rPr>
          <w:rFonts w:hint="eastAsia" w:ascii="仿宋_GB2312" w:hAnsi="仿宋_GB2312" w:cs="仿宋_GB2312"/>
          <w:sz w:val="24"/>
          <w:u w:val="single"/>
        </w:rPr>
        <w:t xml:space="preserve">                                         </w:t>
      </w:r>
      <w:r>
        <w:rPr>
          <w:rFonts w:hint="eastAsia" w:ascii="仿宋_GB2312" w:hAnsi="仿宋_GB2312" w:cs="仿宋_GB2312"/>
          <w:sz w:val="24"/>
        </w:rPr>
        <w:t xml:space="preserve">                                  </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统一社会信用代码：</w:t>
      </w:r>
      <w:r>
        <w:rPr>
          <w:rFonts w:hint="eastAsia" w:ascii="仿宋_GB2312" w:hAnsi="仿宋_GB2312" w:cs="仿宋_GB2312"/>
          <w:sz w:val="24"/>
          <w:u w:val="single"/>
        </w:rPr>
        <w:t xml:space="preserve">                                 </w:t>
      </w:r>
      <w:r>
        <w:rPr>
          <w:rFonts w:hint="eastAsia" w:ascii="仿宋_GB2312" w:hAnsi="仿宋_GB2312" w:cs="仿宋_GB2312"/>
          <w:sz w:val="24"/>
        </w:rPr>
        <w:t xml:space="preserve">                            </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供应商地址：</w:t>
      </w:r>
      <w:r>
        <w:rPr>
          <w:rFonts w:hint="eastAsia" w:ascii="仿宋_GB2312" w:hAnsi="仿宋_GB2312" w:cs="仿宋_GB2312"/>
          <w:sz w:val="24"/>
          <w:u w:val="single"/>
        </w:rPr>
        <w:t xml:space="preserve">                                         </w:t>
      </w:r>
      <w:r>
        <w:rPr>
          <w:rFonts w:hint="eastAsia" w:ascii="仿宋_GB2312" w:hAnsi="仿宋_GB2312" w:cs="仿宋_GB2312"/>
          <w:sz w:val="24"/>
        </w:rPr>
        <w:t xml:space="preserve">                              </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w:t>
      </w:r>
      <w:r>
        <w:rPr>
          <w:rFonts w:hint="eastAsia" w:ascii="Times New Roman" w:hAnsi="Times New Roman" w:cs="仿宋_GB2312"/>
          <w:sz w:val="24"/>
        </w:rPr>
        <w:t>1</w:t>
      </w:r>
      <w:r>
        <w:rPr>
          <w:rFonts w:hint="eastAsia" w:ascii="仿宋_GB2312" w:hAnsi="仿宋_GB2312" w:cs="仿宋_GB2312"/>
          <w:sz w:val="24"/>
        </w:rPr>
        <w:t>.</w:t>
      </w:r>
      <w:r>
        <w:rPr>
          <w:rFonts w:hint="eastAsia" w:ascii="仿宋_GB2312" w:hAnsi="仿宋_GB2312" w:cs="仿宋_GB2312"/>
          <w:spacing w:val="6"/>
          <w:sz w:val="24"/>
        </w:rPr>
        <w:t>我单位具有符合采购文件资格要求独立承担民事责任的能力。</w:t>
      </w:r>
    </w:p>
    <w:p>
      <w:pPr>
        <w:overflowPunct w:val="0"/>
        <w:adjustRightInd w:val="0"/>
        <w:snapToGrid w:val="0"/>
        <w:spacing w:line="574" w:lineRule="exact"/>
        <w:ind w:firstLine="480" w:firstLineChars="200"/>
        <w:rPr>
          <w:rFonts w:ascii="仿宋_GB2312" w:hAnsi="仿宋_GB2312" w:cs="仿宋_GB2312"/>
          <w:sz w:val="24"/>
        </w:rPr>
      </w:pPr>
      <w:r>
        <w:rPr>
          <w:rFonts w:hint="eastAsia" w:ascii="Times New Roman" w:hAnsi="Times New Roman" w:cs="仿宋_GB2312"/>
          <w:sz w:val="24"/>
        </w:rPr>
        <w:t>2</w:t>
      </w:r>
      <w:r>
        <w:rPr>
          <w:rFonts w:hint="eastAsia" w:ascii="仿宋_GB2312" w:hAnsi="仿宋_GB2312" w:cs="仿宋_GB2312"/>
          <w:sz w:val="24"/>
        </w:rPr>
        <w:t>.我单位具有符合采购文件资格要求的财务状况报告。</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w:t>
      </w:r>
      <w:r>
        <w:rPr>
          <w:rFonts w:hint="eastAsia" w:ascii="Times New Roman" w:hAnsi="Times New Roman" w:cs="仿宋_GB2312"/>
          <w:sz w:val="24"/>
        </w:rPr>
        <w:t>3</w:t>
      </w:r>
      <w:r>
        <w:rPr>
          <w:rFonts w:hint="eastAsia" w:ascii="仿宋_GB2312" w:hAnsi="仿宋_GB2312" w:cs="仿宋_GB2312"/>
          <w:sz w:val="24"/>
        </w:rPr>
        <w:t>.我单位具有符合采购文件资格要求的依法缴纳税收和社会保障记录的良好记录。</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w:t>
      </w:r>
      <w:r>
        <w:rPr>
          <w:rFonts w:hint="eastAsia" w:ascii="Times New Roman" w:hAnsi="Times New Roman" w:cs="仿宋_GB2312"/>
          <w:sz w:val="24"/>
        </w:rPr>
        <w:t>4</w:t>
      </w:r>
      <w:r>
        <w:rPr>
          <w:rFonts w:hint="eastAsia" w:ascii="仿宋_GB2312" w:hAnsi="仿宋_GB2312" w:cs="仿宋_GB2312"/>
          <w:sz w:val="24"/>
        </w:rPr>
        <w:t>.我单位具有符合采购文件资格要求履行合同所必需的设备和专业技术能力。</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w:t>
      </w:r>
      <w:r>
        <w:rPr>
          <w:rFonts w:hint="eastAsia" w:ascii="Times New Roman" w:hAnsi="Times New Roman" w:cs="仿宋_GB2312"/>
          <w:sz w:val="24"/>
        </w:rPr>
        <w:t>5</w:t>
      </w:r>
      <w:r>
        <w:rPr>
          <w:rFonts w:hint="eastAsia" w:ascii="仿宋_GB2312" w:hAnsi="仿宋_GB2312" w:cs="仿宋_GB2312"/>
          <w:sz w:val="24"/>
        </w:rPr>
        <w:t>.参加政府采购活动前三年内，在经营活动中没有重大违法记录。</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若我单位承诺不实，自愿承担提供虚假材料谋取中标、成交的法律责任。</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承诺供应商（全称并加盖公章）：</w:t>
      </w:r>
      <w:r>
        <w:rPr>
          <w:rFonts w:hint="eastAsia" w:ascii="仿宋_GB2312" w:hAnsi="仿宋_GB2312" w:cs="仿宋_GB2312"/>
          <w:sz w:val="24"/>
          <w:u w:val="single"/>
        </w:rPr>
        <w:t xml:space="preserve">                                          </w:t>
      </w:r>
      <w:r>
        <w:rPr>
          <w:rFonts w:hint="eastAsia" w:ascii="仿宋_GB2312" w:hAnsi="仿宋_GB2312" w:cs="仿宋_GB2312"/>
          <w:sz w:val="24"/>
        </w:rPr>
        <w:t xml:space="preserve"> </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法定代表人或授权代表(签字或签章)：</w:t>
      </w:r>
      <w:r>
        <w:rPr>
          <w:rFonts w:hint="eastAsia" w:ascii="仿宋_GB2312" w:hAnsi="仿宋_GB2312" w:cs="仿宋_GB2312"/>
          <w:sz w:val="24"/>
          <w:u w:val="single"/>
        </w:rPr>
        <w:t xml:space="preserve">                                           </w:t>
      </w:r>
      <w:r>
        <w:rPr>
          <w:rFonts w:hint="eastAsia" w:ascii="仿宋_GB2312" w:hAnsi="仿宋_GB2312" w:cs="仿宋_GB2312"/>
          <w:sz w:val="24"/>
        </w:rPr>
        <w:t xml:space="preserve">  </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日期：    年  月  日 </w:t>
      </w:r>
    </w:p>
    <w:p>
      <w:pPr>
        <w:overflowPunct w:val="0"/>
        <w:adjustRightInd w:val="0"/>
        <w:snapToGrid w:val="0"/>
        <w:spacing w:line="574" w:lineRule="exact"/>
        <w:ind w:firstLine="480"/>
        <w:rPr>
          <w:rFonts w:hint="eastAsia" w:ascii="仿宋_GB2312" w:hAnsi="仿宋_GB2312" w:cs="仿宋_GB2312"/>
          <w:sz w:val="24"/>
        </w:rPr>
      </w:pPr>
      <w:r>
        <w:rPr>
          <w:rFonts w:hint="eastAsia" w:ascii="仿宋_GB2312" w:hAnsi="仿宋_GB2312" w:cs="仿宋_GB2312"/>
          <w:b/>
          <w:bCs/>
          <w:sz w:val="24"/>
        </w:rPr>
        <w:t>注：</w:t>
      </w:r>
      <w:r>
        <w:rPr>
          <w:rFonts w:hint="eastAsia" w:ascii="Times New Roman" w:hAnsi="Times New Roman" w:cs="仿宋_GB2312"/>
          <w:sz w:val="24"/>
        </w:rPr>
        <w:t>1</w:t>
      </w:r>
      <w:r>
        <w:rPr>
          <w:rFonts w:hint="eastAsia" w:ascii="仿宋_GB2312" w:hAnsi="仿宋_GB2312" w:cs="仿宋_GB2312"/>
          <w:sz w:val="24"/>
        </w:rPr>
        <w:t>.供应商须在投标文件中按此模板提供承诺函，未提供视为未实质性响应招标文件要求，按无效投标处理。</w:t>
      </w:r>
    </w:p>
    <w:p>
      <w:pPr>
        <w:pStyle w:val="2"/>
        <w:ind w:firstLine="422"/>
        <w:rPr>
          <w:b/>
          <w:bCs/>
        </w:rPr>
      </w:pPr>
    </w:p>
    <w:p>
      <w:pPr>
        <w:pStyle w:val="7"/>
      </w:pPr>
    </w:p>
    <w:p>
      <w:pPr>
        <w:pStyle w:val="2"/>
      </w:pPr>
    </w:p>
    <w:p>
      <w:pPr>
        <w:autoSpaceDE w:val="0"/>
        <w:autoSpaceDN w:val="0"/>
        <w:adjustRightInd w:val="0"/>
        <w:spacing w:line="440" w:lineRule="exact"/>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20"/>
        <w:ind w:firstLine="281"/>
        <w:rPr>
          <w:rFonts w:hint="default" w:asciiTheme="minorEastAsia" w:hAnsiTheme="minorEastAsia" w:eastAsiaTheme="minorEastAsia" w:cstheme="minorEastAsia"/>
          <w:b/>
          <w:sz w:val="28"/>
        </w:rPr>
      </w:pPr>
    </w:p>
    <w:p>
      <w:pPr>
        <w:pStyle w:val="18"/>
        <w:widowControl w:val="0"/>
        <w:tabs>
          <w:tab w:val="left" w:pos="0"/>
        </w:tabs>
        <w:spacing w:before="120" w:beforeAutospacing="0" w:after="120" w:afterAutospacing="0" w:line="500" w:lineRule="exact"/>
        <w:ind w:right="29" w:rightChars="14" w:firstLine="3313" w:firstLineChars="1100"/>
        <w:outlineLvl w:val="1"/>
        <w:rPr>
          <w:rFonts w:asciiTheme="minorEastAsia" w:hAnsiTheme="minorEastAsia" w:eastAsiaTheme="minorEastAsia" w:cstheme="minorEastAsia"/>
          <w:b/>
          <w:kern w:val="2"/>
          <w:sz w:val="30"/>
          <w:szCs w:val="30"/>
        </w:rPr>
      </w:pPr>
      <w:bookmarkStart w:id="303" w:name="_Toc4390"/>
      <w:bookmarkStart w:id="304" w:name="_Toc8330"/>
      <w:bookmarkStart w:id="305" w:name="_Toc6465"/>
      <w:bookmarkStart w:id="306" w:name="_Toc31553"/>
      <w:r>
        <w:rPr>
          <w:rFonts w:hint="eastAsia" w:asciiTheme="minorEastAsia" w:hAnsiTheme="minorEastAsia" w:eastAsiaTheme="minorEastAsia" w:cstheme="minorEastAsia"/>
          <w:b/>
          <w:kern w:val="2"/>
          <w:sz w:val="30"/>
          <w:szCs w:val="30"/>
          <w:lang w:val="en-US" w:eastAsia="zh-CN"/>
        </w:rPr>
        <w:t>六</w:t>
      </w:r>
      <w:r>
        <w:rPr>
          <w:rFonts w:hint="eastAsia" w:asciiTheme="minorEastAsia" w:hAnsiTheme="minorEastAsia" w:eastAsiaTheme="minorEastAsia" w:cstheme="minorEastAsia"/>
          <w:b/>
          <w:kern w:val="2"/>
          <w:sz w:val="30"/>
          <w:szCs w:val="30"/>
        </w:rPr>
        <w:t>、供应商服务承诺和优惠承诺</w:t>
      </w:r>
      <w:bookmarkEnd w:id="303"/>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307" w:name="_Toc700"/>
      <w:r>
        <w:rPr>
          <w:rFonts w:hint="eastAsia" w:asciiTheme="minorEastAsia" w:hAnsiTheme="minorEastAsia" w:eastAsiaTheme="minorEastAsia" w:cstheme="minorEastAsia"/>
          <w:b/>
          <w:kern w:val="2"/>
          <w:sz w:val="30"/>
          <w:szCs w:val="30"/>
          <w:lang w:val="en-US" w:eastAsia="zh-CN"/>
        </w:rPr>
        <w:t>七</w:t>
      </w:r>
      <w:r>
        <w:rPr>
          <w:rFonts w:hint="eastAsia" w:asciiTheme="minorEastAsia" w:hAnsiTheme="minorEastAsia" w:eastAsiaTheme="minorEastAsia" w:cstheme="minorEastAsia"/>
          <w:b/>
          <w:kern w:val="2"/>
          <w:sz w:val="30"/>
          <w:szCs w:val="30"/>
        </w:rPr>
        <w:t>、供应商所投产品属于当期政府采购清单规定的节能环保产品的</w:t>
      </w:r>
      <w:bookmarkEnd w:id="304"/>
      <w:bookmarkEnd w:id="307"/>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308" w:name="_Toc18925"/>
      <w:bookmarkStart w:id="309" w:name="_Toc28422"/>
      <w:bookmarkStart w:id="310" w:name="_Toc24210"/>
      <w:bookmarkStart w:id="311" w:name="_Toc21287"/>
      <w:r>
        <w:rPr>
          <w:rFonts w:hint="eastAsia" w:asciiTheme="minorEastAsia" w:hAnsiTheme="minorEastAsia" w:eastAsiaTheme="minorEastAsia" w:cstheme="minorEastAsia"/>
          <w:b/>
          <w:kern w:val="2"/>
          <w:sz w:val="30"/>
          <w:szCs w:val="30"/>
        </w:rPr>
        <w:t>证明材料</w:t>
      </w:r>
      <w:bookmarkEnd w:id="305"/>
      <w:bookmarkEnd w:id="308"/>
      <w:bookmarkEnd w:id="309"/>
      <w:bookmarkEnd w:id="310"/>
      <w:r>
        <w:rPr>
          <w:rFonts w:hint="eastAsia" w:asciiTheme="minorEastAsia" w:hAnsiTheme="minorEastAsia" w:eastAsiaTheme="minorEastAsia" w:cstheme="minorEastAsia"/>
          <w:b/>
          <w:kern w:val="2"/>
          <w:sz w:val="30"/>
          <w:szCs w:val="30"/>
        </w:rPr>
        <w:t>（如有）</w:t>
      </w:r>
      <w:bookmarkEnd w:id="311"/>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312" w:name="_Toc23227"/>
      <w:bookmarkStart w:id="313" w:name="_Toc24850"/>
      <w:bookmarkStart w:id="314" w:name="_Toc10717"/>
      <w:r>
        <w:rPr>
          <w:rFonts w:hint="eastAsia" w:asciiTheme="minorEastAsia" w:hAnsiTheme="minorEastAsia" w:eastAsiaTheme="minorEastAsia" w:cstheme="minorEastAsia"/>
          <w:b/>
          <w:kern w:val="2"/>
          <w:sz w:val="30"/>
          <w:szCs w:val="30"/>
          <w:lang w:val="en-US" w:eastAsia="zh-CN"/>
        </w:rPr>
        <w:t>八</w:t>
      </w:r>
      <w:r>
        <w:rPr>
          <w:rFonts w:hint="eastAsia" w:asciiTheme="minorEastAsia" w:hAnsiTheme="minorEastAsia" w:eastAsiaTheme="minorEastAsia" w:cstheme="minorEastAsia"/>
          <w:b/>
          <w:kern w:val="2"/>
          <w:sz w:val="30"/>
          <w:szCs w:val="30"/>
        </w:rPr>
        <w:t>、中小企业声明函</w:t>
      </w:r>
      <w:bookmarkEnd w:id="312"/>
      <w:bookmarkEnd w:id="313"/>
      <w:bookmarkEnd w:id="314"/>
    </w:p>
    <w:p>
      <w:pPr>
        <w:spacing w:line="6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本公司（联合体）郑重声明，根据《政府采购促进中小 企业发展管理办法》（财库﹝2020﹞</w:t>
      </w:r>
    </w:p>
    <w:p>
      <w:pPr>
        <w:spacing w:line="6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46 号）的规定，本公司 （联合体）参加（单位名称）的（项目名称）采购活动，提供的货物全部由符合政策要求的中小企业制造。相关企业 （含联合体中的中小企业、签订分包意向协议的中小企业） 的具体情况如下：</w:t>
      </w:r>
    </w:p>
    <w:p>
      <w:pPr>
        <w:spacing w:line="6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 </w:t>
      </w:r>
      <w:r>
        <w:rPr>
          <w:rFonts w:hint="eastAsia" w:asciiTheme="minorEastAsia" w:hAnsiTheme="minorEastAsia" w:eastAsiaTheme="minorEastAsia" w:cstheme="minorEastAsia"/>
          <w:sz w:val="24"/>
          <w:u w:val="single"/>
        </w:rPr>
        <w:t>（标的名称）</w:t>
      </w:r>
      <w:r>
        <w:rPr>
          <w:rFonts w:hint="eastAsia" w:asciiTheme="minorEastAsia" w:hAnsiTheme="minorEastAsia" w:eastAsiaTheme="minorEastAsia" w:cstheme="minorEastAsia"/>
          <w:sz w:val="24"/>
        </w:rPr>
        <w:t xml:space="preserve"> ，属于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行业；制造商为</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人，</w:t>
      </w:r>
    </w:p>
    <w:p>
      <w:pPr>
        <w:spacing w:line="6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万元 ，属于（中型企业、小 型企业、微型企业）；</w:t>
      </w:r>
    </w:p>
    <w:p>
      <w:pPr>
        <w:spacing w:line="6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 </w:t>
      </w:r>
      <w:r>
        <w:rPr>
          <w:rFonts w:hint="eastAsia" w:asciiTheme="minorEastAsia" w:hAnsiTheme="minorEastAsia" w:eastAsiaTheme="minorEastAsia" w:cstheme="minorEastAsia"/>
          <w:sz w:val="24"/>
          <w:u w:val="single"/>
        </w:rPr>
        <w:t xml:space="preserve">（标的名称） </w:t>
      </w:r>
      <w:r>
        <w:rPr>
          <w:rFonts w:hint="eastAsia" w:asciiTheme="minorEastAsia" w:hAnsiTheme="minorEastAsia" w:eastAsiaTheme="minorEastAsia" w:cstheme="minorEastAsia"/>
          <w:sz w:val="24"/>
        </w:rPr>
        <w:t>，属于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行业；制造商为</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人，</w:t>
      </w:r>
    </w:p>
    <w:p>
      <w:pPr>
        <w:spacing w:line="6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万元，属于（中型企业、小型 企业、微型企业）；</w:t>
      </w:r>
    </w:p>
    <w:p>
      <w:pPr>
        <w:spacing w:line="6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6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以上企业，不属于大企业的分支机构，不存在控股股东 为大企业的情形，也不存在与大企业的负责人为同一人的情形。</w:t>
      </w:r>
    </w:p>
    <w:p>
      <w:pPr>
        <w:spacing w:line="6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本企业对上述声明内容的真实性负责。如有虚假，将依 法承担相应责任。</w:t>
      </w:r>
    </w:p>
    <w:p>
      <w:pPr>
        <w:spacing w:line="60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企业名称（盖章）：</w:t>
      </w:r>
    </w:p>
    <w:p>
      <w:pPr>
        <w:spacing w:line="60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p>
    <w:p>
      <w:pPr>
        <w:spacing w:line="6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注：1、从业人员、营业收入、资产总额填报上一年度数据，无上一年度数据的新成立企业可不填报。</w:t>
      </w:r>
    </w:p>
    <w:p>
      <w:pPr>
        <w:spacing w:line="6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2、供应商提供的声明函将在中标后随中标公告一并公示，若声明函内容不实的，将依照《政府采购法》等国家有关规定追究相应责任。</w:t>
      </w:r>
    </w:p>
    <w:p>
      <w:pPr>
        <w:spacing w:line="600" w:lineRule="exact"/>
        <w:jc w:val="center"/>
        <w:rPr>
          <w:rFonts w:asciiTheme="minorEastAsia" w:hAnsiTheme="minorEastAsia" w:eastAsiaTheme="minorEastAsia" w:cstheme="minorEastAsia"/>
          <w:b/>
          <w:sz w:val="30"/>
          <w:szCs w:val="30"/>
        </w:rPr>
      </w:pPr>
      <w:bookmarkStart w:id="315" w:name="_Toc118912524"/>
      <w:bookmarkStart w:id="316" w:name="_Toc32103"/>
      <w:r>
        <w:rPr>
          <w:rFonts w:hint="eastAsia" w:ascii="宋体" w:hAnsi="宋体" w:cs="宋体"/>
          <w:b/>
          <w:szCs w:val="21"/>
        </w:rPr>
        <w:t>（提醒：如果制造商不是中小企业，则不需要提供《</w:t>
      </w:r>
      <w:r>
        <w:rPr>
          <w:rFonts w:hint="eastAsia" w:ascii="宋体" w:hAnsi="宋体"/>
          <w:b/>
        </w:rPr>
        <w:t>中小企业声明函</w:t>
      </w:r>
      <w:r>
        <w:rPr>
          <w:rFonts w:hint="eastAsia" w:ascii="宋体" w:hAnsi="宋体" w:cs="宋体"/>
          <w:b/>
          <w:szCs w:val="21"/>
        </w:rPr>
        <w:t>》）</w:t>
      </w:r>
      <w:bookmarkEnd w:id="315"/>
      <w:bookmarkEnd w:id="316"/>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317" w:name="_Toc20881"/>
      <w:bookmarkStart w:id="318" w:name="_Toc11708"/>
      <w:bookmarkStart w:id="319" w:name="_Toc30170"/>
      <w:bookmarkStart w:id="320" w:name="_Toc14292"/>
      <w:r>
        <w:rPr>
          <w:rFonts w:hint="eastAsia" w:asciiTheme="minorEastAsia" w:hAnsiTheme="minorEastAsia" w:eastAsiaTheme="minorEastAsia" w:cstheme="minorEastAsia"/>
          <w:b/>
          <w:kern w:val="2"/>
          <w:sz w:val="30"/>
          <w:szCs w:val="30"/>
          <w:lang w:val="en-US" w:eastAsia="zh-CN"/>
        </w:rPr>
        <w:t>九</w:t>
      </w:r>
      <w:r>
        <w:rPr>
          <w:rFonts w:hint="eastAsia" w:asciiTheme="minorEastAsia" w:hAnsiTheme="minorEastAsia" w:eastAsiaTheme="minorEastAsia" w:cstheme="minorEastAsia"/>
          <w:b/>
          <w:kern w:val="2"/>
          <w:sz w:val="30"/>
          <w:szCs w:val="30"/>
        </w:rPr>
        <w:t>、残疾人福利性单位声明函（如有）</w:t>
      </w:r>
      <w:bookmarkEnd w:id="317"/>
      <w:bookmarkEnd w:id="318"/>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bookmarkEnd w:id="306"/>
    <w:bookmarkEnd w:id="319"/>
    <w:bookmarkEnd w:id="320"/>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bookmarkStart w:id="321" w:name="_Toc16608"/>
      <w:bookmarkStart w:id="322" w:name="_Toc18605"/>
      <w:r>
        <w:rPr>
          <w:rFonts w:hint="eastAsia" w:asciiTheme="minorEastAsia" w:hAnsiTheme="minorEastAsia" w:eastAsiaTheme="minorEastAsia" w:cstheme="minorEastAsia"/>
          <w:b/>
          <w:kern w:val="2"/>
          <w:sz w:val="30"/>
          <w:szCs w:val="30"/>
        </w:rPr>
        <w:t>十、招标文件要求的或供应商认为须提交的其他材料</w:t>
      </w:r>
      <w:bookmarkEnd w:id="321"/>
      <w:bookmarkEnd w:id="322"/>
    </w:p>
    <w:p>
      <w:pPr>
        <w:spacing w:line="600" w:lineRule="exact"/>
        <w:jc w:val="center"/>
        <w:rPr>
          <w:rFonts w:ascii="仿宋" w:hAnsi="仿宋" w:eastAsia="仿宋" w:cs="仿宋"/>
          <w:sz w:val="30"/>
          <w:szCs w:val="30"/>
        </w:rPr>
      </w:pPr>
    </w:p>
    <w:p>
      <w:pPr>
        <w:spacing w:line="600" w:lineRule="exact"/>
        <w:jc w:val="center"/>
        <w:rPr>
          <w:rFonts w:ascii="仿宋" w:hAnsi="仿宋" w:eastAsia="仿宋" w:cs="仿宋"/>
          <w:sz w:val="30"/>
          <w:szCs w:val="30"/>
        </w:rPr>
      </w:pPr>
      <w:r>
        <w:rPr>
          <w:rFonts w:hint="eastAsia" w:ascii="仿宋" w:hAnsi="仿宋" w:eastAsia="仿宋" w:cs="仿宋"/>
          <w:sz w:val="30"/>
          <w:szCs w:val="30"/>
        </w:rPr>
        <w:t>招标文件规定的其他资料及供应商认为需要提交的其他材料。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pStyle w:val="32"/>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32"/>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32"/>
        <w:rPr>
          <w:rFonts w:asciiTheme="minorEastAsia" w:hAnsiTheme="minorEastAsia" w:eastAsiaTheme="minorEastAsia" w:cstheme="minorEastAsia"/>
          <w:b/>
          <w:bCs/>
          <w:kern w:val="0"/>
          <w:sz w:val="32"/>
          <w:szCs w:val="32"/>
        </w:rPr>
      </w:pP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r>
        <w:rPr>
          <w:rFonts w:ascii="宋体" w:hAnsi="宋体" w:cs="宋体"/>
          <w:kern w:val="0"/>
          <w:sz w:val="24"/>
        </w:rPr>
        <w:br w:type="page"/>
      </w:r>
    </w:p>
    <w:p>
      <w:pPr>
        <w:spacing w:line="360" w:lineRule="auto"/>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优化和提升政府采购政策</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一、全面取消采购文件费用和投标保证金费用。</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二、免收履约保证金。确因项目需要的，应以保函等非现金形式收取，比例不得超过合同金额的</w:t>
      </w:r>
      <w:r>
        <w:rPr>
          <w:rFonts w:hint="eastAsia" w:asciiTheme="minorEastAsia" w:hAnsiTheme="minorEastAsia" w:eastAsiaTheme="minorEastAsia" w:cstheme="minorEastAsia"/>
          <w:sz w:val="24"/>
          <w:u w:val="single"/>
        </w:rPr>
        <w:t>6%</w:t>
      </w:r>
      <w:r>
        <w:rPr>
          <w:rFonts w:hint="eastAsia" w:asciiTheme="minorEastAsia" w:hAnsiTheme="minorEastAsia" w:eastAsiaTheme="minorEastAsia" w:cstheme="minorEastAsia"/>
          <w:sz w:val="24"/>
        </w:rPr>
        <w:t>，并按约定的时间和条件退还。</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三、评标结果确认时限。自评标（评审）结束后应2个工作日内确定中标供应商，5个工作日内公告结果，同时发送中标（成交）通知书。</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四、合同签订时限。自中标（成交）通知书发出之日起</w:t>
      </w:r>
      <w:r>
        <w:rPr>
          <w:rFonts w:hint="eastAsia" w:asciiTheme="minorEastAsia" w:hAnsiTheme="minorEastAsia" w:eastAsiaTheme="minorEastAsia" w:cstheme="minorEastAsia"/>
          <w:sz w:val="24"/>
          <w:u w:val="single"/>
        </w:rPr>
        <w:t>15</w:t>
      </w:r>
      <w:r>
        <w:rPr>
          <w:rFonts w:hint="eastAsia" w:asciiTheme="minorEastAsia" w:hAnsiTheme="minorEastAsia" w:eastAsiaTheme="minorEastAsia" w:cstheme="minorEastAsia"/>
          <w:sz w:val="24"/>
        </w:rPr>
        <w:t xml:space="preserve">日内，按照采购文件和投标(响应性）文件确定的事项签订政府采购合同。 </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五、合同公告和备案时限。自合同签订之日起2个工作日内。</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六、项目验收。自收到供应商项目验收建议之日起5个工作日内组织验收；验收结束后2个工作日内出具《验收报告》，并在焦作市政府采购网公告验收结果。</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七、资金支付。按照合同约定的条件及时支付资金，不得因机构变更、人员更替、政策调整等原因拒绝或延迟资金支付。</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在政府采购活动中，若发现采购人或采购代理机构未按以上政策执行的，可向监督部门举报反映。</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监督单位：博爱县财政局政府采购监督管理办公室</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监督电话：0391-8683273</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地址：博爱县发展大道188号机关综合办公楼主楼1213室</w:t>
      </w: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p>
    <w:p>
      <w:pPr>
        <w:rPr>
          <w:rFonts w:ascii="宋体" w:hAnsi="宋体" w:cs="宋体"/>
          <w:sz w:val="36"/>
          <w:szCs w:val="36"/>
        </w:rPr>
      </w:pPr>
    </w:p>
    <w:p>
      <w:pPr>
        <w:rPr>
          <w:rFonts w:ascii="宋体" w:hAnsi="宋体" w:cs="宋体"/>
          <w:b/>
          <w:sz w:val="36"/>
          <w:szCs w:val="36"/>
        </w:rPr>
      </w:pPr>
    </w:p>
    <w:p>
      <w:pPr>
        <w:spacing w:line="440" w:lineRule="exact"/>
        <w:jc w:val="center"/>
        <w:rPr>
          <w:rFonts w:ascii="宋体" w:hAnsi="宋体" w:cs="宋体"/>
          <w:b/>
          <w:sz w:val="36"/>
          <w:szCs w:val="36"/>
        </w:rPr>
      </w:pPr>
    </w:p>
    <w:p>
      <w:pPr>
        <w:pStyle w:val="5"/>
        <w:rPr>
          <w:rFonts w:ascii="宋体" w:hAnsi="宋体" w:cs="宋体"/>
          <w:b w:val="0"/>
          <w:sz w:val="36"/>
          <w:szCs w:val="36"/>
        </w:rPr>
      </w:pPr>
      <w:r>
        <w:rPr>
          <w:rFonts w:hint="eastAsia" w:ascii="宋体" w:hAnsi="宋体" w:cs="宋体"/>
          <w:sz w:val="36"/>
          <w:szCs w:val="36"/>
        </w:rPr>
        <w:t>河南省政府采购合同融资政策告知函</w:t>
      </w:r>
    </w:p>
    <w:p>
      <w:pPr>
        <w:spacing w:line="420" w:lineRule="exact"/>
        <w:ind w:firstLine="420" w:firstLineChars="175"/>
        <w:rPr>
          <w:rFonts w:ascii="宋体" w:hAnsi="宋体" w:cs="宋体"/>
          <w:bCs/>
          <w:sz w:val="24"/>
        </w:rPr>
      </w:pPr>
      <w:r>
        <w:rPr>
          <w:rFonts w:hint="eastAsia" w:ascii="宋体" w:hAnsi="宋体" w:cs="宋体"/>
          <w:bCs/>
          <w:sz w:val="24"/>
        </w:rPr>
        <w:t>各供应商：</w:t>
      </w:r>
    </w:p>
    <w:p>
      <w:pPr>
        <w:spacing w:line="420" w:lineRule="exact"/>
        <w:ind w:firstLine="420" w:firstLineChars="175"/>
        <w:rPr>
          <w:rFonts w:ascii="宋体" w:hAnsi="宋体" w:cs="宋体"/>
          <w:bCs/>
          <w:sz w:val="24"/>
        </w:rPr>
      </w:pPr>
      <w:r>
        <w:rPr>
          <w:rFonts w:hint="eastAsia" w:ascii="宋体" w:hAnsi="宋体" w:cs="宋体"/>
          <w:bCs/>
          <w:sz w:val="24"/>
        </w:rPr>
        <w:t xml:space="preserve">   欢迎贵公司参与河南省政府采购活动！</w:t>
      </w:r>
    </w:p>
    <w:p>
      <w:pPr>
        <w:spacing w:line="420" w:lineRule="exact"/>
        <w:ind w:firstLine="420" w:firstLineChars="175"/>
        <w:rPr>
          <w:rFonts w:ascii="宋体" w:hAnsi="宋体" w:cs="宋体"/>
          <w:bCs/>
          <w:sz w:val="24"/>
        </w:rPr>
      </w:pPr>
      <w:r>
        <w:rPr>
          <w:rFonts w:hint="eastAsia" w:ascii="宋体" w:hAnsi="宋体" w:cs="宋体"/>
          <w:bCs/>
          <w:sz w:val="24"/>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420" w:firstLineChars="175"/>
        <w:rPr>
          <w:rFonts w:ascii="宋体" w:hAnsi="宋体" w:cs="宋体"/>
          <w:bCs/>
          <w:sz w:val="24"/>
        </w:rPr>
      </w:pPr>
      <w:r>
        <w:rPr>
          <w:rFonts w:hint="eastAsia" w:ascii="宋体" w:hAnsi="宋体" w:cs="宋体"/>
          <w:bCs/>
          <w:sz w:val="24"/>
        </w:rPr>
        <w:t xml:space="preserve"> 贷款渠道和提供贷款的金融机构，可在河南省政府采购网“河南省政府采购合同融资平台”查询联系。</w:t>
      </w:r>
    </w:p>
    <w:p>
      <w:pPr>
        <w:jc w:val="center"/>
        <w:rPr>
          <w:rFonts w:ascii="宋体" w:hAnsi="宋体"/>
          <w:b/>
          <w:sz w:val="32"/>
          <w:szCs w:val="32"/>
        </w:rPr>
      </w:pPr>
      <w:r>
        <w:rPr>
          <w:rFonts w:hint="eastAsia" w:ascii="宋体" w:hAnsi="宋体"/>
          <w:b/>
          <w:sz w:val="32"/>
          <w:szCs w:val="32"/>
        </w:rPr>
        <w:t>焦作市政府采购合同融资合作企业</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1"/>
        <w:gridCol w:w="1343"/>
        <w:gridCol w:w="2052"/>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001"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名称</w:t>
            </w:r>
          </w:p>
        </w:tc>
        <w:tc>
          <w:tcPr>
            <w:tcW w:w="134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联系人</w:t>
            </w:r>
          </w:p>
        </w:tc>
        <w:tc>
          <w:tcPr>
            <w:tcW w:w="2052"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联系电话</w:t>
            </w:r>
          </w:p>
        </w:tc>
        <w:tc>
          <w:tcPr>
            <w:tcW w:w="254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4001"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中国农业银行股份有限公司</w:t>
            </w:r>
          </w:p>
          <w:p>
            <w:pPr>
              <w:widowControl/>
              <w:tabs>
                <w:tab w:val="left" w:pos="0"/>
              </w:tabs>
              <w:spacing w:line="360" w:lineRule="exact"/>
              <w:rPr>
                <w:rFonts w:ascii="宋体" w:hAnsi="宋体" w:cs="宋体"/>
                <w:sz w:val="24"/>
              </w:rPr>
            </w:pPr>
            <w:r>
              <w:rPr>
                <w:rFonts w:hint="eastAsia" w:ascii="宋体" w:hAnsi="宋体" w:cs="宋体"/>
                <w:sz w:val="24"/>
              </w:rPr>
              <w:t>焦作分行</w:t>
            </w:r>
          </w:p>
        </w:tc>
        <w:tc>
          <w:tcPr>
            <w:tcW w:w="134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薛国战</w:t>
            </w:r>
          </w:p>
        </w:tc>
        <w:tc>
          <w:tcPr>
            <w:tcW w:w="2052"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0391-2878039       13839109026</w:t>
            </w:r>
          </w:p>
        </w:tc>
        <w:tc>
          <w:tcPr>
            <w:tcW w:w="254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001"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中国银行股份有限公司焦作分行</w:t>
            </w:r>
          </w:p>
        </w:tc>
        <w:tc>
          <w:tcPr>
            <w:tcW w:w="134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曹阳</w:t>
            </w:r>
          </w:p>
        </w:tc>
        <w:tc>
          <w:tcPr>
            <w:tcW w:w="2052"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0391-8825171  13839118160</w:t>
            </w:r>
          </w:p>
        </w:tc>
        <w:tc>
          <w:tcPr>
            <w:tcW w:w="254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001"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中国建设银行股份有限公司焦作分行</w:t>
            </w:r>
          </w:p>
        </w:tc>
        <w:tc>
          <w:tcPr>
            <w:tcW w:w="134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李华莹</w:t>
            </w:r>
          </w:p>
        </w:tc>
        <w:tc>
          <w:tcPr>
            <w:tcW w:w="2052"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0391-3918471</w:t>
            </w:r>
          </w:p>
        </w:tc>
        <w:tc>
          <w:tcPr>
            <w:tcW w:w="2543"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001"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中国邮政储蓄银行股份有限公司焦作市分行</w:t>
            </w:r>
          </w:p>
        </w:tc>
        <w:tc>
          <w:tcPr>
            <w:tcW w:w="134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李天祥</w:t>
            </w:r>
          </w:p>
        </w:tc>
        <w:tc>
          <w:tcPr>
            <w:tcW w:w="2052"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0391-2981968 13523359082</w:t>
            </w:r>
          </w:p>
        </w:tc>
        <w:tc>
          <w:tcPr>
            <w:tcW w:w="254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001"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焦作中旅银行股份有限公司</w:t>
            </w:r>
          </w:p>
        </w:tc>
        <w:tc>
          <w:tcPr>
            <w:tcW w:w="134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周建林</w:t>
            </w:r>
          </w:p>
        </w:tc>
        <w:tc>
          <w:tcPr>
            <w:tcW w:w="2052"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254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001"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中信银行股份有限公司焦作分行</w:t>
            </w:r>
          </w:p>
        </w:tc>
        <w:tc>
          <w:tcPr>
            <w:tcW w:w="134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周江江</w:t>
            </w:r>
          </w:p>
        </w:tc>
        <w:tc>
          <w:tcPr>
            <w:tcW w:w="2052"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17639185001</w:t>
            </w:r>
          </w:p>
        </w:tc>
        <w:tc>
          <w:tcPr>
            <w:tcW w:w="2543"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001"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bCs/>
                <w:sz w:val="24"/>
              </w:rPr>
              <w:t>中国光大银行股份有限公司焦作分行</w:t>
            </w:r>
          </w:p>
        </w:tc>
        <w:tc>
          <w:tcPr>
            <w:tcW w:w="134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王海宾</w:t>
            </w:r>
          </w:p>
        </w:tc>
        <w:tc>
          <w:tcPr>
            <w:tcW w:w="2052"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0391-8787996 13598534626</w:t>
            </w:r>
          </w:p>
        </w:tc>
        <w:tc>
          <w:tcPr>
            <w:tcW w:w="254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001"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中原银行股份有限公司焦作分行</w:t>
            </w:r>
          </w:p>
        </w:tc>
        <w:tc>
          <w:tcPr>
            <w:tcW w:w="134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赵伟</w:t>
            </w:r>
          </w:p>
        </w:tc>
        <w:tc>
          <w:tcPr>
            <w:tcW w:w="2052"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0391-8796520 15738533033</w:t>
            </w:r>
          </w:p>
        </w:tc>
        <w:tc>
          <w:tcPr>
            <w:tcW w:w="254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01"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广发银行股份有限公司焦作分行</w:t>
            </w:r>
          </w:p>
        </w:tc>
        <w:tc>
          <w:tcPr>
            <w:tcW w:w="134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张嘉强</w:t>
            </w:r>
          </w:p>
        </w:tc>
        <w:tc>
          <w:tcPr>
            <w:tcW w:w="2052"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0391-653785 13203910032</w:t>
            </w:r>
          </w:p>
        </w:tc>
        <w:tc>
          <w:tcPr>
            <w:tcW w:w="254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r>
        <w:rPr>
          <w:rFonts w:hint="eastAsia" w:ascii="宋体" w:hAnsi="宋体" w:cs="宋体"/>
          <w:sz w:val="24"/>
        </w:rPr>
        <w:t>备注：融资服务机构名单和人员联系方式会随时变化。具体情况可登录“焦作市政府采购网”政府采购合同融资平台查询。</w:t>
      </w:r>
    </w:p>
    <w:sectPr>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RczIxAgAAZA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iEXMyMQIAAGQ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Y9tsxAgAAZA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0mPbbMQIAAGQ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6233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16"/>
        <w:szCs w:val="22"/>
      </w:rPr>
    </w:pPr>
    <w:r>
      <w:rPr>
        <w:sz w:val="20"/>
        <w:szCs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14"/>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A2C6ACF8"/>
    <w:multiLevelType w:val="singleLevel"/>
    <w:tmpl w:val="A2C6ACF8"/>
    <w:lvl w:ilvl="0" w:tentative="0">
      <w:start w:val="1"/>
      <w:numFmt w:val="decimal"/>
      <w:suff w:val="nothing"/>
      <w:lvlText w:val="（%1）"/>
      <w:lvlJc w:val="left"/>
      <w:pPr>
        <w:ind w:left="480" w:firstLine="0"/>
      </w:pPr>
      <w:rPr>
        <w:rFonts w:hint="default"/>
        <w:b w:val="0"/>
        <w:bCs w:val="0"/>
      </w:rPr>
    </w:lvl>
  </w:abstractNum>
  <w:abstractNum w:abstractNumId="3">
    <w:nsid w:val="A58974FB"/>
    <w:multiLevelType w:val="singleLevel"/>
    <w:tmpl w:val="A58974FB"/>
    <w:lvl w:ilvl="0" w:tentative="0">
      <w:start w:val="1"/>
      <w:numFmt w:val="decimal"/>
      <w:suff w:val="space"/>
      <w:lvlText w:val="%1."/>
      <w:lvlJc w:val="left"/>
    </w:lvl>
  </w:abstractNum>
  <w:abstractNum w:abstractNumId="4">
    <w:nsid w:val="B940B7CB"/>
    <w:multiLevelType w:val="singleLevel"/>
    <w:tmpl w:val="B940B7CB"/>
    <w:lvl w:ilvl="0" w:tentative="0">
      <w:start w:val="3"/>
      <w:numFmt w:val="decimal"/>
      <w:suff w:val="nothing"/>
      <w:lvlText w:val="%1、"/>
      <w:lvlJc w:val="left"/>
    </w:lvl>
  </w:abstractNum>
  <w:abstractNum w:abstractNumId="5">
    <w:nsid w:val="E25B3C03"/>
    <w:multiLevelType w:val="singleLevel"/>
    <w:tmpl w:val="E25B3C03"/>
    <w:lvl w:ilvl="0" w:tentative="0">
      <w:start w:val="1"/>
      <w:numFmt w:val="decimal"/>
      <w:suff w:val="nothing"/>
      <w:lvlText w:val="（%1）"/>
      <w:lvlJc w:val="left"/>
    </w:lvl>
  </w:abstractNum>
  <w:abstractNum w:abstractNumId="6">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C58BAF0"/>
    <w:multiLevelType w:val="singleLevel"/>
    <w:tmpl w:val="1C58BAF0"/>
    <w:lvl w:ilvl="0" w:tentative="0">
      <w:start w:val="1"/>
      <w:numFmt w:val="decimal"/>
      <w:suff w:val="nothing"/>
      <w:lvlText w:val="（%1）"/>
      <w:lvlJc w:val="left"/>
    </w:lvl>
  </w:abstractNum>
  <w:abstractNum w:abstractNumId="8">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2E675402"/>
    <w:multiLevelType w:val="singleLevel"/>
    <w:tmpl w:val="2E675402"/>
    <w:lvl w:ilvl="0" w:tentative="0">
      <w:start w:val="1"/>
      <w:numFmt w:val="chineseCounting"/>
      <w:suff w:val="nothing"/>
      <w:lvlText w:val="（%1）"/>
      <w:lvlJc w:val="left"/>
      <w:rPr>
        <w:rFonts w:hint="eastAsia"/>
      </w:rPr>
    </w:lvl>
  </w:abstractNum>
  <w:abstractNum w:abstractNumId="10">
    <w:nsid w:val="4B247B01"/>
    <w:multiLevelType w:val="multilevel"/>
    <w:tmpl w:val="4B247B01"/>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59CCA2E1"/>
    <w:multiLevelType w:val="singleLevel"/>
    <w:tmpl w:val="59CCA2E1"/>
    <w:lvl w:ilvl="0" w:tentative="0">
      <w:start w:val="1"/>
      <w:numFmt w:val="decimal"/>
      <w:suff w:val="nothing"/>
      <w:lvlText w:val="（%1）"/>
      <w:lvlJc w:val="left"/>
    </w:lvl>
  </w:abstractNum>
  <w:abstractNum w:abstractNumId="12">
    <w:nsid w:val="5A693C2F"/>
    <w:multiLevelType w:val="singleLevel"/>
    <w:tmpl w:val="5A693C2F"/>
    <w:lvl w:ilvl="0" w:tentative="0">
      <w:start w:val="3"/>
      <w:numFmt w:val="chineseCounting"/>
      <w:suff w:val="space"/>
      <w:lvlText w:val="第%1章"/>
      <w:lvlJc w:val="left"/>
    </w:lvl>
  </w:abstractNum>
  <w:abstractNum w:abstractNumId="13">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4">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4"/>
  </w:num>
  <w:num w:numId="2">
    <w:abstractNumId w:val="2"/>
  </w:num>
  <w:num w:numId="3">
    <w:abstractNumId w:val="13"/>
  </w:num>
  <w:num w:numId="4">
    <w:abstractNumId w:val="0"/>
  </w:num>
  <w:num w:numId="5">
    <w:abstractNumId w:val="6"/>
  </w:num>
  <w:num w:numId="6">
    <w:abstractNumId w:val="12"/>
  </w:num>
  <w:num w:numId="7">
    <w:abstractNumId w:val="1"/>
  </w:num>
  <w:num w:numId="8">
    <w:abstractNumId w:val="7"/>
  </w:num>
  <w:num w:numId="9">
    <w:abstractNumId w:val="5"/>
  </w:num>
  <w:num w:numId="10">
    <w:abstractNumId w:val="14"/>
  </w:num>
  <w:num w:numId="11">
    <w:abstractNumId w:val="10"/>
  </w:num>
  <w:num w:numId="12">
    <w:abstractNumId w:val="8"/>
  </w:num>
  <w:num w:numId="13">
    <w:abstractNumId w:val="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s>
  <w:rsids>
    <w:rsidRoot w:val="2C664FCB"/>
    <w:rsid w:val="00EE7254"/>
    <w:rsid w:val="0FF62F53"/>
    <w:rsid w:val="136016B8"/>
    <w:rsid w:val="14F90946"/>
    <w:rsid w:val="1CB95F36"/>
    <w:rsid w:val="26090A50"/>
    <w:rsid w:val="2C664FCB"/>
    <w:rsid w:val="3A694DFE"/>
    <w:rsid w:val="40232E6F"/>
    <w:rsid w:val="4124766B"/>
    <w:rsid w:val="460736ED"/>
    <w:rsid w:val="67132BCC"/>
    <w:rsid w:val="77051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6">
    <w:name w:val="heading 2"/>
    <w:basedOn w:val="1"/>
    <w:next w:val="1"/>
    <w:autoRedefine/>
    <w:qFormat/>
    <w:uiPriority w:val="99"/>
    <w:pPr>
      <w:keepNext/>
      <w:keepLines/>
      <w:spacing w:before="260" w:after="260" w:line="416" w:lineRule="auto"/>
      <w:outlineLvl w:val="1"/>
    </w:pPr>
    <w:rPr>
      <w:rFonts w:ascii="Calibri Light" w:hAnsi="Calibri Light"/>
      <w:b/>
      <w:bCs/>
      <w:sz w:val="32"/>
      <w:szCs w:val="32"/>
    </w:rPr>
  </w:style>
  <w:style w:type="character" w:default="1" w:styleId="23">
    <w:name w:val="Default Paragraph Font"/>
    <w:autoRedefine/>
    <w:semiHidden/>
    <w:qFormat/>
    <w:uiPriority w:val="0"/>
  </w:style>
  <w:style w:type="table" w:default="1" w:styleId="21">
    <w:name w:val="Normal Table"/>
    <w:semiHidden/>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4"/>
    <w:autoRedefine/>
    <w:qFormat/>
    <w:uiPriority w:val="0"/>
    <w:pPr>
      <w:ind w:firstLine="560" w:firstLineChars="200"/>
    </w:pPr>
    <w:rPr>
      <w:rFonts w:ascii="Times New Roman" w:hAnsi="Times New Roman"/>
    </w:rPr>
  </w:style>
  <w:style w:type="paragraph" w:styleId="4">
    <w:name w:val="envelope return"/>
    <w:basedOn w:val="1"/>
    <w:autoRedefine/>
    <w:qFormat/>
    <w:uiPriority w:val="99"/>
    <w:pPr>
      <w:snapToGrid w:val="0"/>
    </w:pPr>
    <w:rPr>
      <w:rFonts w:ascii="Arial" w:hAnsi="Arial" w:cs="Arial"/>
    </w:rPr>
  </w:style>
  <w:style w:type="paragraph" w:styleId="7">
    <w:name w:val="Normal Indent"/>
    <w:basedOn w:val="1"/>
    <w:autoRedefine/>
    <w:unhideWhenUsed/>
    <w:qFormat/>
    <w:uiPriority w:val="99"/>
    <w:pPr>
      <w:ind w:firstLine="420"/>
    </w:pPr>
    <w:rPr>
      <w:rFonts w:ascii="Calibri" w:hAnsi="Calibri"/>
      <w:szCs w:val="20"/>
    </w:rPr>
  </w:style>
  <w:style w:type="paragraph" w:styleId="8">
    <w:name w:val="toa heading"/>
    <w:basedOn w:val="1"/>
    <w:next w:val="1"/>
    <w:autoRedefine/>
    <w:unhideWhenUsed/>
    <w:qFormat/>
    <w:uiPriority w:val="99"/>
    <w:pPr>
      <w:spacing w:before="120"/>
    </w:pPr>
    <w:rPr>
      <w:rFonts w:ascii="Arial" w:hAnsi="Arial" w:cs="Arial"/>
      <w:sz w:val="24"/>
    </w:rPr>
  </w:style>
  <w:style w:type="paragraph" w:styleId="9">
    <w:name w:val="annotation text"/>
    <w:basedOn w:val="1"/>
    <w:autoRedefine/>
    <w:qFormat/>
    <w:uiPriority w:val="0"/>
    <w:pPr>
      <w:jc w:val="left"/>
    </w:pPr>
  </w:style>
  <w:style w:type="paragraph" w:styleId="10">
    <w:name w:val="Body Text 3"/>
    <w:basedOn w:val="1"/>
    <w:autoRedefine/>
    <w:unhideWhenUsed/>
    <w:qFormat/>
    <w:uiPriority w:val="0"/>
    <w:pPr>
      <w:spacing w:after="120"/>
    </w:pPr>
    <w:rPr>
      <w:rFonts w:ascii="Times New Roman" w:hAnsi="Times New Roman"/>
      <w:sz w:val="16"/>
      <w:szCs w:val="16"/>
    </w:rPr>
  </w:style>
  <w:style w:type="paragraph" w:styleId="11">
    <w:name w:val="Body Text"/>
    <w:basedOn w:val="1"/>
    <w:next w:val="12"/>
    <w:autoRedefine/>
    <w:qFormat/>
    <w:uiPriority w:val="0"/>
    <w:rPr>
      <w:rFonts w:ascii="Times New Roman" w:hAnsi="Times New Roman"/>
    </w:rPr>
  </w:style>
  <w:style w:type="paragraph" w:styleId="12">
    <w:name w:val="Body Text 2"/>
    <w:basedOn w:val="1"/>
    <w:next w:val="11"/>
    <w:autoRedefine/>
    <w:unhideWhenUsed/>
    <w:qFormat/>
    <w:uiPriority w:val="0"/>
    <w:pPr>
      <w:spacing w:after="120" w:line="480" w:lineRule="auto"/>
    </w:pPr>
    <w:rPr>
      <w:rFonts w:ascii="Times New Roman" w:hAnsi="Times New Roman"/>
    </w:rPr>
  </w:style>
  <w:style w:type="paragraph" w:styleId="13">
    <w:name w:val="Plain Text"/>
    <w:basedOn w:val="1"/>
    <w:autoRedefine/>
    <w:qFormat/>
    <w:uiPriority w:val="0"/>
    <w:rPr>
      <w:rFonts w:hint="eastAsia" w:ascii="宋体" w:hAnsi="Courier New"/>
      <w:szCs w:val="21"/>
    </w:rPr>
  </w:style>
  <w:style w:type="paragraph" w:styleId="14">
    <w:name w:val="footer"/>
    <w:basedOn w:val="1"/>
    <w:autoRedefine/>
    <w:qFormat/>
    <w:uiPriority w:val="0"/>
    <w:pPr>
      <w:tabs>
        <w:tab w:val="center" w:pos="4153"/>
        <w:tab w:val="right" w:pos="8306"/>
      </w:tabs>
      <w:snapToGrid w:val="0"/>
      <w:jc w:val="left"/>
    </w:pPr>
    <w:rPr>
      <w:rFonts w:ascii="Times New Roman" w:hAnsi="Times New Roman"/>
      <w:sz w:val="18"/>
      <w:szCs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6">
    <w:name w:val="toc 1"/>
    <w:basedOn w:val="1"/>
    <w:next w:val="1"/>
    <w:autoRedefine/>
    <w:qFormat/>
    <w:uiPriority w:val="0"/>
    <w:rPr>
      <w:rFonts w:ascii="Times New Roman" w:hAnsi="Times New Roman"/>
    </w:rPr>
  </w:style>
  <w:style w:type="paragraph" w:styleId="17">
    <w:name w:val="toc 2"/>
    <w:basedOn w:val="1"/>
    <w:next w:val="1"/>
    <w:autoRedefine/>
    <w:qFormat/>
    <w:uiPriority w:val="0"/>
    <w:pPr>
      <w:ind w:left="420" w:leftChars="200"/>
    </w:pPr>
  </w:style>
  <w:style w:type="paragraph" w:styleId="1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autoRedefine/>
    <w:qFormat/>
    <w:uiPriority w:val="0"/>
    <w:pPr>
      <w:spacing w:before="240" w:after="60"/>
      <w:jc w:val="center"/>
      <w:outlineLvl w:val="0"/>
    </w:pPr>
    <w:rPr>
      <w:rFonts w:ascii="Calibri Light" w:hAnsi="Calibri Light" w:eastAsia="Calibri Light"/>
      <w:b/>
      <w:sz w:val="32"/>
      <w:szCs w:val="32"/>
    </w:rPr>
  </w:style>
  <w:style w:type="paragraph" w:styleId="20">
    <w:name w:val="Body Text First Indent"/>
    <w:basedOn w:val="11"/>
    <w:next w:val="2"/>
    <w:autoRedefine/>
    <w:unhideWhenUsed/>
    <w:qFormat/>
    <w:uiPriority w:val="0"/>
    <w:pPr>
      <w:ind w:firstLine="420" w:firstLineChars="100"/>
    </w:pPr>
    <w:rPr>
      <w:rFonts w:hint="eastAsia" w:ascii="楷体_GB2312" w:eastAsia="楷体_GB2312"/>
      <w:sz w:val="32"/>
    </w:r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autoRedefine/>
    <w:qFormat/>
    <w:uiPriority w:val="99"/>
    <w:rPr>
      <w:rFonts w:cs="Times New Roman"/>
      <w:color w:val="0000FF"/>
      <w:u w:val="single"/>
    </w:rPr>
  </w:style>
  <w:style w:type="paragraph" w:customStyle="1" w:styleId="25">
    <w:name w:val="列出段落2"/>
    <w:basedOn w:val="1"/>
    <w:autoRedefine/>
    <w:qFormat/>
    <w:uiPriority w:val="34"/>
    <w:pPr>
      <w:autoSpaceDE w:val="0"/>
      <w:autoSpaceDN w:val="0"/>
      <w:ind w:left="111" w:firstLine="420"/>
      <w:jc w:val="left"/>
    </w:pPr>
    <w:rPr>
      <w:rFonts w:ascii="宋体" w:hAnsi="宋体" w:cs="宋体"/>
      <w:kern w:val="0"/>
      <w:sz w:val="22"/>
      <w:szCs w:val="22"/>
      <w:lang w:eastAsia="en-US"/>
    </w:rPr>
  </w:style>
  <w:style w:type="paragraph" w:customStyle="1" w:styleId="26">
    <w:name w:val="表格文字"/>
    <w:basedOn w:val="1"/>
    <w:next w:val="11"/>
    <w:autoRedefine/>
    <w:qFormat/>
    <w:uiPriority w:val="0"/>
    <w:pPr>
      <w:adjustRightInd w:val="0"/>
      <w:spacing w:line="420" w:lineRule="atLeast"/>
      <w:jc w:val="left"/>
      <w:textAlignment w:val="baseline"/>
    </w:pPr>
    <w:rPr>
      <w:kern w:val="0"/>
    </w:rPr>
  </w:style>
  <w:style w:type="paragraph" w:customStyle="1" w:styleId="27">
    <w:name w:val="p0"/>
    <w:basedOn w:val="28"/>
    <w:autoRedefine/>
    <w:qFormat/>
    <w:uiPriority w:val="0"/>
    <w:pPr>
      <w:widowControl/>
    </w:pPr>
    <w:rPr>
      <w:kern w:val="0"/>
      <w:szCs w:val="21"/>
    </w:rPr>
  </w:style>
  <w:style w:type="paragraph" w:customStyle="1" w:styleId="28">
    <w:name w:val="正文1"/>
    <w:next w:val="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文本1"/>
    <w:basedOn w:val="28"/>
    <w:autoRedefine/>
    <w:qFormat/>
    <w:uiPriority w:val="99"/>
    <w:rPr>
      <w:rFonts w:eastAsia="楷体_GB2312"/>
      <w:sz w:val="28"/>
    </w:rPr>
  </w:style>
  <w:style w:type="paragraph" w:customStyle="1" w:styleId="30">
    <w:name w:val="Default"/>
    <w:basedOn w:val="1"/>
    <w:next w:val="1"/>
    <w:autoRedefine/>
    <w:qFormat/>
    <w:uiPriority w:val="0"/>
    <w:pPr>
      <w:autoSpaceDE w:val="0"/>
      <w:autoSpaceDN w:val="0"/>
      <w:adjustRightInd w:val="0"/>
      <w:jc w:val="left"/>
    </w:pPr>
    <w:rPr>
      <w:rFonts w:hint="eastAsia" w:ascii="宋体" w:hAnsi="Calibri"/>
      <w:color w:val="000000"/>
      <w:kern w:val="0"/>
      <w:sz w:val="24"/>
    </w:rPr>
  </w:style>
  <w:style w:type="paragraph" w:customStyle="1" w:styleId="31">
    <w:name w:val="Table Text"/>
    <w:basedOn w:val="1"/>
    <w:autoRedefine/>
    <w:semiHidden/>
    <w:qFormat/>
    <w:uiPriority w:val="0"/>
    <w:rPr>
      <w:rFonts w:ascii="宋体" w:hAnsi="宋体" w:eastAsia="宋体" w:cs="宋体"/>
      <w:sz w:val="16"/>
      <w:szCs w:val="16"/>
      <w:lang w:val="en-US" w:eastAsia="en-US" w:bidi="ar-SA"/>
    </w:rPr>
  </w:style>
  <w:style w:type="paragraph" w:customStyle="1" w:styleId="32">
    <w:name w:val="TOAHeading"/>
    <w:basedOn w:val="1"/>
    <w:next w:val="1"/>
    <w:autoRedefine/>
    <w:qFormat/>
    <w:uiPriority w:val="0"/>
    <w:pPr>
      <w:spacing w:before="120"/>
      <w:textAlignment w:val="baseline"/>
    </w:pPr>
    <w:rPr>
      <w:rFonts w:ascii="Arial" w:hAnsi="Arial"/>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2024-02-27T09:04:00Z</dcterms:created>
  <dc:creator>APPLE</dc:creator>
  <cp:lastModifiedBy>hnbaj</cp:lastModifiedBy>
  <dcterms:modified xsi:type="dcterms:W3CDTF">2024-03-05T02:20:25Z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6904F85D9DB34BA9A100D04ABF459443_11</vt:lpwstr>
  </property>
</Properties>
</file>