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heme="minorEastAsia" w:hAnsiTheme="minorEastAsia" w:eastAsiaTheme="minorEastAsia" w:cstheme="minorEastAsia"/>
        </w:rPr>
      </w:pPr>
      <w:bookmarkStart w:id="0" w:name="_Toc281574833"/>
    </w:p>
    <w:p>
      <w:pPr>
        <w:spacing w:line="360" w:lineRule="auto"/>
        <w:jc w:val="center"/>
        <w:rPr>
          <w:rFonts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 xml:space="preserve">博爱县自然资源局集体土地所有权确权登记成果更新汇交工作采购项目  </w:t>
      </w:r>
    </w:p>
    <w:p>
      <w:pPr>
        <w:spacing w:line="360" w:lineRule="auto"/>
        <w:jc w:val="center"/>
        <w:rPr>
          <w:rFonts w:asciiTheme="majorEastAsia" w:hAnsiTheme="majorEastAsia" w:eastAsiaTheme="majorEastAsia" w:cstheme="majorEastAsia"/>
          <w:b/>
          <w:bCs/>
          <w:sz w:val="44"/>
          <w:szCs w:val="44"/>
        </w:rPr>
      </w:pPr>
    </w:p>
    <w:p>
      <w:pPr>
        <w:spacing w:line="360" w:lineRule="auto"/>
        <w:jc w:val="center"/>
        <w:rPr>
          <w:rFonts w:asciiTheme="minorEastAsia" w:hAnsiTheme="minorEastAsia" w:eastAsiaTheme="minorEastAsia" w:cstheme="minorEastAsia"/>
          <w:b/>
          <w:sz w:val="120"/>
          <w:szCs w:val="120"/>
        </w:rPr>
      </w:pPr>
      <w:r>
        <w:rPr>
          <w:rFonts w:hint="eastAsia" w:asciiTheme="majorEastAsia" w:hAnsiTheme="majorEastAsia" w:eastAsiaTheme="majorEastAsia" w:cstheme="majorEastAsia"/>
          <w:b/>
          <w:bCs/>
          <w:sz w:val="44"/>
          <w:szCs w:val="44"/>
        </w:rPr>
        <w:t xml:space="preserve"> </w:t>
      </w:r>
    </w:p>
    <w:p>
      <w:pPr>
        <w:pStyle w:val="2"/>
      </w:pPr>
    </w:p>
    <w:p>
      <w:pPr>
        <w:spacing w:line="360" w:lineRule="auto"/>
        <w:jc w:val="center"/>
        <w:rPr>
          <w:rFonts w:asciiTheme="minorEastAsia" w:hAnsiTheme="minorEastAsia" w:eastAsiaTheme="minorEastAsia" w:cstheme="minorEastAsia"/>
          <w:b/>
          <w:sz w:val="120"/>
          <w:szCs w:val="120"/>
        </w:rPr>
      </w:pPr>
      <w:r>
        <w:rPr>
          <w:rFonts w:hint="eastAsia" w:asciiTheme="minorEastAsia" w:hAnsiTheme="minorEastAsia" w:eastAsiaTheme="minorEastAsia" w:cstheme="minorEastAsia"/>
          <w:b/>
          <w:sz w:val="120"/>
          <w:szCs w:val="120"/>
        </w:rPr>
        <w:t>招 标 文 件</w:t>
      </w:r>
    </w:p>
    <w:p>
      <w:pPr>
        <w:spacing w:line="360" w:lineRule="auto"/>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采购编号：博政采购〔2022〕124号</w:t>
      </w:r>
    </w:p>
    <w:p>
      <w:pPr>
        <w:jc w:val="center"/>
        <w:rPr>
          <w:rFonts w:asciiTheme="minorEastAsia" w:hAnsiTheme="minorEastAsia" w:eastAsiaTheme="minorEastAsia" w:cstheme="minorEastAsia"/>
          <w:b/>
          <w:bCs/>
          <w:sz w:val="30"/>
          <w:u w:val="double"/>
        </w:rPr>
      </w:pPr>
      <w:r>
        <w:rPr>
          <w:rFonts w:hint="eastAsia" w:asciiTheme="minorEastAsia" w:hAnsiTheme="minorEastAsia" w:eastAsiaTheme="minorEastAsia" w:cstheme="minorEastAsia"/>
          <w:b/>
          <w:bCs/>
          <w:sz w:val="30"/>
          <w:u w:val="double"/>
        </w:rPr>
        <w:t>该项目全部预留面向中小企业采购</w:t>
      </w:r>
    </w:p>
    <w:p>
      <w:pPr>
        <w:rPr>
          <w:rFonts w:asciiTheme="minorEastAsia" w:hAnsiTheme="minorEastAsia" w:eastAsiaTheme="minorEastAsia" w:cstheme="minorEastAsia"/>
          <w:sz w:val="30"/>
        </w:rPr>
      </w:pPr>
    </w:p>
    <w:p>
      <w:pPr>
        <w:rPr>
          <w:rFonts w:asciiTheme="minorEastAsia" w:hAnsiTheme="minorEastAsia" w:eastAsiaTheme="minorEastAsia" w:cstheme="minorEastAsia"/>
        </w:rPr>
      </w:pPr>
    </w:p>
    <w:p>
      <w:pPr>
        <w:pStyle w:val="2"/>
        <w:rPr>
          <w:rFonts w:asciiTheme="minorEastAsia" w:hAnsiTheme="minorEastAsia" w:eastAsiaTheme="minorEastAsia" w:cstheme="minorEastAsia"/>
        </w:rPr>
      </w:pPr>
    </w:p>
    <w:p>
      <w:pPr>
        <w:pStyle w:val="3"/>
        <w:rPr>
          <w:rFonts w:asciiTheme="minorEastAsia" w:hAnsiTheme="minorEastAsia" w:eastAsiaTheme="minorEastAsia" w:cstheme="minorEastAsia"/>
        </w:rPr>
      </w:pPr>
    </w:p>
    <w:p>
      <w:pPr>
        <w:pStyle w:val="2"/>
      </w:pP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采 购 人：博爱县自然资源局</w:t>
      </w:r>
    </w:p>
    <w:p>
      <w:pPr>
        <w:ind w:firstLine="1928" w:firstLineChars="600"/>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代理机构：博爱县城市建设项目管理有限公司</w:t>
      </w:r>
    </w:p>
    <w:p>
      <w:pPr>
        <w:ind w:firstLine="1928" w:firstLineChars="600"/>
        <w:rPr>
          <w:rFonts w:asciiTheme="minorEastAsia" w:hAnsiTheme="minorEastAsia" w:eastAsiaTheme="minorEastAsia" w:cstheme="minorEastAsia"/>
          <w:b/>
          <w:bCs/>
          <w:sz w:val="32"/>
          <w:szCs w:val="32"/>
        </w:rPr>
        <w:sectPr>
          <w:footerReference r:id="rId4" w:type="first"/>
          <w:footerReference r:id="rId3" w:type="default"/>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sz w:val="32"/>
          <w:szCs w:val="32"/>
        </w:rPr>
        <w:t>日    期：2022年12月</w:t>
      </w:r>
    </w:p>
    <w:p>
      <w:pPr>
        <w:jc w:val="center"/>
        <w:rPr>
          <w:rFonts w:asciiTheme="minorEastAsia" w:hAnsiTheme="minorEastAsia" w:eastAsiaTheme="minorEastAsia" w:cstheme="minorEastAsia"/>
          <w:b/>
          <w:bCs/>
          <w:sz w:val="32"/>
          <w:szCs w:val="32"/>
        </w:rPr>
      </w:pPr>
    </w:p>
    <w:p>
      <w:pPr>
        <w:jc w:val="center"/>
        <w:rPr>
          <w:rFonts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目     录</w:t>
      </w:r>
    </w:p>
    <w:p>
      <w:pPr>
        <w:pStyle w:val="18"/>
        <w:tabs>
          <w:tab w:val="right" w:leader="dot" w:pos="9880"/>
        </w:tabs>
      </w:pPr>
      <w:r>
        <w:rPr>
          <w:rFonts w:hint="eastAsia" w:asciiTheme="minorEastAsia" w:hAnsiTheme="minorEastAsia" w:eastAsiaTheme="minorEastAsia" w:cstheme="minorEastAsia"/>
          <w:b/>
          <w:bCs/>
          <w:szCs w:val="21"/>
          <w:lang w:val="zh-CN"/>
        </w:rPr>
        <w:fldChar w:fldCharType="begin"/>
      </w:r>
      <w:r>
        <w:rPr>
          <w:rFonts w:hint="eastAsia" w:asciiTheme="minorEastAsia" w:hAnsiTheme="minorEastAsia" w:eastAsiaTheme="minorEastAsia" w:cstheme="minorEastAsia"/>
          <w:b/>
          <w:bCs/>
          <w:szCs w:val="21"/>
          <w:lang w:val="zh-CN"/>
        </w:rPr>
        <w:instrText xml:space="preserve"> TOC \o "1-3" \h \z \u </w:instrText>
      </w:r>
      <w:r>
        <w:rPr>
          <w:rFonts w:hint="eastAsia" w:asciiTheme="minorEastAsia" w:hAnsiTheme="minorEastAsia" w:eastAsiaTheme="minorEastAsia" w:cstheme="minorEastAsia"/>
          <w:b/>
          <w:bCs/>
          <w:szCs w:val="21"/>
          <w:lang w:val="zh-CN"/>
        </w:rPr>
        <w:fldChar w:fldCharType="separate"/>
      </w:r>
      <w:r>
        <w:fldChar w:fldCharType="begin"/>
      </w:r>
      <w:r>
        <w:instrText xml:space="preserve"> HYPERLINK \l "_Toc2925" </w:instrText>
      </w:r>
      <w:r>
        <w:fldChar w:fldCharType="separate"/>
      </w:r>
      <w:r>
        <w:rPr>
          <w:rFonts w:hint="eastAsia"/>
        </w:rPr>
        <w:t>重要事项提示</w:t>
      </w:r>
      <w:r>
        <w:tab/>
      </w:r>
      <w:r>
        <w:fldChar w:fldCharType="begin"/>
      </w:r>
      <w:r>
        <w:instrText xml:space="preserve"> PAGEREF _Toc2925 \h </w:instrText>
      </w:r>
      <w:r>
        <w:fldChar w:fldCharType="separate"/>
      </w:r>
      <w:r>
        <w:t>- 3 -</w:t>
      </w:r>
      <w:r>
        <w:fldChar w:fldCharType="end"/>
      </w:r>
      <w:r>
        <w:fldChar w:fldCharType="end"/>
      </w:r>
    </w:p>
    <w:p>
      <w:pPr>
        <w:pStyle w:val="18"/>
        <w:tabs>
          <w:tab w:val="right" w:leader="dot" w:pos="9880"/>
        </w:tabs>
      </w:pPr>
      <w:r>
        <w:fldChar w:fldCharType="begin"/>
      </w:r>
      <w:r>
        <w:instrText xml:space="preserve"> HYPERLINK \l "_Toc20833" </w:instrText>
      </w:r>
      <w:r>
        <w:fldChar w:fldCharType="separate"/>
      </w:r>
      <w:r>
        <w:rPr>
          <w:rFonts w:hint="eastAsia"/>
        </w:rPr>
        <w:t xml:space="preserve">第一章 </w:t>
      </w:r>
      <w:r>
        <w:rPr>
          <w:rFonts w:hint="eastAsia" w:asciiTheme="minorEastAsia" w:hAnsiTheme="minorEastAsia" w:eastAsiaTheme="minorEastAsia" w:cstheme="minorEastAsia"/>
          <w:bCs/>
        </w:rPr>
        <w:t>招标公告</w:t>
      </w:r>
      <w:r>
        <w:tab/>
      </w:r>
      <w:r>
        <w:fldChar w:fldCharType="begin"/>
      </w:r>
      <w:r>
        <w:instrText xml:space="preserve"> PAGEREF _Toc20833 \h </w:instrText>
      </w:r>
      <w:r>
        <w:fldChar w:fldCharType="separate"/>
      </w:r>
      <w:r>
        <w:t>- 5 -</w:t>
      </w:r>
      <w:r>
        <w:fldChar w:fldCharType="end"/>
      </w:r>
      <w:r>
        <w:fldChar w:fldCharType="end"/>
      </w:r>
    </w:p>
    <w:p>
      <w:pPr>
        <w:pStyle w:val="18"/>
        <w:tabs>
          <w:tab w:val="right" w:leader="dot" w:pos="9880"/>
        </w:tabs>
      </w:pPr>
      <w:r>
        <w:fldChar w:fldCharType="begin"/>
      </w:r>
      <w:r>
        <w:instrText xml:space="preserve"> HYPERLINK \l "_Toc24528" </w:instrText>
      </w:r>
      <w:r>
        <w:fldChar w:fldCharType="separate"/>
      </w:r>
      <w:r>
        <w:rPr>
          <w:rFonts w:hint="eastAsia" w:asciiTheme="minorEastAsia" w:hAnsiTheme="minorEastAsia" w:eastAsiaTheme="minorEastAsia" w:cstheme="minorEastAsia"/>
          <w:szCs w:val="32"/>
        </w:rPr>
        <w:t>第二章  投标人须知</w:t>
      </w:r>
      <w:r>
        <w:tab/>
      </w:r>
      <w:r>
        <w:fldChar w:fldCharType="begin"/>
      </w:r>
      <w:r>
        <w:instrText xml:space="preserve"> PAGEREF _Toc24528 \h </w:instrText>
      </w:r>
      <w:r>
        <w:fldChar w:fldCharType="separate"/>
      </w:r>
      <w:r>
        <w:t>- 5 -</w:t>
      </w:r>
      <w:r>
        <w:fldChar w:fldCharType="end"/>
      </w:r>
      <w:r>
        <w:fldChar w:fldCharType="end"/>
      </w:r>
    </w:p>
    <w:p>
      <w:pPr>
        <w:pStyle w:val="18"/>
        <w:tabs>
          <w:tab w:val="right" w:leader="dot" w:pos="9880"/>
        </w:tabs>
      </w:pPr>
      <w:r>
        <w:fldChar w:fldCharType="begin"/>
      </w:r>
      <w:r>
        <w:instrText xml:space="preserve"> HYPERLINK \l "_Toc15953" </w:instrText>
      </w:r>
      <w:r>
        <w:fldChar w:fldCharType="separate"/>
      </w:r>
      <w:r>
        <w:rPr>
          <w:rFonts w:hint="eastAsia" w:asciiTheme="minorEastAsia" w:hAnsiTheme="minorEastAsia" w:eastAsiaTheme="minorEastAsia" w:cstheme="minorEastAsia"/>
          <w:szCs w:val="30"/>
        </w:rPr>
        <w:t>投标人须知前附表</w:t>
      </w:r>
      <w:r>
        <w:tab/>
      </w:r>
      <w:r>
        <w:fldChar w:fldCharType="begin"/>
      </w:r>
      <w:r>
        <w:instrText xml:space="preserve"> PAGEREF _Toc15953 \h </w:instrText>
      </w:r>
      <w:r>
        <w:fldChar w:fldCharType="separate"/>
      </w:r>
      <w:r>
        <w:t>- 8 -</w:t>
      </w:r>
      <w:r>
        <w:fldChar w:fldCharType="end"/>
      </w:r>
      <w:r>
        <w:fldChar w:fldCharType="end"/>
      </w:r>
    </w:p>
    <w:p>
      <w:pPr>
        <w:pStyle w:val="18"/>
        <w:tabs>
          <w:tab w:val="right" w:leader="dot" w:pos="9880"/>
        </w:tabs>
      </w:pPr>
      <w:r>
        <w:fldChar w:fldCharType="begin"/>
      </w:r>
      <w:r>
        <w:instrText xml:space="preserve"> HYPERLINK \l "_Toc17744" </w:instrText>
      </w:r>
      <w:r>
        <w:fldChar w:fldCharType="separate"/>
      </w:r>
      <w:r>
        <w:rPr>
          <w:rFonts w:hint="eastAsia" w:asciiTheme="minorEastAsia" w:hAnsiTheme="minorEastAsia" w:eastAsiaTheme="minorEastAsia" w:cstheme="minorEastAsia"/>
        </w:rPr>
        <w:t>1. 总则</w:t>
      </w:r>
      <w:r>
        <w:tab/>
      </w:r>
      <w:r>
        <w:fldChar w:fldCharType="begin"/>
      </w:r>
      <w:r>
        <w:instrText xml:space="preserve"> PAGEREF _Toc17744 \h </w:instrText>
      </w:r>
      <w:r>
        <w:fldChar w:fldCharType="separate"/>
      </w:r>
      <w:r>
        <w:t>- 12 -</w:t>
      </w:r>
      <w:r>
        <w:fldChar w:fldCharType="end"/>
      </w:r>
      <w:r>
        <w:fldChar w:fldCharType="end"/>
      </w:r>
    </w:p>
    <w:p>
      <w:pPr>
        <w:pStyle w:val="18"/>
        <w:tabs>
          <w:tab w:val="right" w:leader="dot" w:pos="9880"/>
        </w:tabs>
      </w:pPr>
      <w:r>
        <w:fldChar w:fldCharType="begin"/>
      </w:r>
      <w:r>
        <w:instrText xml:space="preserve"> HYPERLINK \l "_Toc5496" </w:instrText>
      </w:r>
      <w:r>
        <w:fldChar w:fldCharType="separate"/>
      </w:r>
      <w:r>
        <w:rPr>
          <w:rFonts w:hint="eastAsia" w:asciiTheme="minorEastAsia" w:hAnsiTheme="minorEastAsia" w:eastAsiaTheme="minorEastAsia" w:cstheme="minorEastAsia"/>
        </w:rPr>
        <w:t>2. 招标文件</w:t>
      </w:r>
      <w:r>
        <w:tab/>
      </w:r>
      <w:r>
        <w:fldChar w:fldCharType="begin"/>
      </w:r>
      <w:r>
        <w:instrText xml:space="preserve"> PAGEREF _Toc5496 \h </w:instrText>
      </w:r>
      <w:r>
        <w:fldChar w:fldCharType="separate"/>
      </w:r>
      <w:r>
        <w:t>- 14 -</w:t>
      </w:r>
      <w:r>
        <w:fldChar w:fldCharType="end"/>
      </w:r>
      <w:r>
        <w:fldChar w:fldCharType="end"/>
      </w:r>
    </w:p>
    <w:p>
      <w:pPr>
        <w:pStyle w:val="18"/>
        <w:tabs>
          <w:tab w:val="right" w:leader="dot" w:pos="9880"/>
        </w:tabs>
      </w:pPr>
      <w:r>
        <w:fldChar w:fldCharType="begin"/>
      </w:r>
      <w:r>
        <w:instrText xml:space="preserve"> HYPERLINK \l "_Toc17990" </w:instrText>
      </w:r>
      <w:r>
        <w:fldChar w:fldCharType="separate"/>
      </w:r>
      <w:r>
        <w:rPr>
          <w:rFonts w:hint="eastAsia" w:asciiTheme="minorEastAsia" w:hAnsiTheme="minorEastAsia" w:eastAsiaTheme="minorEastAsia" w:cstheme="minorEastAsia"/>
        </w:rPr>
        <w:t>3. 投标文件</w:t>
      </w:r>
      <w:r>
        <w:tab/>
      </w:r>
      <w:r>
        <w:fldChar w:fldCharType="begin"/>
      </w:r>
      <w:r>
        <w:instrText xml:space="preserve"> PAGEREF _Toc17990 \h </w:instrText>
      </w:r>
      <w:r>
        <w:fldChar w:fldCharType="separate"/>
      </w:r>
      <w:r>
        <w:t>- 14 -</w:t>
      </w:r>
      <w:r>
        <w:fldChar w:fldCharType="end"/>
      </w:r>
      <w:r>
        <w:fldChar w:fldCharType="end"/>
      </w:r>
    </w:p>
    <w:p>
      <w:pPr>
        <w:pStyle w:val="18"/>
        <w:tabs>
          <w:tab w:val="right" w:leader="dot" w:pos="9880"/>
        </w:tabs>
      </w:pPr>
      <w:r>
        <w:fldChar w:fldCharType="begin"/>
      </w:r>
      <w:r>
        <w:instrText xml:space="preserve"> HYPERLINK \l "_Toc15900" </w:instrText>
      </w:r>
      <w:r>
        <w:fldChar w:fldCharType="separate"/>
      </w:r>
      <w:r>
        <w:rPr>
          <w:rFonts w:hint="eastAsia" w:asciiTheme="minorEastAsia" w:hAnsiTheme="minorEastAsia" w:eastAsiaTheme="minorEastAsia" w:cstheme="minorEastAsia"/>
        </w:rPr>
        <w:t>4. 投标</w:t>
      </w:r>
      <w:r>
        <w:tab/>
      </w:r>
      <w:r>
        <w:fldChar w:fldCharType="begin"/>
      </w:r>
      <w:r>
        <w:instrText xml:space="preserve"> PAGEREF _Toc15900 \h </w:instrText>
      </w:r>
      <w:r>
        <w:fldChar w:fldCharType="separate"/>
      </w:r>
      <w:r>
        <w:t>- 16 -</w:t>
      </w:r>
      <w:r>
        <w:fldChar w:fldCharType="end"/>
      </w:r>
      <w:r>
        <w:fldChar w:fldCharType="end"/>
      </w:r>
    </w:p>
    <w:p>
      <w:pPr>
        <w:pStyle w:val="18"/>
        <w:tabs>
          <w:tab w:val="right" w:leader="dot" w:pos="9880"/>
        </w:tabs>
      </w:pPr>
      <w:r>
        <w:fldChar w:fldCharType="begin"/>
      </w:r>
      <w:r>
        <w:instrText xml:space="preserve"> HYPERLINK \l "_Toc19012" </w:instrText>
      </w:r>
      <w:r>
        <w:fldChar w:fldCharType="separate"/>
      </w:r>
      <w:r>
        <w:rPr>
          <w:rFonts w:hint="eastAsia" w:asciiTheme="minorEastAsia" w:hAnsiTheme="minorEastAsia" w:eastAsiaTheme="minorEastAsia" w:cstheme="minorEastAsia"/>
        </w:rPr>
        <w:t>5. 开标</w:t>
      </w:r>
      <w:r>
        <w:tab/>
      </w:r>
      <w:r>
        <w:fldChar w:fldCharType="begin"/>
      </w:r>
      <w:r>
        <w:instrText xml:space="preserve"> PAGEREF _Toc19012 \h </w:instrText>
      </w:r>
      <w:r>
        <w:fldChar w:fldCharType="separate"/>
      </w:r>
      <w:r>
        <w:t>- 16 -</w:t>
      </w:r>
      <w:r>
        <w:fldChar w:fldCharType="end"/>
      </w:r>
      <w:r>
        <w:fldChar w:fldCharType="end"/>
      </w:r>
    </w:p>
    <w:p>
      <w:pPr>
        <w:pStyle w:val="18"/>
        <w:tabs>
          <w:tab w:val="right" w:leader="dot" w:pos="9880"/>
        </w:tabs>
      </w:pPr>
      <w:r>
        <w:fldChar w:fldCharType="begin"/>
      </w:r>
      <w:r>
        <w:instrText xml:space="preserve"> HYPERLINK \l "_Toc21373" </w:instrText>
      </w:r>
      <w:r>
        <w:fldChar w:fldCharType="separate"/>
      </w:r>
      <w:r>
        <w:rPr>
          <w:rFonts w:hint="eastAsia" w:asciiTheme="minorEastAsia" w:hAnsiTheme="minorEastAsia" w:eastAsiaTheme="minorEastAsia" w:cstheme="minorEastAsia"/>
        </w:rPr>
        <w:t>6. 评标</w:t>
      </w:r>
      <w:r>
        <w:tab/>
      </w:r>
      <w:r>
        <w:fldChar w:fldCharType="begin"/>
      </w:r>
      <w:r>
        <w:instrText xml:space="preserve"> PAGEREF _Toc21373 \h </w:instrText>
      </w:r>
      <w:r>
        <w:fldChar w:fldCharType="separate"/>
      </w:r>
      <w:r>
        <w:t>- 17 -</w:t>
      </w:r>
      <w:r>
        <w:fldChar w:fldCharType="end"/>
      </w:r>
      <w:r>
        <w:fldChar w:fldCharType="end"/>
      </w:r>
    </w:p>
    <w:p>
      <w:pPr>
        <w:pStyle w:val="18"/>
        <w:tabs>
          <w:tab w:val="right" w:leader="dot" w:pos="9880"/>
        </w:tabs>
      </w:pPr>
      <w:r>
        <w:fldChar w:fldCharType="begin"/>
      </w:r>
      <w:r>
        <w:instrText xml:space="preserve"> HYPERLINK \l "_Toc21680" </w:instrText>
      </w:r>
      <w:r>
        <w:fldChar w:fldCharType="separate"/>
      </w:r>
      <w:r>
        <w:rPr>
          <w:rFonts w:hint="eastAsia" w:asciiTheme="minorEastAsia" w:hAnsiTheme="minorEastAsia" w:eastAsiaTheme="minorEastAsia" w:cstheme="minorEastAsia"/>
        </w:rPr>
        <w:t>7. 合同授予</w:t>
      </w:r>
      <w:r>
        <w:tab/>
      </w:r>
      <w:r>
        <w:fldChar w:fldCharType="begin"/>
      </w:r>
      <w:r>
        <w:instrText xml:space="preserve"> PAGEREF _Toc21680 \h </w:instrText>
      </w:r>
      <w:r>
        <w:fldChar w:fldCharType="separate"/>
      </w:r>
      <w:r>
        <w:t>- 18 -</w:t>
      </w:r>
      <w:r>
        <w:fldChar w:fldCharType="end"/>
      </w:r>
      <w:r>
        <w:fldChar w:fldCharType="end"/>
      </w:r>
    </w:p>
    <w:p>
      <w:pPr>
        <w:pStyle w:val="18"/>
        <w:tabs>
          <w:tab w:val="right" w:leader="dot" w:pos="9880"/>
        </w:tabs>
      </w:pPr>
      <w:r>
        <w:fldChar w:fldCharType="begin"/>
      </w:r>
      <w:r>
        <w:instrText xml:space="preserve"> HYPERLINK \l "_Toc18607" </w:instrText>
      </w:r>
      <w:r>
        <w:fldChar w:fldCharType="separate"/>
      </w:r>
      <w:r>
        <w:rPr>
          <w:rFonts w:hint="eastAsia" w:asciiTheme="minorEastAsia" w:hAnsiTheme="minorEastAsia" w:eastAsiaTheme="minorEastAsia" w:cstheme="minorEastAsia"/>
        </w:rPr>
        <w:t>8. 重新招标</w:t>
      </w:r>
      <w:r>
        <w:tab/>
      </w:r>
      <w:r>
        <w:fldChar w:fldCharType="begin"/>
      </w:r>
      <w:r>
        <w:instrText xml:space="preserve"> PAGEREF _Toc18607 \h </w:instrText>
      </w:r>
      <w:r>
        <w:fldChar w:fldCharType="separate"/>
      </w:r>
      <w:r>
        <w:t>- 19 -</w:t>
      </w:r>
      <w:r>
        <w:fldChar w:fldCharType="end"/>
      </w:r>
      <w:r>
        <w:fldChar w:fldCharType="end"/>
      </w:r>
    </w:p>
    <w:p>
      <w:pPr>
        <w:pStyle w:val="18"/>
        <w:tabs>
          <w:tab w:val="right" w:leader="dot" w:pos="9880"/>
        </w:tabs>
      </w:pPr>
      <w:r>
        <w:fldChar w:fldCharType="begin"/>
      </w:r>
      <w:r>
        <w:instrText xml:space="preserve"> HYPERLINK \l "_Toc23389" </w:instrText>
      </w:r>
      <w:r>
        <w:fldChar w:fldCharType="separate"/>
      </w:r>
      <w:r>
        <w:rPr>
          <w:rFonts w:hint="eastAsia" w:asciiTheme="minorEastAsia" w:hAnsiTheme="minorEastAsia" w:eastAsiaTheme="minorEastAsia" w:cstheme="minorEastAsia"/>
        </w:rPr>
        <w:t>9. 纪律和监督</w:t>
      </w:r>
      <w:r>
        <w:tab/>
      </w:r>
      <w:r>
        <w:fldChar w:fldCharType="begin"/>
      </w:r>
      <w:r>
        <w:instrText xml:space="preserve"> PAGEREF _Toc23389 \h </w:instrText>
      </w:r>
      <w:r>
        <w:fldChar w:fldCharType="separate"/>
      </w:r>
      <w:r>
        <w:t>- 19 -</w:t>
      </w:r>
      <w:r>
        <w:fldChar w:fldCharType="end"/>
      </w:r>
      <w:r>
        <w:fldChar w:fldCharType="end"/>
      </w:r>
    </w:p>
    <w:p>
      <w:pPr>
        <w:pStyle w:val="18"/>
        <w:tabs>
          <w:tab w:val="right" w:leader="dot" w:pos="9880"/>
        </w:tabs>
      </w:pPr>
      <w:r>
        <w:fldChar w:fldCharType="begin"/>
      </w:r>
      <w:r>
        <w:instrText xml:space="preserve"> HYPERLINK \l "_Toc5888" </w:instrText>
      </w:r>
      <w:r>
        <w:fldChar w:fldCharType="separate"/>
      </w:r>
      <w:r>
        <w:rPr>
          <w:rFonts w:hint="eastAsia" w:asciiTheme="minorEastAsia" w:hAnsiTheme="minorEastAsia" w:eastAsiaTheme="minorEastAsia" w:cstheme="minorEastAsia"/>
        </w:rPr>
        <w:t>10. 需要补充的其他内容</w:t>
      </w:r>
      <w:r>
        <w:tab/>
      </w:r>
      <w:r>
        <w:fldChar w:fldCharType="begin"/>
      </w:r>
      <w:r>
        <w:instrText xml:space="preserve"> PAGEREF _Toc5888 \h </w:instrText>
      </w:r>
      <w:r>
        <w:fldChar w:fldCharType="separate"/>
      </w:r>
      <w:r>
        <w:t>- 20 -</w:t>
      </w:r>
      <w:r>
        <w:fldChar w:fldCharType="end"/>
      </w:r>
      <w:r>
        <w:fldChar w:fldCharType="end"/>
      </w:r>
    </w:p>
    <w:p>
      <w:pPr>
        <w:pStyle w:val="18"/>
        <w:tabs>
          <w:tab w:val="right" w:leader="dot" w:pos="9880"/>
        </w:tabs>
      </w:pPr>
      <w:r>
        <w:fldChar w:fldCharType="begin"/>
      </w:r>
      <w:r>
        <w:instrText xml:space="preserve"> HYPERLINK \l "_Toc2565" </w:instrText>
      </w:r>
      <w:r>
        <w:fldChar w:fldCharType="separate"/>
      </w:r>
      <w:r>
        <w:rPr>
          <w:rFonts w:asciiTheme="minorEastAsia" w:hAnsiTheme="minorEastAsia" w:eastAsiaTheme="minorEastAsia" w:cstheme="minorEastAsia"/>
          <w:szCs w:val="36"/>
        </w:rPr>
        <w:t xml:space="preserve">第三章 </w:t>
      </w:r>
      <w:r>
        <w:rPr>
          <w:rFonts w:hint="eastAsia" w:asciiTheme="minorEastAsia" w:hAnsiTheme="minorEastAsia" w:eastAsiaTheme="minorEastAsia" w:cstheme="minorEastAsia"/>
          <w:szCs w:val="36"/>
        </w:rPr>
        <w:t>评标办法（综合评分法）</w:t>
      </w:r>
      <w:r>
        <w:tab/>
      </w:r>
      <w:r>
        <w:fldChar w:fldCharType="begin"/>
      </w:r>
      <w:r>
        <w:instrText xml:space="preserve"> PAGEREF _Toc2565 \h </w:instrText>
      </w:r>
      <w:r>
        <w:fldChar w:fldCharType="separate"/>
      </w:r>
      <w:r>
        <w:t>- 21 -</w:t>
      </w:r>
      <w:r>
        <w:fldChar w:fldCharType="end"/>
      </w:r>
      <w:r>
        <w:fldChar w:fldCharType="end"/>
      </w:r>
    </w:p>
    <w:p>
      <w:pPr>
        <w:pStyle w:val="18"/>
        <w:tabs>
          <w:tab w:val="right" w:leader="dot" w:pos="9880"/>
        </w:tabs>
      </w:pPr>
      <w:r>
        <w:fldChar w:fldCharType="begin"/>
      </w:r>
      <w:r>
        <w:instrText xml:space="preserve"> HYPERLINK \l "_Toc9424" </w:instrText>
      </w:r>
      <w:r>
        <w:fldChar w:fldCharType="separate"/>
      </w:r>
      <w:r>
        <w:rPr>
          <w:rFonts w:asciiTheme="minorEastAsia" w:hAnsiTheme="minorEastAsia" w:eastAsiaTheme="minorEastAsia" w:cstheme="minorEastAsia"/>
          <w:szCs w:val="36"/>
        </w:rPr>
        <w:t xml:space="preserve">第四章 </w:t>
      </w:r>
      <w:r>
        <w:rPr>
          <w:rFonts w:hint="eastAsia" w:asciiTheme="minorEastAsia" w:hAnsiTheme="minorEastAsia" w:eastAsiaTheme="minorEastAsia" w:cstheme="minorEastAsia"/>
          <w:szCs w:val="36"/>
        </w:rPr>
        <w:t>合同条款及格式</w:t>
      </w:r>
      <w:r>
        <w:tab/>
      </w:r>
      <w:r>
        <w:fldChar w:fldCharType="begin"/>
      </w:r>
      <w:r>
        <w:instrText xml:space="preserve"> PAGEREF _Toc9424 \h </w:instrText>
      </w:r>
      <w:r>
        <w:fldChar w:fldCharType="separate"/>
      </w:r>
      <w:r>
        <w:t>- 28 -</w:t>
      </w:r>
      <w:r>
        <w:fldChar w:fldCharType="end"/>
      </w:r>
      <w:r>
        <w:fldChar w:fldCharType="end"/>
      </w:r>
    </w:p>
    <w:p>
      <w:pPr>
        <w:pStyle w:val="18"/>
        <w:tabs>
          <w:tab w:val="right" w:leader="dot" w:pos="9880"/>
        </w:tabs>
      </w:pPr>
      <w:r>
        <w:fldChar w:fldCharType="begin"/>
      </w:r>
      <w:r>
        <w:instrText xml:space="preserve"> HYPERLINK \l "_Toc18602" </w:instrText>
      </w:r>
      <w:r>
        <w:fldChar w:fldCharType="separate"/>
      </w:r>
      <w:r>
        <w:rPr>
          <w:rFonts w:hint="eastAsia"/>
          <w:bCs/>
          <w:szCs w:val="32"/>
        </w:rPr>
        <w:t>第五章服务内容及需求</w:t>
      </w:r>
      <w:r>
        <w:tab/>
      </w:r>
      <w:r>
        <w:fldChar w:fldCharType="begin"/>
      </w:r>
      <w:r>
        <w:instrText xml:space="preserve"> PAGEREF _Toc18602 \h </w:instrText>
      </w:r>
      <w:r>
        <w:fldChar w:fldCharType="separate"/>
      </w:r>
      <w:r>
        <w:t>- 30 -</w:t>
      </w:r>
      <w:r>
        <w:fldChar w:fldCharType="end"/>
      </w:r>
      <w:r>
        <w:fldChar w:fldCharType="end"/>
      </w:r>
    </w:p>
    <w:p>
      <w:pPr>
        <w:pStyle w:val="18"/>
        <w:tabs>
          <w:tab w:val="right" w:leader="dot" w:pos="9880"/>
        </w:tabs>
      </w:pPr>
      <w:r>
        <w:fldChar w:fldCharType="begin"/>
      </w:r>
      <w:r>
        <w:instrText xml:space="preserve"> HYPERLINK \l "_Toc18577" </w:instrText>
      </w:r>
      <w:r>
        <w:fldChar w:fldCharType="separate"/>
      </w:r>
      <w:r>
        <w:rPr>
          <w:rFonts w:hint="eastAsia"/>
          <w:szCs w:val="32"/>
        </w:rPr>
        <w:t>第六章 质疑与投诉</w:t>
      </w:r>
      <w:r>
        <w:tab/>
      </w:r>
      <w:r>
        <w:fldChar w:fldCharType="begin"/>
      </w:r>
      <w:r>
        <w:instrText xml:space="preserve"> PAGEREF _Toc18577 \h </w:instrText>
      </w:r>
      <w:r>
        <w:fldChar w:fldCharType="separate"/>
      </w:r>
      <w:r>
        <w:t>- 30 -</w:t>
      </w:r>
      <w:r>
        <w:fldChar w:fldCharType="end"/>
      </w:r>
      <w:r>
        <w:fldChar w:fldCharType="end"/>
      </w:r>
    </w:p>
    <w:p>
      <w:pPr>
        <w:pStyle w:val="18"/>
        <w:tabs>
          <w:tab w:val="right" w:leader="dot" w:pos="9880"/>
        </w:tabs>
      </w:pPr>
      <w:r>
        <w:rPr>
          <w:rFonts w:hint="eastAsia" w:asciiTheme="minorEastAsia" w:hAnsiTheme="minorEastAsia" w:eastAsiaTheme="minorEastAsia" w:cstheme="minorEastAsia"/>
          <w:bCs/>
          <w:caps/>
          <w:szCs w:val="21"/>
          <w:lang w:val="zh-CN"/>
        </w:rPr>
        <w:t>第七章</w:t>
      </w:r>
      <w:r>
        <w:rPr>
          <w:rFonts w:hint="eastAsia" w:asciiTheme="minorEastAsia" w:hAnsiTheme="minorEastAsia" w:eastAsiaTheme="minorEastAsia" w:cstheme="minorEastAsia"/>
          <w:bCs/>
          <w:caps/>
          <w:szCs w:val="21"/>
        </w:rPr>
        <w:t xml:space="preserve"> </w:t>
      </w:r>
      <w:r>
        <w:fldChar w:fldCharType="begin"/>
      </w:r>
      <w:r>
        <w:instrText xml:space="preserve"> HYPERLINK \l "_Toc3437" </w:instrText>
      </w:r>
      <w:r>
        <w:fldChar w:fldCharType="separate"/>
      </w:r>
      <w:r>
        <w:rPr>
          <w:rFonts w:hint="eastAsia" w:asciiTheme="minorEastAsia" w:hAnsiTheme="minorEastAsia" w:eastAsiaTheme="minorEastAsia" w:cstheme="minorEastAsia"/>
          <w:bCs/>
          <w:caps/>
          <w:szCs w:val="21"/>
          <w:lang w:val="zh-CN"/>
        </w:rPr>
        <w:t>履约验收</w:t>
      </w:r>
      <w:r>
        <w:tab/>
      </w:r>
      <w:r>
        <w:fldChar w:fldCharType="begin"/>
      </w:r>
      <w:r>
        <w:instrText xml:space="preserve"> PAGEREF _Toc3437 \h </w:instrText>
      </w:r>
      <w:r>
        <w:fldChar w:fldCharType="separate"/>
      </w:r>
      <w:r>
        <w:t>- 33 -</w:t>
      </w:r>
      <w:r>
        <w:fldChar w:fldCharType="end"/>
      </w:r>
      <w:r>
        <w:fldChar w:fldCharType="end"/>
      </w:r>
    </w:p>
    <w:p>
      <w:pPr>
        <w:pStyle w:val="18"/>
        <w:tabs>
          <w:tab w:val="right" w:leader="dot" w:pos="9880"/>
        </w:tabs>
      </w:pPr>
      <w:r>
        <w:fldChar w:fldCharType="begin"/>
      </w:r>
      <w:r>
        <w:instrText xml:space="preserve"> HYPERLINK \l "_Toc7253" </w:instrText>
      </w:r>
      <w:r>
        <w:fldChar w:fldCharType="separate"/>
      </w:r>
      <w:r>
        <w:rPr>
          <w:rFonts w:hint="eastAsia" w:asciiTheme="minorEastAsia" w:hAnsiTheme="minorEastAsia" w:eastAsiaTheme="minorEastAsia" w:cstheme="minorEastAsia"/>
          <w:szCs w:val="36"/>
        </w:rPr>
        <w:t>第八章  投标文件格式</w:t>
      </w:r>
      <w:r>
        <w:tab/>
      </w:r>
      <w:r>
        <w:fldChar w:fldCharType="begin"/>
      </w:r>
      <w:r>
        <w:instrText xml:space="preserve"> PAGEREF _Toc7253 \h </w:instrText>
      </w:r>
      <w:r>
        <w:fldChar w:fldCharType="separate"/>
      </w:r>
      <w:r>
        <w:t>- 35 -</w:t>
      </w:r>
      <w:r>
        <w:fldChar w:fldCharType="end"/>
      </w:r>
      <w:r>
        <w:fldChar w:fldCharType="end"/>
      </w:r>
    </w:p>
    <w:p>
      <w:pPr>
        <w:pStyle w:val="19"/>
        <w:tabs>
          <w:tab w:val="right" w:leader="dot" w:pos="9880"/>
        </w:tabs>
      </w:pPr>
    </w:p>
    <w:p>
      <w:pPr>
        <w:spacing w:line="520" w:lineRule="exact"/>
        <w:ind w:right="-273" w:rightChars="-130"/>
        <w:rPr>
          <w:rFonts w:asciiTheme="minorEastAsia" w:hAnsiTheme="minorEastAsia" w:eastAsiaTheme="minorEastAsia" w:cstheme="minorEastAsia"/>
          <w:bCs/>
        </w:rPr>
      </w:pPr>
      <w:r>
        <w:rPr>
          <w:rFonts w:hint="eastAsia" w:asciiTheme="minorEastAsia" w:hAnsiTheme="minorEastAsia" w:eastAsiaTheme="minorEastAsia" w:cstheme="minorEastAsia"/>
          <w:bCs/>
          <w:caps/>
          <w:szCs w:val="21"/>
          <w:lang w:val="zh-CN"/>
        </w:rPr>
        <w:fldChar w:fldCharType="end"/>
      </w:r>
    </w:p>
    <w:p>
      <w:pPr>
        <w:pStyle w:val="21"/>
        <w:spacing w:line="360" w:lineRule="auto"/>
        <w:ind w:right="-63" w:rightChars="-30"/>
        <w:rPr>
          <w:rFonts w:asciiTheme="minorEastAsia" w:hAnsiTheme="minorEastAsia" w:eastAsiaTheme="minorEastAsia" w:cstheme="minorEastAsia"/>
          <w:bCs/>
        </w:rPr>
      </w:pPr>
    </w:p>
    <w:p>
      <w:pPr>
        <w:pStyle w:val="21"/>
        <w:spacing w:line="360" w:lineRule="auto"/>
        <w:ind w:right="-63" w:rightChars="-30"/>
        <w:rPr>
          <w:rFonts w:asciiTheme="minorEastAsia" w:hAnsiTheme="minorEastAsia" w:eastAsiaTheme="minorEastAsia" w:cstheme="minorEastAsia"/>
          <w:bCs/>
        </w:rPr>
      </w:pPr>
    </w:p>
    <w:p>
      <w:pPr>
        <w:pStyle w:val="21"/>
        <w:spacing w:line="360" w:lineRule="auto"/>
        <w:ind w:right="-63" w:rightChars="-30"/>
        <w:rPr>
          <w:rFonts w:asciiTheme="minorEastAsia" w:hAnsiTheme="minorEastAsia" w:eastAsiaTheme="minorEastAsia" w:cstheme="minorEastAsia"/>
          <w:bCs/>
        </w:rPr>
      </w:pPr>
    </w:p>
    <w:p>
      <w:pPr>
        <w:pStyle w:val="21"/>
        <w:spacing w:line="360" w:lineRule="auto"/>
        <w:ind w:right="-63" w:rightChars="-30"/>
        <w:rPr>
          <w:rFonts w:asciiTheme="minorEastAsia" w:hAnsiTheme="minorEastAsia" w:eastAsiaTheme="minorEastAsia" w:cstheme="minorEastAsia"/>
          <w:bCs/>
        </w:rPr>
      </w:pPr>
    </w:p>
    <w:p>
      <w:pPr>
        <w:pStyle w:val="4"/>
        <w:rPr>
          <w:rFonts w:ascii="宋体" w:hAnsi="宋体" w:cs="宋体"/>
        </w:rPr>
      </w:pPr>
      <w:bookmarkStart w:id="1" w:name="_Toc2925"/>
      <w:r>
        <w:rPr>
          <w:rFonts w:hint="eastAsia"/>
        </w:rPr>
        <w:t>重要事项提示</w:t>
      </w:r>
      <w:bookmarkEnd w:id="1"/>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各潜在投标人：</w:t>
      </w:r>
    </w:p>
    <w:p>
      <w:pPr>
        <w:spacing w:line="360" w:lineRule="auto"/>
        <w:ind w:firstLine="480" w:firstLineChars="200"/>
        <w:rPr>
          <w:rFonts w:ascii="宋体" w:hAnsi="宋体" w:cs="宋体"/>
          <w:sz w:val="24"/>
        </w:rPr>
      </w:pPr>
      <w:r>
        <w:rPr>
          <w:rFonts w:hint="eastAsia" w:ascii="宋体" w:hAnsi="宋体" w:cs="宋体"/>
          <w:sz w:val="24"/>
        </w:rPr>
        <w:t>以下环节是此采购文件中需要重点关注的环节，对以下内容的忽视，可能是影响贵公司中标的重要因素。请在编制响应文件参与政府采购时高度重视。</w:t>
      </w:r>
    </w:p>
    <w:p>
      <w:pPr>
        <w:spacing w:line="360" w:lineRule="auto"/>
        <w:ind w:firstLine="480" w:firstLineChars="200"/>
        <w:rPr>
          <w:rFonts w:ascii="宋体" w:hAnsi="宋体" w:cs="宋体"/>
          <w:sz w:val="24"/>
        </w:rPr>
      </w:pPr>
      <w:r>
        <w:rPr>
          <w:rFonts w:hint="eastAsia" w:ascii="宋体" w:hAnsi="宋体" w:cs="宋体"/>
          <w:sz w:val="24"/>
        </w:rPr>
        <w:t>1、采购文件应通过焦作市公共资源交易中心网站会员系统进行网上下载；未使用</w:t>
      </w:r>
      <w:r>
        <w:rPr>
          <w:rFonts w:hint="eastAsia" w:ascii="宋体" w:hAnsi="宋体"/>
          <w:bCs/>
          <w:kern w:val="0"/>
          <w:sz w:val="24"/>
        </w:rPr>
        <w:t>企业 CA 密匙</w:t>
      </w:r>
      <w:r>
        <w:rPr>
          <w:rFonts w:hint="eastAsia" w:ascii="宋体" w:hAnsi="宋体" w:cs="宋体"/>
          <w:sz w:val="24"/>
        </w:rPr>
        <w:t>登录焦作市公共资源交易中心网站会员系统进行网上下载文件的，投标视为无效；</w:t>
      </w:r>
    </w:p>
    <w:p>
      <w:pPr>
        <w:pStyle w:val="20"/>
        <w:spacing w:before="0" w:beforeAutospacing="0" w:after="0" w:afterAutospacing="0" w:line="360" w:lineRule="auto"/>
        <w:ind w:firstLine="480" w:firstLineChars="200"/>
        <w:jc w:val="both"/>
      </w:pPr>
      <w:r>
        <w:rPr>
          <w:rFonts w:hint="eastAsia"/>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pStyle w:val="20"/>
        <w:spacing w:before="0" w:beforeAutospacing="0" w:after="0" w:afterAutospacing="0" w:line="360" w:lineRule="auto"/>
        <w:ind w:firstLine="480" w:firstLineChars="200"/>
        <w:jc w:val="both"/>
      </w:pPr>
      <w:r>
        <w:rPr>
          <w:rFonts w:hint="eastAsia"/>
        </w:rPr>
        <w:t>（http://122.112.246.33/BidOpening/bidopeninghallaction/hall/login ），按要求解密投标文件。因文件未及时上传导致投标失败的责任由投标人自行承担，具体要求详见招标文件。 平台统一技术服务电话：400-998-0000，服务 QQ：4008503300，服务时间：周一至周日 8：00-17：30。</w:t>
      </w:r>
    </w:p>
    <w:p>
      <w:pPr>
        <w:pStyle w:val="20"/>
        <w:spacing w:before="0" w:beforeAutospacing="0" w:after="0" w:afterAutospacing="0" w:line="360" w:lineRule="auto"/>
        <w:ind w:firstLine="480" w:firstLineChars="200"/>
        <w:jc w:val="both"/>
      </w:pPr>
      <w:r>
        <w:rPr>
          <w:rFonts w:hint="eastAsia"/>
        </w:rPr>
        <w:t>投标人无需到现场参加开标会议，无需到达现场提交原件资料。投标人应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pStyle w:val="20"/>
        <w:numPr>
          <w:ilvl w:val="0"/>
          <w:numId w:val="2"/>
        </w:numPr>
        <w:spacing w:before="0" w:beforeAutospacing="0" w:after="0" w:afterAutospacing="0" w:line="360" w:lineRule="auto"/>
        <w:ind w:firstLine="480" w:firstLineChars="200"/>
        <w:jc w:val="both"/>
      </w:pPr>
      <w:r>
        <w:rPr>
          <w:rFonts w:hint="eastAsia"/>
        </w:rPr>
        <w:t>有下列情形之一的，将作为自动放弃、无效投标或废标处理：</w:t>
      </w:r>
    </w:p>
    <w:p>
      <w:pPr>
        <w:widowControl/>
        <w:spacing w:line="360" w:lineRule="auto"/>
        <w:ind w:firstLine="480" w:firstLineChars="200"/>
        <w:rPr>
          <w:rFonts w:ascii="宋体" w:hAnsi="宋体"/>
          <w:kern w:val="0"/>
          <w:sz w:val="24"/>
        </w:rPr>
      </w:pPr>
      <w:r>
        <w:rPr>
          <w:rFonts w:hint="eastAsia" w:ascii="宋体" w:hAnsi="宋体"/>
          <w:kern w:val="0"/>
          <w:sz w:val="24"/>
        </w:rPr>
        <w:t>3.1. 未按招标文件明示的规定签字或盖章的；</w:t>
      </w:r>
    </w:p>
    <w:p>
      <w:pPr>
        <w:widowControl/>
        <w:spacing w:line="360" w:lineRule="auto"/>
        <w:ind w:firstLine="480" w:firstLineChars="200"/>
        <w:rPr>
          <w:rFonts w:ascii="宋体" w:hAnsi="宋体"/>
          <w:kern w:val="0"/>
          <w:sz w:val="24"/>
        </w:rPr>
      </w:pPr>
      <w:r>
        <w:rPr>
          <w:rFonts w:hint="eastAsia" w:ascii="宋体" w:hAnsi="宋体"/>
          <w:kern w:val="0"/>
          <w:sz w:val="24"/>
        </w:rPr>
        <w:t>3.2. 投标文件的关键内容（投标报价、服务</w:t>
      </w:r>
      <w:r>
        <w:rPr>
          <w:rFonts w:hint="eastAsia" w:ascii="宋体" w:hAnsi="宋体" w:cs="宋体"/>
          <w:kern w:val="0"/>
          <w:sz w:val="24"/>
        </w:rPr>
        <w:t>期</w:t>
      </w:r>
      <w:r>
        <w:rPr>
          <w:rFonts w:hint="eastAsia" w:ascii="宋体" w:hAnsi="宋体"/>
          <w:kern w:val="0"/>
          <w:sz w:val="24"/>
        </w:rPr>
        <w:t>、质量标准等）未填写或填写字迹模糊无法辨认的；</w:t>
      </w:r>
    </w:p>
    <w:p>
      <w:pPr>
        <w:widowControl/>
        <w:spacing w:line="360" w:lineRule="auto"/>
        <w:ind w:firstLine="480" w:firstLineChars="200"/>
        <w:rPr>
          <w:rFonts w:ascii="宋体" w:hAnsi="宋体"/>
          <w:kern w:val="0"/>
          <w:sz w:val="24"/>
        </w:rPr>
      </w:pPr>
      <w:r>
        <w:rPr>
          <w:rFonts w:hint="eastAsia" w:ascii="宋体" w:hAnsi="宋体"/>
          <w:kern w:val="0"/>
          <w:sz w:val="24"/>
        </w:rPr>
        <w:t>3.3. 采购报价超出控制价的；</w:t>
      </w:r>
    </w:p>
    <w:p>
      <w:pPr>
        <w:widowControl/>
        <w:spacing w:line="360" w:lineRule="auto"/>
        <w:ind w:firstLine="480" w:firstLineChars="200"/>
        <w:rPr>
          <w:rFonts w:ascii="宋体" w:hAnsi="宋体"/>
          <w:kern w:val="0"/>
          <w:sz w:val="24"/>
        </w:rPr>
      </w:pPr>
      <w:r>
        <w:rPr>
          <w:rFonts w:hint="eastAsia" w:ascii="宋体" w:hAnsi="宋体"/>
          <w:kern w:val="0"/>
          <w:sz w:val="24"/>
        </w:rPr>
        <w:t>3.4. 投标文件中对同一项目有两个或多个报价，且未声明哪一个有效的；</w:t>
      </w:r>
    </w:p>
    <w:p>
      <w:pPr>
        <w:widowControl/>
        <w:spacing w:line="360" w:lineRule="auto"/>
        <w:ind w:firstLine="480" w:firstLineChars="200"/>
        <w:rPr>
          <w:rFonts w:ascii="宋体" w:hAnsi="宋体"/>
          <w:kern w:val="0"/>
          <w:sz w:val="24"/>
        </w:rPr>
      </w:pPr>
      <w:r>
        <w:rPr>
          <w:rFonts w:hint="eastAsia" w:ascii="宋体" w:hAnsi="宋体"/>
          <w:kern w:val="0"/>
          <w:sz w:val="24"/>
        </w:rPr>
        <w:t>3.5. 相关资格证明文件不合格的；</w:t>
      </w:r>
    </w:p>
    <w:p>
      <w:pPr>
        <w:widowControl/>
        <w:spacing w:line="360" w:lineRule="auto"/>
        <w:ind w:firstLine="480" w:firstLineChars="200"/>
        <w:rPr>
          <w:rFonts w:ascii="宋体" w:hAnsi="宋体"/>
          <w:kern w:val="0"/>
          <w:sz w:val="24"/>
        </w:rPr>
      </w:pPr>
      <w:r>
        <w:rPr>
          <w:rFonts w:hint="eastAsia" w:ascii="宋体" w:hAnsi="宋体"/>
          <w:kern w:val="0"/>
          <w:sz w:val="24"/>
        </w:rPr>
        <w:t>3.6. 投标文件中附有采购人不能接受的条件的；</w:t>
      </w:r>
    </w:p>
    <w:p>
      <w:pPr>
        <w:widowControl/>
        <w:spacing w:line="360" w:lineRule="auto"/>
        <w:ind w:firstLine="480" w:firstLineChars="200"/>
        <w:rPr>
          <w:rFonts w:ascii="宋体" w:hAnsi="宋体"/>
          <w:kern w:val="0"/>
          <w:sz w:val="24"/>
        </w:rPr>
      </w:pPr>
      <w:r>
        <w:rPr>
          <w:rFonts w:hint="eastAsia" w:ascii="宋体" w:hAnsi="宋体"/>
          <w:kern w:val="0"/>
          <w:sz w:val="24"/>
        </w:rPr>
        <w:t>3.7. 评标过程中，如因两个或两个以上投标人在同一台计算或同一个IP上传投标文件，而被不见面开标系统提示为“投标文件制作机器码一致”的，则视其投标无效。</w:t>
      </w:r>
    </w:p>
    <w:p>
      <w:pPr>
        <w:widowControl/>
        <w:spacing w:line="360" w:lineRule="auto"/>
        <w:ind w:firstLine="480" w:firstLineChars="200"/>
        <w:rPr>
          <w:rFonts w:ascii="宋体" w:hAnsi="宋体"/>
          <w:kern w:val="0"/>
          <w:sz w:val="24"/>
        </w:rPr>
      </w:pPr>
      <w:r>
        <w:rPr>
          <w:rFonts w:hint="eastAsia" w:ascii="宋体" w:hAnsi="宋体"/>
          <w:kern w:val="0"/>
          <w:sz w:val="24"/>
        </w:rPr>
        <w:t xml:space="preserve"> 3.8. 投标文件有明显不符合招标文件其它要求和有关法律法规的；</w:t>
      </w:r>
    </w:p>
    <w:p>
      <w:pPr>
        <w:pStyle w:val="37"/>
        <w:numPr>
          <w:ilvl w:val="0"/>
          <w:numId w:val="0"/>
        </w:numPr>
        <w:tabs>
          <w:tab w:val="clear" w:pos="432"/>
        </w:tabs>
        <w:jc w:val="both"/>
        <w:rPr>
          <w:lang w:val="en-US"/>
        </w:rPr>
      </w:pPr>
    </w:p>
    <w:p>
      <w:pPr>
        <w:pStyle w:val="4"/>
        <w:spacing w:before="0" w:after="0" w:line="360" w:lineRule="auto"/>
        <w:ind w:firstLine="643" w:firstLineChars="200"/>
        <w:rPr>
          <w:rFonts w:ascii="宋体" w:hAnsi="宋体" w:cs="宋体"/>
          <w:sz w:val="32"/>
          <w:szCs w:val="32"/>
        </w:rPr>
      </w:pPr>
    </w:p>
    <w:p>
      <w:pPr>
        <w:pStyle w:val="4"/>
        <w:spacing w:before="0" w:after="0" w:line="360" w:lineRule="auto"/>
        <w:ind w:firstLine="643" w:firstLineChars="200"/>
        <w:rPr>
          <w:rFonts w:ascii="宋体" w:hAnsi="宋体" w:cs="宋体"/>
          <w:sz w:val="32"/>
          <w:szCs w:val="32"/>
        </w:rPr>
      </w:pPr>
    </w:p>
    <w:p>
      <w:pPr>
        <w:rPr>
          <w:rFonts w:ascii="宋体" w:hAnsi="宋体" w:cs="宋体"/>
          <w:b/>
          <w:bCs/>
          <w:sz w:val="32"/>
          <w:szCs w:val="32"/>
        </w:rPr>
      </w:pPr>
    </w:p>
    <w:p>
      <w:pPr>
        <w:jc w:val="center"/>
        <w:rPr>
          <w:rFonts w:asciiTheme="minorEastAsia" w:hAnsiTheme="minorEastAsia" w:eastAsiaTheme="minorEastAsia" w:cstheme="minorEastAsia"/>
          <w:b/>
          <w:bCs/>
          <w:sz w:val="32"/>
          <w:szCs w:val="32"/>
        </w:rPr>
      </w:pPr>
    </w:p>
    <w:p>
      <w:pPr>
        <w:pStyle w:val="21"/>
        <w:spacing w:line="360" w:lineRule="auto"/>
        <w:ind w:right="-63" w:rightChars="-30"/>
        <w:jc w:val="both"/>
        <w:rPr>
          <w:rFonts w:asciiTheme="minorEastAsia" w:hAnsiTheme="minorEastAsia" w:eastAsiaTheme="minorEastAsia" w:cstheme="minorEastAsia"/>
          <w:bCs/>
        </w:rPr>
      </w:pPr>
    </w:p>
    <w:p>
      <w:pPr>
        <w:rPr>
          <w:rFonts w:eastAsiaTheme="minorEastAsia"/>
        </w:rPr>
      </w:pPr>
    </w:p>
    <w:p>
      <w:pPr>
        <w:pStyle w:val="5"/>
      </w:pPr>
    </w:p>
    <w:p/>
    <w:p>
      <w:pPr>
        <w:pStyle w:val="37"/>
        <w:numPr>
          <w:ilvl w:val="0"/>
          <w:numId w:val="0"/>
        </w:numPr>
        <w:tabs>
          <w:tab w:val="clear" w:pos="432"/>
        </w:tabs>
        <w:jc w:val="both"/>
      </w:pPr>
    </w:p>
    <w:p>
      <w:pPr>
        <w:pStyle w:val="38"/>
        <w:ind w:firstLine="420"/>
      </w:pPr>
    </w:p>
    <w:p>
      <w:pPr>
        <w:pStyle w:val="38"/>
        <w:ind w:firstLine="420"/>
      </w:pPr>
    </w:p>
    <w:p>
      <w:pPr>
        <w:pStyle w:val="38"/>
        <w:ind w:firstLine="420"/>
      </w:pPr>
    </w:p>
    <w:p>
      <w:pPr>
        <w:pStyle w:val="21"/>
        <w:numPr>
          <w:ilvl w:val="0"/>
          <w:numId w:val="3"/>
        </w:numPr>
        <w:spacing w:line="360" w:lineRule="auto"/>
        <w:ind w:right="-63" w:rightChars="-30"/>
      </w:pPr>
      <w:r>
        <w:rPr>
          <w:rFonts w:hint="eastAsia" w:asciiTheme="minorEastAsia" w:hAnsiTheme="minorEastAsia" w:eastAsiaTheme="minorEastAsia" w:cstheme="minorEastAsia"/>
          <w:bCs/>
        </w:rPr>
        <w:t xml:space="preserve">  </w:t>
      </w:r>
      <w:bookmarkStart w:id="2" w:name="_Toc20833"/>
      <w:r>
        <w:rPr>
          <w:rFonts w:hint="eastAsia" w:asciiTheme="minorEastAsia" w:hAnsiTheme="minorEastAsia" w:eastAsiaTheme="minorEastAsia" w:cstheme="minorEastAsia"/>
          <w:bCs/>
        </w:rPr>
        <w:t>招标公告</w:t>
      </w:r>
      <w:bookmarkEnd w:id="2"/>
    </w:p>
    <w:p>
      <w:pPr>
        <w:jc w:val="center"/>
        <w:rPr>
          <w:rFonts w:hint="eastAsia" w:ascii="宋体" w:hAnsi="宋体" w:eastAsia="宋体" w:cs="宋体"/>
          <w:b/>
          <w:bCs/>
          <w:sz w:val="32"/>
          <w:szCs w:val="32"/>
        </w:rPr>
      </w:pPr>
      <w:bookmarkStart w:id="3" w:name="_Toc24528"/>
      <w:r>
        <w:rPr>
          <w:rFonts w:hint="eastAsia" w:ascii="宋体" w:hAnsi="宋体" w:eastAsia="宋体" w:cs="宋体"/>
          <w:b/>
          <w:bCs/>
          <w:sz w:val="32"/>
          <w:szCs w:val="32"/>
        </w:rPr>
        <w:t>博爱县自然资源局集体土地所有权确权登记成果更新汇交工作服务</w:t>
      </w:r>
    </w:p>
    <w:p>
      <w:pPr>
        <w:jc w:val="center"/>
        <w:rPr>
          <w:rFonts w:hint="eastAsia" w:ascii="宋体" w:hAnsi="宋体" w:eastAsia="宋体" w:cs="宋体"/>
          <w:b/>
          <w:bCs/>
          <w:sz w:val="32"/>
          <w:szCs w:val="32"/>
          <w:lang w:eastAsia="zh-CN"/>
        </w:rPr>
      </w:pPr>
      <w:r>
        <w:rPr>
          <w:rFonts w:hint="eastAsia" w:ascii="宋体" w:hAnsi="宋体" w:eastAsia="宋体" w:cs="宋体"/>
          <w:b/>
          <w:bCs/>
          <w:sz w:val="32"/>
          <w:szCs w:val="32"/>
        </w:rPr>
        <w:t>采购项目招标公告</w:t>
      </w:r>
      <w:r>
        <w:rPr>
          <w:rFonts w:hint="eastAsia" w:ascii="宋体" w:hAnsi="宋体" w:eastAsia="宋体" w:cs="宋体"/>
          <w:b/>
          <w:bCs/>
          <w:sz w:val="32"/>
          <w:szCs w:val="32"/>
          <w:lang w:eastAsia="zh-CN"/>
        </w:rPr>
        <w:t>（不见面开标）</w:t>
      </w:r>
    </w:p>
    <w:tbl>
      <w:tblPr>
        <w:tblStyle w:val="24"/>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61" w:type="dxa"/>
            <w:noWrap w:val="0"/>
            <w:vAlign w:val="top"/>
          </w:tcPr>
          <w:p>
            <w:pPr>
              <w:pStyle w:val="23"/>
              <w:spacing w:line="440" w:lineRule="exact"/>
              <w:ind w:firstLine="480"/>
              <w:rPr>
                <w:rFonts w:ascii="宋体" w:hAnsi="宋体" w:cs="宋体"/>
                <w:sz w:val="24"/>
              </w:rPr>
            </w:pPr>
            <w:r>
              <w:rPr>
                <w:rFonts w:hint="eastAsia" w:ascii="宋体" w:hAnsi="宋体" w:cs="宋体"/>
                <w:sz w:val="24"/>
              </w:rPr>
              <w:t>项目概况：博爱县自然资源局集体土地所有权确权登记成果更新汇交工作服务采购项目的潜在投标人应在焦作市公共资源交易中心网站获</w:t>
            </w:r>
            <w:r>
              <w:rPr>
                <w:rFonts w:hint="eastAsia" w:ascii="宋体" w:hAnsi="宋体" w:cs="宋体"/>
                <w:sz w:val="24"/>
                <w:highlight w:val="none"/>
              </w:rPr>
              <w:t>取采购文件，并</w:t>
            </w:r>
            <w:r>
              <w:rPr>
                <w:rFonts w:hint="eastAsia" w:ascii="宋体" w:hAnsi="宋体" w:cs="宋体"/>
                <w:sz w:val="24"/>
                <w:highlight w:val="none"/>
                <w:u w:val="single"/>
              </w:rPr>
              <w:t>于</w:t>
            </w:r>
            <w:r>
              <w:rPr>
                <w:rFonts w:hint="eastAsia" w:ascii="宋体" w:hAnsi="宋体" w:cs="宋体"/>
                <w:kern w:val="0"/>
                <w:sz w:val="24"/>
                <w:highlight w:val="none"/>
                <w:u w:val="single"/>
              </w:rPr>
              <w:t>202</w:t>
            </w:r>
            <w:r>
              <w:rPr>
                <w:rFonts w:hint="eastAsia" w:ascii="宋体" w:hAnsi="宋体" w:cs="宋体"/>
                <w:kern w:val="0"/>
                <w:sz w:val="24"/>
                <w:highlight w:val="none"/>
                <w:u w:val="single"/>
                <w:lang w:val="en-US" w:eastAsia="zh-CN"/>
              </w:rPr>
              <w:t>3</w:t>
            </w:r>
            <w:r>
              <w:rPr>
                <w:rFonts w:hint="eastAsia" w:ascii="宋体" w:hAnsi="宋体" w:cs="宋体"/>
                <w:kern w:val="0"/>
                <w:sz w:val="24"/>
                <w:highlight w:val="none"/>
                <w:u w:val="single"/>
              </w:rPr>
              <w:t xml:space="preserve">年   </w:t>
            </w:r>
            <w:r>
              <w:rPr>
                <w:rFonts w:hint="eastAsia" w:ascii="宋体" w:hAnsi="宋体" w:cs="宋体"/>
                <w:kern w:val="0"/>
                <w:sz w:val="24"/>
                <w:highlight w:val="none"/>
                <w:u w:val="single"/>
                <w:lang w:val="en-US" w:eastAsia="zh-CN"/>
              </w:rPr>
              <w:t>2</w:t>
            </w:r>
            <w:r>
              <w:rPr>
                <w:rFonts w:hint="eastAsia" w:ascii="宋体" w:hAnsi="宋体" w:cs="宋体"/>
                <w:kern w:val="0"/>
                <w:sz w:val="24"/>
                <w:highlight w:val="none"/>
                <w:u w:val="single"/>
              </w:rPr>
              <w:t>月</w:t>
            </w:r>
            <w:r>
              <w:rPr>
                <w:rFonts w:hint="eastAsia" w:ascii="宋体" w:hAnsi="宋体" w:cs="宋体"/>
                <w:kern w:val="0"/>
                <w:sz w:val="24"/>
                <w:highlight w:val="none"/>
                <w:u w:val="single"/>
                <w:lang w:val="en-US" w:eastAsia="zh-CN"/>
              </w:rPr>
              <w:t>8</w:t>
            </w:r>
            <w:r>
              <w:rPr>
                <w:rFonts w:hint="eastAsia" w:ascii="宋体" w:hAnsi="宋体" w:cs="宋体"/>
                <w:kern w:val="0"/>
                <w:sz w:val="24"/>
                <w:highlight w:val="none"/>
                <w:u w:val="single"/>
              </w:rPr>
              <w:t>日上午</w:t>
            </w:r>
            <w:r>
              <w:rPr>
                <w:rFonts w:hint="eastAsia" w:ascii="宋体" w:hAnsi="宋体" w:cs="宋体"/>
                <w:kern w:val="0"/>
                <w:sz w:val="24"/>
                <w:highlight w:val="none"/>
                <w:u w:val="single"/>
                <w:lang w:val="en-US" w:eastAsia="zh-CN"/>
              </w:rPr>
              <w:t>09</w:t>
            </w:r>
            <w:r>
              <w:rPr>
                <w:rFonts w:hint="eastAsia" w:ascii="宋体" w:hAnsi="宋体" w:cs="宋体"/>
                <w:kern w:val="0"/>
                <w:sz w:val="24"/>
                <w:highlight w:val="none"/>
                <w:u w:val="single"/>
              </w:rPr>
              <w:t xml:space="preserve"> 时</w:t>
            </w:r>
            <w:r>
              <w:rPr>
                <w:rFonts w:hint="eastAsia" w:ascii="宋体" w:hAnsi="宋体" w:cs="宋体"/>
                <w:kern w:val="0"/>
                <w:sz w:val="24"/>
                <w:highlight w:val="none"/>
                <w:u w:val="single"/>
                <w:lang w:val="en-US" w:eastAsia="zh-CN"/>
              </w:rPr>
              <w:t>00</w:t>
            </w:r>
            <w:r>
              <w:rPr>
                <w:rFonts w:hint="eastAsia" w:ascii="宋体" w:hAnsi="宋体" w:cs="宋体"/>
                <w:kern w:val="0"/>
                <w:sz w:val="24"/>
                <w:highlight w:val="none"/>
                <w:u w:val="single"/>
              </w:rPr>
              <w:t>分</w:t>
            </w:r>
            <w:r>
              <w:rPr>
                <w:rFonts w:hint="eastAsia" w:ascii="宋体" w:hAnsi="宋体" w:cs="宋体"/>
                <w:sz w:val="24"/>
                <w:highlight w:val="none"/>
                <w:u w:val="single"/>
              </w:rPr>
              <w:t>（北京时间）</w:t>
            </w:r>
            <w:r>
              <w:rPr>
                <w:rFonts w:hint="eastAsia" w:ascii="宋体" w:hAnsi="宋体" w:cs="宋体"/>
                <w:sz w:val="24"/>
                <w:highlight w:val="none"/>
              </w:rPr>
              <w:t>前提交投标文件。</w:t>
            </w:r>
          </w:p>
        </w:tc>
      </w:tr>
    </w:tbl>
    <w:p>
      <w:pPr>
        <w:pStyle w:val="44"/>
        <w:spacing w:line="440" w:lineRule="exact"/>
        <w:ind w:left="0" w:firstLine="0"/>
        <w:rPr>
          <w:b/>
          <w:bCs/>
          <w:sz w:val="24"/>
          <w:lang w:eastAsia="zh-CN"/>
        </w:rPr>
      </w:pPr>
      <w:r>
        <w:rPr>
          <w:rFonts w:hint="eastAsia"/>
          <w:b/>
          <w:bCs/>
          <w:sz w:val="24"/>
          <w:lang w:eastAsia="zh-CN"/>
        </w:rPr>
        <w:t>一、项目基本情况</w:t>
      </w:r>
    </w:p>
    <w:p>
      <w:pPr>
        <w:pStyle w:val="44"/>
        <w:spacing w:line="440" w:lineRule="exact"/>
        <w:ind w:left="0" w:firstLine="480" w:firstLineChars="200"/>
        <w:rPr>
          <w:sz w:val="24"/>
          <w:lang w:eastAsia="zh-CN"/>
        </w:rPr>
      </w:pPr>
      <w:r>
        <w:rPr>
          <w:rFonts w:hint="eastAsia"/>
          <w:sz w:val="24"/>
          <w:lang w:eastAsia="zh-CN"/>
        </w:rPr>
        <w:t>采购编号：博政采购〔2022〕124号</w:t>
      </w:r>
      <w:bookmarkStart w:id="329" w:name="_GoBack"/>
      <w:bookmarkEnd w:id="329"/>
    </w:p>
    <w:p>
      <w:pPr>
        <w:pStyle w:val="44"/>
        <w:spacing w:line="440" w:lineRule="exact"/>
        <w:ind w:left="0" w:firstLine="480" w:firstLineChars="200"/>
        <w:rPr>
          <w:sz w:val="24"/>
          <w:lang w:eastAsia="zh-CN"/>
        </w:rPr>
      </w:pPr>
      <w:r>
        <w:rPr>
          <w:rFonts w:hint="eastAsia"/>
          <w:sz w:val="24"/>
          <w:lang w:eastAsia="zh-CN"/>
        </w:rPr>
        <w:t>项目名称：博爱县自然资源局集体土地所有权确权登记成果更新汇交工作采购项目</w:t>
      </w:r>
    </w:p>
    <w:p>
      <w:pPr>
        <w:pStyle w:val="44"/>
        <w:spacing w:line="440" w:lineRule="exact"/>
        <w:ind w:left="0" w:firstLine="480" w:firstLineChars="200"/>
        <w:rPr>
          <w:sz w:val="24"/>
          <w:lang w:eastAsia="zh-CN"/>
        </w:rPr>
      </w:pPr>
      <w:r>
        <w:rPr>
          <w:rFonts w:hint="eastAsia"/>
          <w:sz w:val="24"/>
          <w:lang w:eastAsia="zh-CN"/>
        </w:rPr>
        <w:t>采购方式：公开招标</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预算金额：2980000.00元。</w:t>
      </w:r>
    </w:p>
    <w:p>
      <w:pPr>
        <w:spacing w:line="560" w:lineRule="exact"/>
        <w:ind w:firstLine="480" w:firstLineChars="200"/>
        <w:rPr>
          <w:rFonts w:hint="eastAsia" w:ascii="宋体" w:hAnsi="宋体" w:eastAsia="宋体" w:cs="宋体"/>
          <w:kern w:val="0"/>
          <w:sz w:val="24"/>
          <w:lang w:eastAsia="zh-CN"/>
        </w:rPr>
      </w:pPr>
      <w:r>
        <w:rPr>
          <w:rFonts w:hint="eastAsia" w:ascii="宋体" w:hAnsi="宋体" w:cs="宋体"/>
          <w:kern w:val="0"/>
          <w:sz w:val="24"/>
          <w:lang w:eastAsia="zh-CN"/>
        </w:rPr>
        <w:t>资金来源：本级财政资金</w:t>
      </w:r>
    </w:p>
    <w:p>
      <w:pPr>
        <w:spacing w:line="560" w:lineRule="exact"/>
        <w:ind w:firstLine="480" w:firstLineChars="200"/>
        <w:rPr>
          <w:rFonts w:hint="eastAsia" w:ascii="宋体" w:hAnsi="宋体" w:cs="宋体"/>
          <w:kern w:val="0"/>
          <w:sz w:val="24"/>
          <w:lang w:eastAsia="zh-CN"/>
        </w:rPr>
      </w:pPr>
      <w:r>
        <w:rPr>
          <w:rFonts w:hint="eastAsia" w:ascii="宋体" w:hAnsi="宋体" w:cs="宋体"/>
          <w:kern w:val="0"/>
          <w:sz w:val="24"/>
        </w:rPr>
        <w:t>采购内容：</w:t>
      </w:r>
      <w:r>
        <w:rPr>
          <w:rFonts w:hint="eastAsia" w:ascii="宋体" w:hAnsi="宋体" w:cs="宋体"/>
          <w:kern w:val="0"/>
          <w:sz w:val="24"/>
          <w:lang w:eastAsia="zh-CN"/>
        </w:rPr>
        <w:t>完成全县范围内的集体土地测绘、核实、调查；完成原有集体土地所有权确权登记成果全面更新；建立集体土地所有权数据库，并纳入不动产登记数据平台；将整合后数通过质检并按要求汇交，集中办理相应的登记业务，保证成果的准确性与现实性。协助将成果应用于土地征收、土地开发利用、执法督查、提升土地管理水平、促进农业农村发展、维护农村土地利益、集体经营性建设用地入市等有关方面（具体要求详见招标文件）。所有技术成果符合自然资源部《关于加快集体土地所有权确权登记成果更新汇交的通知》（自然资发〔2022〕19号）、河南省自然资源厅《关于印发&lt;河南省集体土地所有权确权登记成果更新汇交工作方案&gt;的通知》（豫自然资办发〔2022〕7号）等相关文件及相关行业标准要求。</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lang w:eastAsia="zh-CN"/>
        </w:rPr>
        <w:t>服务期</w:t>
      </w:r>
      <w:r>
        <w:rPr>
          <w:rFonts w:hint="eastAsia" w:ascii="宋体" w:hAnsi="宋体" w:cs="宋体"/>
          <w:kern w:val="0"/>
          <w:sz w:val="24"/>
        </w:rPr>
        <w:t>：150</w:t>
      </w:r>
      <w:r>
        <w:rPr>
          <w:rFonts w:hint="eastAsia" w:ascii="宋体" w:hAnsi="宋体" w:cs="宋体"/>
          <w:kern w:val="0"/>
          <w:sz w:val="24"/>
          <w:lang w:eastAsia="zh-CN"/>
        </w:rPr>
        <w:t>日历</w:t>
      </w:r>
      <w:r>
        <w:rPr>
          <w:rFonts w:hint="eastAsia" w:ascii="宋体" w:hAnsi="宋体" w:cs="宋体"/>
          <w:kern w:val="0"/>
          <w:sz w:val="24"/>
        </w:rPr>
        <w:t>天</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质量标准：合格，符合国家及行业规范标准。</w:t>
      </w:r>
    </w:p>
    <w:p>
      <w:pPr>
        <w:adjustRightInd w:val="0"/>
        <w:snapToGrid w:val="0"/>
        <w:spacing w:line="440" w:lineRule="exact"/>
        <w:rPr>
          <w:rFonts w:ascii="宋体" w:hAnsi="宋体" w:cs="宋体"/>
          <w:kern w:val="0"/>
          <w:sz w:val="24"/>
        </w:rPr>
      </w:pPr>
      <w:r>
        <w:rPr>
          <w:rFonts w:hint="eastAsia" w:ascii="宋体" w:hAnsi="宋体" w:cs="宋体"/>
          <w:b/>
          <w:bCs/>
          <w:kern w:val="0"/>
          <w:sz w:val="24"/>
        </w:rPr>
        <w:t>二、申请人资格要求：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1、符合《中华人民共和国政府采购法》第二十二条之规定；</w:t>
      </w:r>
    </w:p>
    <w:p>
      <w:pPr>
        <w:pStyle w:val="20"/>
        <w:spacing w:before="0" w:beforeAutospacing="0" w:after="0" w:afterAutospacing="0" w:line="435" w:lineRule="atLeast"/>
        <w:ind w:firstLine="480"/>
        <w:rPr>
          <w:highlight w:val="yellow"/>
          <w:shd w:val="clear" w:color="auto" w:fill="FFFFFF"/>
        </w:rPr>
      </w:pPr>
      <w:r>
        <w:rPr>
          <w:rFonts w:hint="eastAsia"/>
          <w:shd w:val="clear" w:color="auto" w:fill="FFFFFF"/>
        </w:rPr>
        <w:t>2、落实政府采购政策需满足的资格要求：</w:t>
      </w:r>
      <w:r>
        <w:rPr>
          <w:rFonts w:hint="eastAsia"/>
        </w:rPr>
        <w:t>促进政府强制采购节能产品及环境标志产品优先采购，且该项目全部预留面向中小企业采购，需要提供中小企业声明函；</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3、本项目的特定资格要求：</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3.1投标人须具有有效的营业执照，并具有实施完成本项目的经营实力和完善的售后服务体系；</w:t>
      </w:r>
    </w:p>
    <w:p>
      <w:pPr>
        <w:widowControl/>
        <w:spacing w:line="440" w:lineRule="exact"/>
        <w:ind w:firstLine="480" w:firstLineChars="200"/>
        <w:jc w:val="left"/>
        <w:rPr>
          <w:rFonts w:hint="eastAsia" w:ascii="宋体" w:hAnsi="宋体" w:cs="宋体"/>
          <w:sz w:val="24"/>
          <w:highlight w:val="none"/>
          <w:shd w:val="clear" w:color="auto" w:fill="FFFFFF"/>
        </w:rPr>
      </w:pPr>
      <w:r>
        <w:rPr>
          <w:rFonts w:hint="eastAsia" w:ascii="宋体" w:hAnsi="宋体" w:cs="宋体"/>
          <w:sz w:val="24"/>
          <w:shd w:val="clear" w:color="auto" w:fill="FFFFFF"/>
        </w:rPr>
        <w:t>3.</w:t>
      </w:r>
      <w:r>
        <w:rPr>
          <w:rFonts w:hint="eastAsia" w:ascii="宋体" w:hAnsi="宋体" w:cs="宋体"/>
          <w:sz w:val="24"/>
          <w:shd w:val="clear" w:color="auto" w:fill="FFFFFF"/>
          <w:lang w:val="en-US" w:eastAsia="zh-CN"/>
        </w:rPr>
        <w:t>2</w:t>
      </w:r>
      <w:r>
        <w:rPr>
          <w:rFonts w:hint="eastAsia" w:ascii="宋体" w:hAnsi="宋体" w:cs="宋体"/>
          <w:sz w:val="24"/>
          <w:shd w:val="clear" w:color="auto" w:fill="FFFFFF"/>
        </w:rPr>
        <w:t>投标人须具有自然资源部门颁发的乙级或以上测绘资质证书，专业包括地理信息系统工程、界线与不动产测绘; 拟派项目负责人具有测绘相关专业中级及以上职称或注册测绘师资</w:t>
      </w:r>
      <w:r>
        <w:rPr>
          <w:rFonts w:hint="eastAsia" w:ascii="宋体" w:hAnsi="宋体" w:cs="宋体"/>
          <w:sz w:val="24"/>
          <w:highlight w:val="none"/>
          <w:shd w:val="clear" w:color="auto" w:fill="FFFFFF"/>
        </w:rPr>
        <w:t>格，（</w:t>
      </w:r>
      <w:r>
        <w:rPr>
          <w:rFonts w:hint="eastAsia" w:ascii="宋体" w:hAnsi="宋体" w:cs="宋体"/>
          <w:color w:val="auto"/>
          <w:sz w:val="24"/>
          <w:highlight w:val="none"/>
          <w:shd w:val="clear" w:color="auto" w:fill="FFFFFF"/>
        </w:rPr>
        <w:t>项目负责人应为本单位员工并提供近6个月连续在本单位缴纳社保证明，个人缴纳社保名称须与投标单位名称一致，否则不予认可</w:t>
      </w:r>
      <w:r>
        <w:rPr>
          <w:rFonts w:hint="eastAsia" w:ascii="宋体" w:hAnsi="宋体" w:cs="宋体"/>
          <w:sz w:val="24"/>
          <w:highlight w:val="none"/>
          <w:shd w:val="clear" w:color="auto" w:fill="FFFFFF"/>
          <w:lang w:eastAsia="zh-CN"/>
        </w:rPr>
        <w:t>）</w:t>
      </w:r>
      <w:r>
        <w:rPr>
          <w:rFonts w:hint="eastAsia" w:ascii="宋体" w:hAnsi="宋体" w:cs="宋体"/>
          <w:sz w:val="24"/>
          <w:highlight w:val="none"/>
          <w:shd w:val="clear" w:color="auto" w:fill="FFFFFF"/>
        </w:rPr>
        <w:t>。</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w:t>
      </w:r>
      <w:r>
        <w:rPr>
          <w:rFonts w:hint="eastAsia" w:ascii="宋体" w:hAnsi="宋体" w:cs="宋体"/>
          <w:sz w:val="24"/>
          <w:shd w:val="clear" w:color="auto" w:fill="FFFFFF"/>
          <w:lang w:val="en-US" w:eastAsia="zh-CN"/>
        </w:rPr>
        <w:t>3</w:t>
      </w:r>
      <w:r>
        <w:rPr>
          <w:rFonts w:hint="eastAsia" w:ascii="宋体" w:hAnsi="宋体" w:cs="宋体"/>
          <w:sz w:val="24"/>
          <w:shd w:val="clear" w:color="auto" w:fill="FFFFFF"/>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 </w:t>
      </w:r>
    </w:p>
    <w:p>
      <w:pPr>
        <w:widowControl/>
        <w:spacing w:line="440" w:lineRule="exact"/>
        <w:ind w:firstLine="480" w:firstLineChars="200"/>
        <w:jc w:val="left"/>
        <w:rPr>
          <w:rFonts w:ascii="宋体" w:hAnsi="宋体" w:cs="宋体"/>
          <w:sz w:val="24"/>
          <w:shd w:val="clear" w:color="auto" w:fill="FFFFFF"/>
        </w:rPr>
      </w:pPr>
      <w:r>
        <w:rPr>
          <w:rFonts w:hint="eastAsia" w:ascii="宋体" w:hAnsi="宋体" w:cs="宋体"/>
          <w:sz w:val="24"/>
          <w:shd w:val="clear" w:color="auto" w:fill="FFFFFF"/>
        </w:rPr>
        <w:t>3.4本项目不接受联合体投标；</w:t>
      </w:r>
    </w:p>
    <w:p>
      <w:pPr>
        <w:widowControl/>
        <w:spacing w:line="440" w:lineRule="exact"/>
        <w:ind w:firstLine="480" w:firstLineChars="200"/>
        <w:jc w:val="left"/>
        <w:rPr>
          <w:rFonts w:ascii="宋体" w:hAnsi="宋体" w:cs="宋体"/>
          <w:sz w:val="24"/>
          <w:highlight w:val="none"/>
          <w:shd w:val="clear" w:color="auto" w:fill="FFFFFF"/>
        </w:rPr>
      </w:pPr>
      <w:r>
        <w:rPr>
          <w:rFonts w:hint="eastAsia" w:ascii="宋体" w:hAnsi="宋体" w:cs="宋体"/>
          <w:sz w:val="24"/>
          <w:shd w:val="clear" w:color="auto" w:fill="FFFFFF"/>
        </w:rPr>
        <w:t>3.5资格审查方</w:t>
      </w:r>
      <w:r>
        <w:rPr>
          <w:rFonts w:hint="eastAsia" w:ascii="宋体" w:hAnsi="宋体" w:cs="宋体"/>
          <w:sz w:val="24"/>
          <w:highlight w:val="none"/>
          <w:shd w:val="clear" w:color="auto" w:fill="FFFFFF"/>
        </w:rPr>
        <w:t>式：资格后审。</w:t>
      </w:r>
    </w:p>
    <w:p>
      <w:pPr>
        <w:widowControl/>
        <w:spacing w:line="440" w:lineRule="exact"/>
        <w:jc w:val="left"/>
        <w:rPr>
          <w:rFonts w:ascii="宋体" w:hAnsi="宋体" w:cs="宋体"/>
          <w:b/>
          <w:bCs/>
          <w:kern w:val="0"/>
          <w:sz w:val="24"/>
          <w:highlight w:val="none"/>
        </w:rPr>
      </w:pPr>
      <w:r>
        <w:rPr>
          <w:rFonts w:hint="eastAsia" w:ascii="宋体" w:hAnsi="宋体" w:cs="宋体"/>
          <w:b/>
          <w:bCs/>
          <w:kern w:val="0"/>
          <w:sz w:val="24"/>
          <w:highlight w:val="none"/>
        </w:rPr>
        <w:t>三、获取采购文件</w:t>
      </w:r>
    </w:p>
    <w:p>
      <w:pPr>
        <w:pStyle w:val="20"/>
        <w:shd w:val="clear" w:color="auto" w:fill="FFFFFF"/>
        <w:autoSpaceDE w:val="0"/>
        <w:spacing w:before="0" w:beforeAutospacing="0" w:after="0" w:afterAutospacing="0" w:line="440" w:lineRule="atLeast"/>
        <w:ind w:firstLine="480" w:firstLineChars="200"/>
        <w:rPr>
          <w:highlight w:val="none"/>
        </w:rPr>
      </w:pPr>
      <w:r>
        <w:rPr>
          <w:rFonts w:hint="eastAsia"/>
          <w:highlight w:val="none"/>
        </w:rPr>
        <w:t>1.时间：</w:t>
      </w:r>
      <w:r>
        <w:rPr>
          <w:rFonts w:hint="eastAsia"/>
          <w:highlight w:val="none"/>
          <w:u w:val="single"/>
        </w:rPr>
        <w:t>2022年</w:t>
      </w:r>
      <w:r>
        <w:rPr>
          <w:rFonts w:hint="eastAsia"/>
          <w:highlight w:val="none"/>
          <w:u w:val="single"/>
          <w:lang w:val="en-US" w:eastAsia="zh-CN"/>
        </w:rPr>
        <w:t>12</w:t>
      </w:r>
      <w:r>
        <w:rPr>
          <w:rFonts w:hint="eastAsia"/>
          <w:highlight w:val="none"/>
          <w:u w:val="single"/>
        </w:rPr>
        <w:t>月</w:t>
      </w:r>
      <w:r>
        <w:rPr>
          <w:rFonts w:hint="eastAsia"/>
          <w:highlight w:val="none"/>
          <w:u w:val="single"/>
          <w:lang w:val="en-US" w:eastAsia="zh-CN"/>
        </w:rPr>
        <w:t>19</w:t>
      </w:r>
      <w:r>
        <w:rPr>
          <w:rFonts w:hint="eastAsia"/>
          <w:highlight w:val="none"/>
          <w:u w:val="single"/>
        </w:rPr>
        <w:t>日至2022年</w:t>
      </w:r>
      <w:r>
        <w:rPr>
          <w:rFonts w:hint="eastAsia"/>
          <w:highlight w:val="none"/>
          <w:u w:val="single"/>
          <w:lang w:val="en-US" w:eastAsia="zh-CN"/>
        </w:rPr>
        <w:t>12</w:t>
      </w:r>
      <w:r>
        <w:rPr>
          <w:rFonts w:hint="eastAsia"/>
          <w:highlight w:val="none"/>
          <w:u w:val="single"/>
        </w:rPr>
        <w:t>月</w:t>
      </w:r>
      <w:r>
        <w:rPr>
          <w:rFonts w:hint="eastAsia"/>
          <w:highlight w:val="none"/>
          <w:u w:val="single"/>
          <w:lang w:val="en-US" w:eastAsia="zh-CN"/>
        </w:rPr>
        <w:t>23</w:t>
      </w:r>
      <w:r>
        <w:rPr>
          <w:rFonts w:hint="eastAsia"/>
          <w:highlight w:val="none"/>
          <w:u w:val="single"/>
        </w:rPr>
        <w:t>日（北</w:t>
      </w:r>
      <w:r>
        <w:rPr>
          <w:rFonts w:hint="eastAsia"/>
          <w:highlight w:val="none"/>
        </w:rPr>
        <w:t>京时间）；</w:t>
      </w:r>
      <w:r>
        <w:rPr>
          <w:rFonts w:hint="eastAsia"/>
          <w:highlight w:val="none"/>
        </w:rPr>
        <w:br w:type="textWrapping"/>
      </w:r>
      <w:r>
        <w:rPr>
          <w:rFonts w:hint="eastAsia"/>
          <w:highlight w:val="none"/>
        </w:rPr>
        <w:t>  2.地点：</w:t>
      </w:r>
      <w:r>
        <w:rPr>
          <w:rFonts w:hint="eastAsia"/>
          <w:highlight w:val="none"/>
          <w:shd w:val="clear" w:color="auto" w:fill="FFFFFF"/>
        </w:rPr>
        <w:t>凡有意参加投标者，请登陆焦作市公共资源交易中心网站会员系统进行网上下载。（联系电话：0391-3568920，QQ：232850725、361532918（群）；</w:t>
      </w:r>
    </w:p>
    <w:p>
      <w:pPr>
        <w:pStyle w:val="20"/>
        <w:shd w:val="clear" w:color="auto" w:fill="FFFFFF"/>
        <w:autoSpaceDE w:val="0"/>
        <w:spacing w:before="0" w:beforeAutospacing="0" w:after="0" w:afterAutospacing="0" w:line="440" w:lineRule="atLeast"/>
        <w:rPr>
          <w:highlight w:val="none"/>
        </w:rPr>
      </w:pPr>
      <w:r>
        <w:rPr>
          <w:rFonts w:hint="eastAsia"/>
          <w:highlight w:val="none"/>
        </w:rPr>
        <w:t>  3.方式：网上下载；</w:t>
      </w:r>
    </w:p>
    <w:p>
      <w:pPr>
        <w:adjustRightInd w:val="0"/>
        <w:snapToGrid w:val="0"/>
        <w:spacing w:line="440" w:lineRule="exact"/>
        <w:rPr>
          <w:rFonts w:ascii="宋体" w:hAnsi="宋体" w:cs="宋体"/>
          <w:b/>
          <w:kern w:val="0"/>
          <w:sz w:val="24"/>
          <w:highlight w:val="none"/>
        </w:rPr>
      </w:pPr>
      <w:r>
        <w:rPr>
          <w:rFonts w:hint="eastAsia" w:ascii="宋体" w:hAnsi="宋体" w:cs="宋体"/>
          <w:b/>
          <w:kern w:val="0"/>
          <w:sz w:val="24"/>
          <w:highlight w:val="none"/>
        </w:rPr>
        <w:t>四、投标文件提交</w:t>
      </w:r>
    </w:p>
    <w:p>
      <w:pPr>
        <w:adjustRightInd w:val="0"/>
        <w:snapToGrid w:val="0"/>
        <w:spacing w:line="440" w:lineRule="exact"/>
        <w:ind w:firstLine="480" w:firstLineChars="200"/>
        <w:rPr>
          <w:rFonts w:ascii="宋体" w:hAnsi="宋体" w:cs="宋体"/>
          <w:kern w:val="0"/>
          <w:sz w:val="24"/>
          <w:highlight w:val="none"/>
        </w:rPr>
      </w:pPr>
      <w:r>
        <w:rPr>
          <w:rFonts w:hint="eastAsia" w:ascii="宋体" w:hAnsi="宋体" w:cs="宋体"/>
          <w:kern w:val="0"/>
          <w:sz w:val="24"/>
          <w:highlight w:val="none"/>
        </w:rPr>
        <w:t>1.截止时间：</w:t>
      </w:r>
      <w:r>
        <w:rPr>
          <w:rFonts w:hint="eastAsia" w:ascii="宋体" w:hAnsi="宋体" w:cs="宋体"/>
          <w:kern w:val="0"/>
          <w:sz w:val="24"/>
          <w:highlight w:val="none"/>
          <w:u w:val="single"/>
        </w:rPr>
        <w:t>202</w:t>
      </w:r>
      <w:r>
        <w:rPr>
          <w:rFonts w:hint="eastAsia" w:ascii="宋体" w:hAnsi="宋体" w:cs="宋体"/>
          <w:kern w:val="0"/>
          <w:sz w:val="24"/>
          <w:highlight w:val="none"/>
          <w:u w:val="single"/>
          <w:lang w:val="en-US" w:eastAsia="zh-CN"/>
        </w:rPr>
        <w:t>3</w:t>
      </w:r>
      <w:r>
        <w:rPr>
          <w:rFonts w:hint="eastAsia" w:ascii="宋体" w:hAnsi="宋体" w:cs="宋体"/>
          <w:kern w:val="0"/>
          <w:sz w:val="24"/>
          <w:highlight w:val="none"/>
          <w:u w:val="single"/>
        </w:rPr>
        <w:t>年</w:t>
      </w:r>
      <w:r>
        <w:rPr>
          <w:rFonts w:hint="eastAsia" w:ascii="宋体" w:hAnsi="宋体" w:cs="宋体"/>
          <w:kern w:val="0"/>
          <w:sz w:val="24"/>
          <w:highlight w:val="none"/>
          <w:u w:val="single"/>
          <w:lang w:val="en-US" w:eastAsia="zh-CN"/>
        </w:rPr>
        <w:t>1</w:t>
      </w:r>
      <w:r>
        <w:rPr>
          <w:rFonts w:hint="eastAsia" w:ascii="宋体" w:hAnsi="宋体" w:cs="宋体"/>
          <w:kern w:val="0"/>
          <w:sz w:val="24"/>
          <w:highlight w:val="none"/>
          <w:u w:val="single"/>
        </w:rPr>
        <w:t>月</w:t>
      </w:r>
      <w:r>
        <w:rPr>
          <w:rFonts w:hint="eastAsia" w:ascii="宋体" w:hAnsi="宋体" w:cs="宋体"/>
          <w:kern w:val="0"/>
          <w:sz w:val="24"/>
          <w:highlight w:val="none"/>
          <w:u w:val="single"/>
          <w:lang w:val="en-US" w:eastAsia="zh-CN"/>
        </w:rPr>
        <w:t>30</w:t>
      </w:r>
      <w:r>
        <w:rPr>
          <w:rFonts w:hint="eastAsia" w:ascii="宋体" w:hAnsi="宋体" w:cs="宋体"/>
          <w:kern w:val="0"/>
          <w:sz w:val="24"/>
          <w:highlight w:val="none"/>
          <w:u w:val="single"/>
        </w:rPr>
        <w:t>日上午</w:t>
      </w:r>
      <w:r>
        <w:rPr>
          <w:rFonts w:hint="eastAsia" w:ascii="宋体" w:hAnsi="宋体" w:cs="宋体"/>
          <w:kern w:val="0"/>
          <w:sz w:val="24"/>
          <w:highlight w:val="none"/>
          <w:u w:val="single"/>
          <w:lang w:val="en-US" w:eastAsia="zh-CN"/>
        </w:rPr>
        <w:t>09</w:t>
      </w:r>
      <w:r>
        <w:rPr>
          <w:rFonts w:hint="eastAsia" w:ascii="宋体" w:hAnsi="宋体" w:cs="宋体"/>
          <w:kern w:val="0"/>
          <w:sz w:val="24"/>
          <w:highlight w:val="none"/>
          <w:u w:val="single"/>
        </w:rPr>
        <w:t>时</w:t>
      </w:r>
      <w:r>
        <w:rPr>
          <w:rFonts w:hint="eastAsia" w:ascii="宋体" w:hAnsi="宋体" w:cs="宋体"/>
          <w:kern w:val="0"/>
          <w:sz w:val="24"/>
          <w:highlight w:val="none"/>
          <w:u w:val="single"/>
          <w:lang w:val="en-US" w:eastAsia="zh-CN"/>
        </w:rPr>
        <w:t>00</w:t>
      </w:r>
      <w:r>
        <w:rPr>
          <w:rFonts w:hint="eastAsia" w:ascii="宋体" w:hAnsi="宋体" w:cs="宋体"/>
          <w:kern w:val="0"/>
          <w:sz w:val="24"/>
          <w:highlight w:val="none"/>
          <w:u w:val="single"/>
        </w:rPr>
        <w:t>分（北京时间）；</w:t>
      </w:r>
    </w:p>
    <w:p>
      <w:pPr>
        <w:adjustRightInd w:val="0"/>
        <w:snapToGrid w:val="0"/>
        <w:spacing w:line="440" w:lineRule="exact"/>
        <w:ind w:firstLine="480" w:firstLineChars="200"/>
        <w:rPr>
          <w:rFonts w:ascii="宋体" w:hAnsi="宋体" w:cs="宋体"/>
          <w:kern w:val="0"/>
          <w:sz w:val="24"/>
          <w:highlight w:val="none"/>
        </w:rPr>
      </w:pPr>
      <w:r>
        <w:rPr>
          <w:rFonts w:hint="eastAsia" w:ascii="宋体" w:hAnsi="宋体" w:cs="宋体"/>
          <w:kern w:val="0"/>
          <w:sz w:val="24"/>
          <w:highlight w:val="none"/>
        </w:rPr>
        <w:t>2.地点：博爱县公共资源交易中心二楼不见面开标二室；</w:t>
      </w:r>
    </w:p>
    <w:p>
      <w:pPr>
        <w:adjustRightInd w:val="0"/>
        <w:snapToGrid w:val="0"/>
        <w:spacing w:line="440" w:lineRule="exact"/>
        <w:rPr>
          <w:rFonts w:ascii="宋体" w:hAnsi="宋体" w:cs="宋体"/>
          <w:b/>
          <w:kern w:val="0"/>
          <w:sz w:val="24"/>
          <w:highlight w:val="none"/>
        </w:rPr>
      </w:pPr>
      <w:r>
        <w:rPr>
          <w:rFonts w:hint="eastAsia" w:ascii="宋体" w:hAnsi="宋体" w:cs="宋体"/>
          <w:b/>
          <w:kern w:val="0"/>
          <w:sz w:val="24"/>
          <w:highlight w:val="none"/>
        </w:rPr>
        <w:t>五、开启</w:t>
      </w:r>
    </w:p>
    <w:p>
      <w:pPr>
        <w:adjustRightInd w:val="0"/>
        <w:snapToGrid w:val="0"/>
        <w:spacing w:line="440" w:lineRule="exact"/>
        <w:ind w:firstLine="480" w:firstLineChars="200"/>
        <w:rPr>
          <w:rFonts w:ascii="宋体" w:hAnsi="宋体" w:cs="宋体"/>
          <w:kern w:val="0"/>
          <w:sz w:val="24"/>
          <w:highlight w:val="none"/>
        </w:rPr>
      </w:pPr>
      <w:r>
        <w:rPr>
          <w:rFonts w:hint="eastAsia" w:ascii="宋体" w:hAnsi="宋体" w:cs="宋体"/>
          <w:kern w:val="0"/>
          <w:sz w:val="24"/>
          <w:highlight w:val="none"/>
        </w:rPr>
        <w:t>1.时间：</w:t>
      </w:r>
      <w:r>
        <w:rPr>
          <w:rFonts w:hint="eastAsia" w:ascii="宋体" w:hAnsi="宋体" w:cs="宋体"/>
          <w:kern w:val="0"/>
          <w:sz w:val="24"/>
          <w:highlight w:val="none"/>
          <w:u w:val="single"/>
        </w:rPr>
        <w:t>202</w:t>
      </w:r>
      <w:r>
        <w:rPr>
          <w:rFonts w:hint="eastAsia" w:ascii="宋体" w:hAnsi="宋体" w:cs="宋体"/>
          <w:kern w:val="0"/>
          <w:sz w:val="24"/>
          <w:highlight w:val="none"/>
          <w:u w:val="single"/>
          <w:lang w:val="en-US" w:eastAsia="zh-CN"/>
        </w:rPr>
        <w:t>3</w:t>
      </w:r>
      <w:r>
        <w:rPr>
          <w:rFonts w:hint="eastAsia" w:ascii="宋体" w:hAnsi="宋体" w:cs="宋体"/>
          <w:kern w:val="0"/>
          <w:sz w:val="24"/>
          <w:highlight w:val="none"/>
          <w:u w:val="single"/>
        </w:rPr>
        <w:t>年</w:t>
      </w:r>
      <w:r>
        <w:rPr>
          <w:rFonts w:hint="eastAsia" w:ascii="宋体" w:hAnsi="宋体" w:cs="宋体"/>
          <w:kern w:val="0"/>
          <w:sz w:val="24"/>
          <w:highlight w:val="none"/>
          <w:u w:val="single"/>
          <w:lang w:val="en-US" w:eastAsia="zh-CN"/>
        </w:rPr>
        <w:t>2</w:t>
      </w:r>
      <w:r>
        <w:rPr>
          <w:rFonts w:hint="eastAsia" w:ascii="宋体" w:hAnsi="宋体" w:cs="宋体"/>
          <w:kern w:val="0"/>
          <w:sz w:val="24"/>
          <w:highlight w:val="none"/>
          <w:u w:val="single"/>
        </w:rPr>
        <w:t>月</w:t>
      </w:r>
      <w:r>
        <w:rPr>
          <w:rFonts w:hint="eastAsia" w:ascii="宋体" w:hAnsi="宋体" w:cs="宋体"/>
          <w:kern w:val="0"/>
          <w:sz w:val="24"/>
          <w:highlight w:val="none"/>
          <w:u w:val="single"/>
          <w:lang w:val="en-US" w:eastAsia="zh-CN"/>
        </w:rPr>
        <w:t>8</w:t>
      </w:r>
      <w:r>
        <w:rPr>
          <w:rFonts w:hint="eastAsia" w:ascii="宋体" w:hAnsi="宋体" w:cs="宋体"/>
          <w:kern w:val="0"/>
          <w:sz w:val="24"/>
          <w:highlight w:val="none"/>
          <w:u w:val="single"/>
        </w:rPr>
        <w:t>日上午</w:t>
      </w:r>
      <w:r>
        <w:rPr>
          <w:rFonts w:hint="eastAsia" w:ascii="宋体" w:hAnsi="宋体" w:cs="宋体"/>
          <w:kern w:val="0"/>
          <w:sz w:val="24"/>
          <w:highlight w:val="none"/>
          <w:u w:val="single"/>
          <w:lang w:val="en-US" w:eastAsia="zh-CN"/>
        </w:rPr>
        <w:t>09</w:t>
      </w:r>
      <w:r>
        <w:rPr>
          <w:rFonts w:hint="eastAsia" w:ascii="宋体" w:hAnsi="宋体" w:cs="宋体"/>
          <w:kern w:val="0"/>
          <w:sz w:val="24"/>
          <w:highlight w:val="none"/>
          <w:u w:val="single"/>
        </w:rPr>
        <w:t>时</w:t>
      </w:r>
      <w:r>
        <w:rPr>
          <w:rFonts w:hint="eastAsia" w:ascii="宋体" w:hAnsi="宋体" w:cs="宋体"/>
          <w:kern w:val="0"/>
          <w:sz w:val="24"/>
          <w:highlight w:val="none"/>
          <w:u w:val="single"/>
          <w:lang w:val="en-US" w:eastAsia="zh-CN"/>
        </w:rPr>
        <w:t>00</w:t>
      </w:r>
      <w:r>
        <w:rPr>
          <w:rFonts w:hint="eastAsia" w:ascii="宋体" w:hAnsi="宋体" w:cs="宋体"/>
          <w:kern w:val="0"/>
          <w:sz w:val="24"/>
          <w:highlight w:val="none"/>
          <w:u w:val="single"/>
        </w:rPr>
        <w:t xml:space="preserve"> 分（北京时间</w:t>
      </w:r>
      <w:r>
        <w:rPr>
          <w:rFonts w:hint="eastAsia" w:ascii="宋体" w:hAnsi="宋体" w:cs="宋体"/>
          <w:kern w:val="0"/>
          <w:sz w:val="24"/>
          <w:highlight w:val="none"/>
        </w:rPr>
        <w:t>）；</w:t>
      </w:r>
    </w:p>
    <w:p>
      <w:pPr>
        <w:adjustRightInd w:val="0"/>
        <w:snapToGrid w:val="0"/>
        <w:spacing w:line="440" w:lineRule="exact"/>
        <w:ind w:firstLine="480" w:firstLineChars="200"/>
        <w:rPr>
          <w:rFonts w:ascii="宋体" w:hAnsi="宋体" w:cs="宋体"/>
          <w:kern w:val="0"/>
          <w:sz w:val="24"/>
        </w:rPr>
      </w:pPr>
      <w:r>
        <w:rPr>
          <w:rFonts w:hint="eastAsia" w:ascii="宋体" w:hAnsi="宋体" w:cs="宋体"/>
          <w:kern w:val="0"/>
          <w:sz w:val="24"/>
        </w:rPr>
        <w:t>2.地点：博爱县公共资源交易中心二楼不见面开标二室；</w:t>
      </w:r>
    </w:p>
    <w:p>
      <w:pPr>
        <w:adjustRightInd w:val="0"/>
        <w:snapToGrid w:val="0"/>
        <w:spacing w:line="440" w:lineRule="exact"/>
        <w:rPr>
          <w:rFonts w:ascii="宋体" w:hAnsi="宋体" w:cs="宋体"/>
          <w:b/>
          <w:bCs/>
          <w:sz w:val="24"/>
        </w:rPr>
      </w:pPr>
      <w:r>
        <w:rPr>
          <w:rFonts w:hint="eastAsia" w:ascii="宋体" w:hAnsi="宋体" w:cs="宋体"/>
          <w:b/>
          <w:bCs/>
          <w:sz w:val="24"/>
        </w:rPr>
        <w:t>六、公告期限</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自本公告发布之</w:t>
      </w:r>
      <w:r>
        <w:rPr>
          <w:rFonts w:hint="eastAsia" w:ascii="宋体" w:hAnsi="宋体" w:cs="宋体"/>
          <w:kern w:val="0"/>
          <w:sz w:val="24"/>
        </w:rPr>
        <w:t>日起5个工作日。</w:t>
      </w:r>
    </w:p>
    <w:p>
      <w:pPr>
        <w:pStyle w:val="20"/>
        <w:numPr>
          <w:ilvl w:val="0"/>
          <w:numId w:val="4"/>
        </w:numPr>
        <w:shd w:val="clear" w:color="auto" w:fill="FFFFFF"/>
        <w:autoSpaceDE w:val="0"/>
        <w:spacing w:before="0" w:beforeAutospacing="0" w:after="0" w:afterAutospacing="0" w:line="440" w:lineRule="exact"/>
        <w:rPr>
          <w:b/>
          <w:shd w:val="clear" w:color="auto" w:fill="FFFFFF"/>
        </w:rPr>
      </w:pPr>
      <w:r>
        <w:rPr>
          <w:rFonts w:hint="eastAsia"/>
          <w:b/>
          <w:shd w:val="clear" w:color="auto" w:fill="FFFFFF"/>
        </w:rPr>
        <w:t>其他补充事宜</w:t>
      </w:r>
    </w:p>
    <w:p>
      <w:pPr>
        <w:pStyle w:val="20"/>
        <w:shd w:val="clear" w:color="auto" w:fill="FFFFFF"/>
        <w:autoSpaceDE w:val="0"/>
        <w:spacing w:before="0" w:beforeAutospacing="0" w:after="0" w:afterAutospacing="0" w:line="440" w:lineRule="exact"/>
        <w:ind w:firstLine="480" w:firstLineChars="200"/>
        <w:rPr>
          <w:shd w:val="clear" w:color="auto" w:fill="FFFFFF"/>
        </w:rPr>
      </w:pPr>
      <w:r>
        <w:rPr>
          <w:rFonts w:hint="eastAsia"/>
          <w:shd w:val="clear" w:color="auto" w:fill="FFFFFF"/>
        </w:rPr>
        <w:t>1.本次本公告在</w:t>
      </w:r>
      <w:r>
        <w:rPr>
          <w:rFonts w:hint="eastAsia"/>
          <w:bCs/>
        </w:rPr>
        <w:t>中国招标投标公共服务平台、</w:t>
      </w:r>
      <w:r>
        <w:rPr>
          <w:rFonts w:hint="eastAsia"/>
          <w:shd w:val="clear" w:color="auto" w:fill="FFFFFF"/>
        </w:rPr>
        <w:t>河南省政府采购网、焦作市政府采购网、焦作市公共资源交易中心网、博爱县人民政府网、博爱县公共资源交易中心网http://www.baxggzyjyzx.cn/上发布。</w:t>
      </w:r>
    </w:p>
    <w:p>
      <w:pPr>
        <w:pStyle w:val="20"/>
        <w:spacing w:beforeAutospacing="0" w:afterAutospacing="0" w:line="440" w:lineRule="exact"/>
        <w:ind w:firstLine="468" w:firstLineChars="195"/>
        <w:jc w:val="both"/>
      </w:pPr>
      <w:r>
        <w:rPr>
          <w:rFonts w:hint="eastAsia"/>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按要求解密投标文件。因文件未及时上传导致投标失败的责任由投标人自行承担，具体要求详见招标文件。 平台统一技术服务电话：400-998-0000，服务 QQ：4008503300，服务时间：周一至周日 8：00-17：30。</w:t>
      </w:r>
    </w:p>
    <w:p>
      <w:pPr>
        <w:pStyle w:val="20"/>
        <w:spacing w:beforeAutospacing="0" w:afterAutospacing="0" w:line="440" w:lineRule="exact"/>
        <w:ind w:firstLine="468" w:firstLineChars="195"/>
        <w:jc w:val="both"/>
      </w:pPr>
      <w:r>
        <w:rPr>
          <w:rFonts w:hint="eastAsia"/>
        </w:rPr>
        <w:t>3.投标人无需到现场参加开标会议，无需到达现场提交原件资料。投标人应当在投标截止前，登录远程开标大厅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kern w:val="0"/>
          <w:sz w:val="24"/>
        </w:rPr>
      </w:pPr>
      <w:r>
        <w:rPr>
          <w:rFonts w:hint="eastAsia" w:ascii="宋体" w:hAnsi="宋体" w:cs="宋体"/>
          <w:b/>
          <w:kern w:val="0"/>
          <w:sz w:val="24"/>
        </w:rPr>
        <w:t>八、</w:t>
      </w:r>
      <w:r>
        <w:rPr>
          <w:rFonts w:hint="eastAsia" w:ascii="宋体" w:hAnsi="宋体" w:cs="宋体"/>
          <w:b/>
          <w:sz w:val="24"/>
          <w:shd w:val="clear" w:color="auto" w:fill="FFFFFF"/>
        </w:rPr>
        <w:t>凡对本次采购提出询问，请按以下方式联系</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1.采购人信息：</w:t>
      </w:r>
    </w:p>
    <w:p>
      <w:pPr>
        <w:widowControl/>
        <w:spacing w:line="440" w:lineRule="exact"/>
        <w:ind w:firstLine="480" w:firstLineChars="200"/>
        <w:jc w:val="left"/>
        <w:rPr>
          <w:rFonts w:ascii="宋体" w:hAnsi="宋体" w:cs="宋体"/>
          <w:kern w:val="0"/>
          <w:sz w:val="24"/>
        </w:rPr>
      </w:pPr>
      <w:r>
        <w:rPr>
          <w:rFonts w:hint="eastAsia" w:ascii="宋体" w:hAnsi="宋体" w:cs="宋体"/>
          <w:kern w:val="0"/>
          <w:sz w:val="24"/>
        </w:rPr>
        <w:t>采购人：博爱县自然资源局</w:t>
      </w:r>
    </w:p>
    <w:p>
      <w:pPr>
        <w:adjustRightInd w:val="0"/>
        <w:snapToGrid w:val="0"/>
        <w:spacing w:line="440" w:lineRule="exact"/>
        <w:ind w:firstLine="480" w:firstLineChars="200"/>
        <w:rPr>
          <w:rFonts w:ascii="宋体" w:hAnsi="宋体" w:cs="宋体"/>
          <w:bCs/>
          <w:sz w:val="24"/>
        </w:rPr>
      </w:pPr>
      <w:r>
        <w:rPr>
          <w:rFonts w:hint="eastAsia" w:ascii="宋体" w:hAnsi="宋体" w:cs="宋体"/>
          <w:kern w:val="0"/>
          <w:sz w:val="24"/>
        </w:rPr>
        <w:t>地址：博爱县团结路中段</w:t>
      </w:r>
    </w:p>
    <w:p>
      <w:pPr>
        <w:pStyle w:val="20"/>
        <w:spacing w:before="0" w:beforeAutospacing="0" w:after="0" w:afterAutospacing="0" w:line="405" w:lineRule="atLeast"/>
        <w:ind w:firstLine="480" w:firstLineChars="200"/>
      </w:pPr>
      <w:r>
        <w:rPr>
          <w:rFonts w:hint="eastAsia"/>
        </w:rPr>
        <w:t>联系人：武先生 </w:t>
      </w:r>
    </w:p>
    <w:p>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电话：13938157870</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2.采购代理机构信息：</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 xml:space="preserve">名称：博爱县城市建设项目管理有限公司 </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地址：</w:t>
      </w:r>
      <w:r>
        <w:rPr>
          <w:rFonts w:hint="eastAsia" w:ascii="宋体" w:hAnsi="宋体" w:cs="宋体"/>
          <w:sz w:val="24"/>
          <w:shd w:val="clear" w:color="auto" w:fill="FFFFFF"/>
        </w:rPr>
        <w:t>博爱县发展大道188号机关办公楼东配楼806室</w:t>
      </w:r>
    </w:p>
    <w:p>
      <w:pPr>
        <w:adjustRightInd w:val="0"/>
        <w:snapToGrid w:val="0"/>
        <w:spacing w:line="440" w:lineRule="exact"/>
        <w:ind w:firstLine="480" w:firstLineChars="200"/>
        <w:rPr>
          <w:rFonts w:ascii="宋体" w:hAnsi="宋体" w:cs="宋体"/>
          <w:sz w:val="24"/>
        </w:rPr>
      </w:pPr>
      <w:r>
        <w:rPr>
          <w:rFonts w:hint="eastAsia" w:ascii="宋体" w:hAnsi="宋体" w:cs="宋体"/>
          <w:kern w:val="0"/>
          <w:sz w:val="24"/>
        </w:rPr>
        <w:t>联系人：贾先生</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电话：15139166295</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3.项目联系方式</w:t>
      </w:r>
    </w:p>
    <w:p>
      <w:pPr>
        <w:pStyle w:val="20"/>
        <w:spacing w:before="0" w:beforeAutospacing="0" w:after="0" w:afterAutospacing="0" w:line="405" w:lineRule="atLeast"/>
        <w:ind w:firstLine="480" w:firstLineChars="200"/>
      </w:pPr>
      <w:r>
        <w:rPr>
          <w:rFonts w:hint="eastAsia"/>
        </w:rPr>
        <w:t xml:space="preserve">项目联系人：武先生  </w:t>
      </w:r>
    </w:p>
    <w:p>
      <w:pPr>
        <w:adjustRightInd w:val="0"/>
        <w:snapToGrid w:val="0"/>
        <w:spacing w:line="440" w:lineRule="exact"/>
        <w:ind w:firstLine="480" w:firstLineChars="200"/>
        <w:rPr>
          <w:rFonts w:ascii="宋体" w:hAnsi="宋体" w:cs="宋体"/>
          <w:kern w:val="0"/>
          <w:sz w:val="24"/>
        </w:rPr>
      </w:pPr>
      <w:r>
        <w:rPr>
          <w:rFonts w:hint="eastAsia" w:ascii="宋体" w:hAnsi="宋体" w:cs="宋体"/>
          <w:sz w:val="24"/>
        </w:rPr>
        <w:t>电话：</w:t>
      </w:r>
      <w:r>
        <w:rPr>
          <w:rFonts w:hint="eastAsia" w:ascii="宋体" w:hAnsi="宋体" w:cs="宋体"/>
          <w:kern w:val="0"/>
          <w:sz w:val="24"/>
        </w:rPr>
        <w:t>13938157870</w:t>
      </w:r>
    </w:p>
    <w:p>
      <w:pPr>
        <w:widowControl/>
        <w:spacing w:line="440" w:lineRule="exact"/>
        <w:ind w:left="2940" w:firstLine="420"/>
        <w:jc w:val="right"/>
        <w:rPr>
          <w:rFonts w:hint="eastAsia" w:ascii="宋体" w:hAnsi="宋体" w:cs="宋体"/>
          <w:sz w:val="24"/>
        </w:rPr>
      </w:pPr>
    </w:p>
    <w:p>
      <w:pPr>
        <w:widowControl/>
        <w:spacing w:line="440" w:lineRule="exact"/>
        <w:ind w:left="2940" w:firstLine="420"/>
        <w:jc w:val="right"/>
        <w:rPr>
          <w:rFonts w:hint="eastAsia" w:ascii="宋体" w:hAnsi="宋体" w:cs="宋体"/>
          <w:sz w:val="24"/>
        </w:rPr>
      </w:pPr>
    </w:p>
    <w:p>
      <w:pPr>
        <w:widowControl/>
        <w:spacing w:line="440" w:lineRule="exact"/>
        <w:ind w:left="2940" w:firstLine="420"/>
        <w:jc w:val="right"/>
        <w:rPr>
          <w:rFonts w:ascii="宋体" w:hAnsi="宋体" w:cs="宋体"/>
          <w:sz w:val="24"/>
          <w:shd w:val="clear" w:color="auto" w:fill="FFFFFF"/>
        </w:rPr>
      </w:pPr>
      <w:r>
        <w:rPr>
          <w:rFonts w:hint="eastAsia" w:ascii="宋体" w:hAnsi="宋体" w:cs="宋体"/>
          <w:sz w:val="24"/>
        </w:rPr>
        <w:t>采购人：</w:t>
      </w:r>
      <w:r>
        <w:rPr>
          <w:rFonts w:hint="eastAsia" w:ascii="宋体" w:hAnsi="宋体" w:cs="宋体"/>
          <w:kern w:val="0"/>
          <w:sz w:val="24"/>
        </w:rPr>
        <w:t>博爱县自然资源局</w:t>
      </w:r>
    </w:p>
    <w:p>
      <w:pPr>
        <w:widowControl/>
        <w:spacing w:line="440" w:lineRule="exact"/>
        <w:ind w:firstLine="2880" w:firstLineChars="1200"/>
        <w:jc w:val="right"/>
        <w:rPr>
          <w:rFonts w:ascii="宋体" w:hAnsi="宋体" w:cs="宋体"/>
          <w:sz w:val="24"/>
          <w:shd w:val="clear" w:color="auto" w:fill="FFFFFF"/>
        </w:rPr>
      </w:pPr>
      <w:r>
        <w:rPr>
          <w:rFonts w:hint="eastAsia" w:ascii="宋体" w:hAnsi="宋体" w:cs="宋体"/>
          <w:sz w:val="24"/>
          <w:shd w:val="clear" w:color="auto" w:fill="FFFFFF"/>
        </w:rPr>
        <w:t>采购代理机构：博爱县城市建设项目管理有限公司</w:t>
      </w:r>
    </w:p>
    <w:p>
      <w:pPr>
        <w:widowControl/>
        <w:spacing w:line="440" w:lineRule="exact"/>
        <w:ind w:left="2940" w:firstLine="420"/>
        <w:jc w:val="right"/>
      </w:pPr>
      <w:r>
        <w:rPr>
          <w:rFonts w:hint="eastAsia" w:ascii="宋体" w:hAnsi="宋体" w:cs="宋体"/>
          <w:sz w:val="24"/>
        </w:rPr>
        <w:t>发布时间：2022年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16</w:t>
      </w:r>
      <w:r>
        <w:rPr>
          <w:rFonts w:hint="eastAsia" w:ascii="宋体" w:hAnsi="宋体" w:cs="宋体"/>
          <w:sz w:val="24"/>
        </w:rPr>
        <w:t>日</w:t>
      </w:r>
    </w:p>
    <w:p>
      <w:pPr>
        <w:autoSpaceDE w:val="0"/>
        <w:autoSpaceDN w:val="0"/>
        <w:adjustRightInd w:val="0"/>
        <w:spacing w:line="360" w:lineRule="auto"/>
        <w:ind w:firstLine="3534" w:firstLineChars="1100"/>
        <w:outlineLvl w:val="0"/>
        <w:rPr>
          <w:rFonts w:hint="eastAsia" w:asciiTheme="minorEastAsia" w:hAnsiTheme="minorEastAsia" w:eastAsiaTheme="minorEastAsia" w:cstheme="minorEastAsia"/>
          <w:b/>
          <w:sz w:val="32"/>
          <w:szCs w:val="32"/>
        </w:rPr>
      </w:pPr>
    </w:p>
    <w:p>
      <w:pPr>
        <w:autoSpaceDE w:val="0"/>
        <w:autoSpaceDN w:val="0"/>
        <w:adjustRightInd w:val="0"/>
        <w:spacing w:line="360" w:lineRule="auto"/>
        <w:ind w:firstLine="3534" w:firstLineChars="1100"/>
        <w:outlineLvl w:val="0"/>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投标人须知</w:t>
      </w:r>
      <w:bookmarkEnd w:id="3"/>
    </w:p>
    <w:bookmarkEnd w:id="0"/>
    <w:p>
      <w:pPr>
        <w:pStyle w:val="21"/>
        <w:spacing w:before="0" w:after="0" w:line="360" w:lineRule="auto"/>
        <w:ind w:right="-23" w:rightChars="-11"/>
        <w:rPr>
          <w:rFonts w:asciiTheme="minorEastAsia" w:hAnsiTheme="minorEastAsia" w:eastAsiaTheme="minorEastAsia" w:cstheme="minorEastAsia"/>
          <w:sz w:val="30"/>
          <w:szCs w:val="30"/>
        </w:rPr>
      </w:pPr>
      <w:bookmarkStart w:id="4" w:name="_Toc32497"/>
      <w:bookmarkStart w:id="5" w:name="_Toc15953"/>
      <w:bookmarkStart w:id="6" w:name="_Toc403122490"/>
      <w:bookmarkStart w:id="7" w:name="_Toc426369478"/>
      <w:bookmarkStart w:id="8" w:name="_Toc9161"/>
      <w:bookmarkStart w:id="9" w:name="_Toc14655"/>
      <w:r>
        <w:rPr>
          <w:rFonts w:hint="eastAsia" w:asciiTheme="minorEastAsia" w:hAnsiTheme="minorEastAsia" w:eastAsiaTheme="minorEastAsia" w:cstheme="minorEastAsia"/>
          <w:sz w:val="30"/>
          <w:szCs w:val="30"/>
        </w:rPr>
        <w:t>投标人须知前附表</w:t>
      </w:r>
      <w:bookmarkEnd w:id="4"/>
      <w:bookmarkEnd w:id="5"/>
      <w:bookmarkEnd w:id="6"/>
      <w:bookmarkEnd w:id="7"/>
      <w:bookmarkEnd w:id="8"/>
      <w:bookmarkEnd w:id="9"/>
    </w:p>
    <w:tbl>
      <w:tblPr>
        <w:tblStyle w:val="24"/>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171"/>
        <w:gridCol w:w="6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条款号</w:t>
            </w:r>
          </w:p>
        </w:tc>
        <w:tc>
          <w:tcPr>
            <w:tcW w:w="2171" w:type="dxa"/>
            <w:vAlign w:val="center"/>
          </w:tcPr>
          <w:p>
            <w:pPr>
              <w:pStyle w:val="14"/>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条款名称</w:t>
            </w:r>
          </w:p>
        </w:tc>
        <w:tc>
          <w:tcPr>
            <w:tcW w:w="6259" w:type="dxa"/>
            <w:vAlign w:val="center"/>
          </w:tcPr>
          <w:p>
            <w:pPr>
              <w:pStyle w:val="14"/>
              <w:spacing w:line="360" w:lineRule="exact"/>
              <w:jc w:val="center"/>
              <w:rPr>
                <w:rFonts w:hint="default" w:asciiTheme="minorEastAsia" w:hAnsiTheme="minorEastAsia" w:eastAsiaTheme="minorEastAsia" w:cstheme="minorEastAsia"/>
                <w:b/>
              </w:rPr>
            </w:pPr>
            <w:r>
              <w:rPr>
                <w:rFonts w:asciiTheme="minorEastAsia" w:hAnsiTheme="minorEastAsia" w:eastAsiaTheme="minorEastAsia" w:cstheme="minorEastAsia"/>
                <w:b/>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名称：博爱县自然资源局</w:t>
            </w:r>
          </w:p>
          <w:p>
            <w:pPr>
              <w:adjustRightInd w:val="0"/>
              <w:snapToGrid w:val="0"/>
              <w:spacing w:line="460" w:lineRule="exact"/>
              <w:rPr>
                <w:rFonts w:asciiTheme="minorEastAsia" w:hAnsiTheme="minorEastAsia" w:eastAsiaTheme="minorEastAsia" w:cstheme="minorEastAsia"/>
                <w:bCs/>
                <w:iCs/>
                <w:szCs w:val="21"/>
              </w:rPr>
            </w:pPr>
            <w:r>
              <w:rPr>
                <w:rFonts w:hint="eastAsia" w:asciiTheme="minorEastAsia" w:hAnsiTheme="minorEastAsia" w:eastAsiaTheme="minorEastAsia" w:cstheme="minorEastAsia"/>
                <w:bCs/>
                <w:iCs/>
                <w:szCs w:val="21"/>
              </w:rPr>
              <w:t xml:space="preserve">联系人：武先生  </w:t>
            </w:r>
          </w:p>
          <w:p>
            <w:pPr>
              <w:adjustRightInd w:val="0"/>
              <w:snapToGrid w:val="0"/>
              <w:spacing w:line="460" w:lineRule="exact"/>
              <w:rPr>
                <w:rFonts w:asciiTheme="minorEastAsia" w:hAnsiTheme="minorEastAsia" w:eastAsiaTheme="minorEastAsia" w:cstheme="minorEastAsia"/>
              </w:rPr>
            </w:pPr>
            <w:r>
              <w:rPr>
                <w:rFonts w:hint="eastAsia" w:asciiTheme="minorEastAsia" w:hAnsiTheme="minorEastAsia" w:eastAsiaTheme="minorEastAsia" w:cstheme="minorEastAsia"/>
                <w:bCs/>
                <w:iCs/>
                <w:szCs w:val="21"/>
              </w:rPr>
              <w:t>电话：13938157870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1.1.3</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采购代理机构</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 xml:space="preserve">采购代理机构：博爱县城市建设项目管理有限公司  </w:t>
            </w:r>
          </w:p>
          <w:p>
            <w:pPr>
              <w:pStyle w:val="14"/>
              <w:spacing w:line="360" w:lineRule="exact"/>
              <w:rPr>
                <w:rFonts w:hint="default" w:asciiTheme="minorEastAsia" w:hAnsiTheme="minorEastAsia" w:eastAsiaTheme="minorEastAsia" w:cstheme="minorEastAsia"/>
                <w:bCs/>
                <w:iCs/>
              </w:rPr>
            </w:pPr>
            <w:r>
              <w:rPr>
                <w:rFonts w:asciiTheme="minorEastAsia" w:hAnsiTheme="minorEastAsia" w:eastAsiaTheme="minorEastAsia" w:cstheme="minorEastAsia"/>
              </w:rPr>
              <w:t>联</w:t>
            </w:r>
            <w:r>
              <w:rPr>
                <w:rFonts w:asciiTheme="minorEastAsia" w:hAnsiTheme="minorEastAsia" w:eastAsiaTheme="minorEastAsia" w:cstheme="minorEastAsia"/>
                <w:bCs/>
                <w:iCs/>
              </w:rPr>
              <w:t xml:space="preserve">系人：贾先生    </w:t>
            </w:r>
          </w:p>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电话：15139166295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1.1.4</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项目名称</w:t>
            </w:r>
          </w:p>
        </w:tc>
        <w:tc>
          <w:tcPr>
            <w:tcW w:w="6259" w:type="dxa"/>
            <w:vAlign w:val="center"/>
          </w:tcPr>
          <w:p>
            <w:pPr>
              <w:adjustRightInd w:val="0"/>
              <w:snapToGrid w:val="0"/>
              <w:spacing w:line="460" w:lineRule="exact"/>
              <w:rPr>
                <w:rFonts w:asciiTheme="minorEastAsia" w:hAnsiTheme="minorEastAsia" w:eastAsiaTheme="minorEastAsia" w:cstheme="minorEastAsia"/>
              </w:rPr>
            </w:pPr>
            <w:r>
              <w:rPr>
                <w:rFonts w:hint="eastAsia" w:asciiTheme="minorEastAsia" w:hAnsiTheme="minorEastAsia" w:eastAsiaTheme="minorEastAsia" w:cstheme="minorEastAsia"/>
                <w:bCs/>
                <w:iCs/>
                <w:szCs w:val="21"/>
              </w:rPr>
              <w:t>博爱县自然资源局集体土地所有权确权登记成果更新汇交工作采购项目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1.1.5</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Cs/>
                <w:iCs/>
                <w:szCs w:val="21"/>
              </w:rPr>
              <w:t>项目地点</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bCs/>
                <w:iCs/>
              </w:rPr>
              <w:t>博爱县自然资源局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1.2.1</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资金来源</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本级财政资金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1.2.2</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资金落实情况</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1.3.1</w:t>
            </w:r>
          </w:p>
        </w:tc>
        <w:tc>
          <w:tcPr>
            <w:tcW w:w="2171" w:type="dxa"/>
            <w:vAlign w:val="center"/>
          </w:tcPr>
          <w:p>
            <w:pPr>
              <w:pStyle w:val="14"/>
              <w:spacing w:line="360" w:lineRule="exact"/>
              <w:ind w:firstLine="630" w:firstLineChars="300"/>
              <w:rPr>
                <w:rFonts w:hint="default" w:asciiTheme="minorEastAsia" w:hAnsiTheme="minorEastAsia" w:eastAsiaTheme="minorEastAsia" w:cstheme="minorEastAsia"/>
              </w:rPr>
            </w:pPr>
            <w:r>
              <w:rPr>
                <w:rFonts w:asciiTheme="minorEastAsia" w:hAnsiTheme="minorEastAsia" w:eastAsiaTheme="minorEastAsia" w:cstheme="minorEastAsia"/>
              </w:rPr>
              <w:t>采购内容</w:t>
            </w:r>
          </w:p>
        </w:tc>
        <w:tc>
          <w:tcPr>
            <w:tcW w:w="6259" w:type="dxa"/>
          </w:tcPr>
          <w:p>
            <w:pPr>
              <w:pStyle w:val="14"/>
              <w:spacing w:line="360" w:lineRule="exact"/>
              <w:rPr>
                <w:rFonts w:hint="default" w:asciiTheme="minorEastAsia" w:hAnsiTheme="minorEastAsia" w:eastAsiaTheme="minorEastAsia" w:cstheme="minorEastAsia"/>
              </w:rPr>
            </w:pPr>
            <w:r>
              <w:rPr>
                <w:rFonts w:hint="default" w:ascii="宋体" w:hAnsi="宋体" w:eastAsia="宋体" w:cs="宋体"/>
                <w:kern w:val="0"/>
                <w:sz w:val="21"/>
                <w:szCs w:val="21"/>
                <w:lang w:val="en-US" w:eastAsia="zh-CN" w:bidi="ar-SA"/>
              </w:rPr>
              <w:t>完成全县范围内的集体土地测绘、核实、调查；完成原有集体土地所有权确权登记成果全面更新；建立集体土地所有权数据库，并纳入不动产登记数据平台；将整合后数通过质检并按要求汇交，集中办理相应的登记业务，保证成果的准确性与现实性。协助将成果应用于土地征收、土地开发利用、执法督查、提升土地管理水平、促进农业农村发展、维护农村土地利益、集体经营性建设用地入市等有关方面（具体要求详见招标文件）。所有技术成果符合自然资源部《关于加快集体土地所有权确权登记成果更新汇交的通知》（自然资发〔2022〕19号）、河南省自然资源厅《关于印发&lt;河南省集体土地所有权确权登记成果更新汇交工作方案&gt;的通知》（豫自然资办发〔2022〕7号）等相关文件及相关行业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1.3.2</w:t>
            </w:r>
          </w:p>
        </w:tc>
        <w:tc>
          <w:tcPr>
            <w:tcW w:w="2171" w:type="dxa"/>
            <w:vAlign w:val="center"/>
          </w:tcPr>
          <w:p>
            <w:pPr>
              <w:pStyle w:val="14"/>
              <w:spacing w:line="360" w:lineRule="exact"/>
              <w:jc w:val="center"/>
              <w:rPr>
                <w:rFonts w:hint="default" w:hAnsi="宋体" w:cs="宋体"/>
                <w:kern w:val="0"/>
              </w:rPr>
            </w:pPr>
            <w:r>
              <w:rPr>
                <w:rFonts w:hAnsi="宋体" w:cs="宋体"/>
                <w:kern w:val="0"/>
              </w:rPr>
              <w:t>服务期</w:t>
            </w:r>
          </w:p>
        </w:tc>
        <w:tc>
          <w:tcPr>
            <w:tcW w:w="6259" w:type="dxa"/>
            <w:vAlign w:val="center"/>
          </w:tcPr>
          <w:p>
            <w:pPr>
              <w:adjustRightInd w:val="0"/>
              <w:snapToGrid w:val="0"/>
              <w:spacing w:line="560" w:lineRule="exact"/>
              <w:rPr>
                <w:rFonts w:ascii="宋体" w:hAnsi="宋体" w:cs="宋体"/>
                <w:kern w:val="0"/>
                <w:szCs w:val="21"/>
              </w:rPr>
            </w:pPr>
            <w:r>
              <w:rPr>
                <w:rFonts w:hint="eastAsia" w:ascii="宋体" w:hAnsi="宋体" w:cs="宋体"/>
                <w:kern w:val="0"/>
                <w:szCs w:val="21"/>
              </w:rPr>
              <w:t>150日历天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1.3.3</w:t>
            </w:r>
          </w:p>
        </w:tc>
        <w:tc>
          <w:tcPr>
            <w:tcW w:w="2171" w:type="dxa"/>
            <w:vAlign w:val="center"/>
          </w:tcPr>
          <w:p>
            <w:pPr>
              <w:pStyle w:val="14"/>
              <w:spacing w:line="360" w:lineRule="exact"/>
              <w:jc w:val="center"/>
              <w:rPr>
                <w:rFonts w:hint="default" w:hAnsi="宋体" w:cs="宋体"/>
                <w:kern w:val="0"/>
              </w:rPr>
            </w:pPr>
            <w:r>
              <w:rPr>
                <w:rFonts w:hint="default" w:hAnsi="宋体" w:cs="宋体"/>
                <w:kern w:val="0"/>
              </w:rPr>
              <w:t>质量标准</w:t>
            </w:r>
          </w:p>
        </w:tc>
        <w:tc>
          <w:tcPr>
            <w:tcW w:w="6259" w:type="dxa"/>
            <w:vAlign w:val="center"/>
          </w:tcPr>
          <w:p>
            <w:pPr>
              <w:spacing w:line="400" w:lineRule="exact"/>
              <w:rPr>
                <w:rFonts w:ascii="宋体" w:hAnsi="宋体" w:cs="宋体"/>
                <w:kern w:val="0"/>
                <w:szCs w:val="21"/>
              </w:rPr>
            </w:pPr>
            <w:r>
              <w:rPr>
                <w:rFonts w:ascii="宋体" w:hAnsi="宋体" w:cs="宋体"/>
                <w:kern w:val="0"/>
                <w:szCs w:val="21"/>
              </w:rPr>
              <w:t>合格，符合国家及行业规范标准。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1.4.1</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投标人资质条件</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1、符合《中华人民共和国政府采购法》第二十二条之规定；</w:t>
            </w:r>
          </w:p>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2、落实政府采购政策需满足的资格要求：促进政府强制采购节能产品及环境标志产品优先采购，且该项目全部预留面向中小企业采购，需要提供中小企业声明函；</w:t>
            </w:r>
          </w:p>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3、本项目的特定资格要求：</w:t>
            </w:r>
          </w:p>
          <w:p>
            <w:pPr>
              <w:pStyle w:val="14"/>
              <w:spacing w:line="360" w:lineRule="exact"/>
              <w:rPr>
                <w:rFonts w:hint="default" w:asciiTheme="minorEastAsia" w:hAnsiTheme="minorEastAsia" w:eastAsiaTheme="minorEastAsia" w:cstheme="minorEastAsia"/>
                <w:highlight w:val="none"/>
              </w:rPr>
            </w:pPr>
            <w:r>
              <w:rPr>
                <w:rFonts w:asciiTheme="minorEastAsia" w:hAnsiTheme="minorEastAsia" w:eastAsiaTheme="minorEastAsia" w:cstheme="minorEastAsia"/>
              </w:rPr>
              <w:t>3.</w:t>
            </w:r>
            <w:r>
              <w:rPr>
                <w:rFonts w:asciiTheme="minorEastAsia" w:hAnsiTheme="minorEastAsia" w:eastAsiaTheme="minorEastAsia" w:cstheme="minorEastAsia"/>
                <w:highlight w:val="none"/>
              </w:rPr>
              <w:t>1投标人须具有有效的营业执照，并具有实施完成本项目的经营实力和完善的售后服务体系；</w:t>
            </w:r>
          </w:p>
          <w:p>
            <w:pPr>
              <w:pStyle w:val="14"/>
              <w:spacing w:line="360" w:lineRule="exact"/>
              <w:rPr>
                <w:rFonts w:asciiTheme="minorEastAsia" w:hAnsiTheme="minorEastAsia" w:eastAsiaTheme="minorEastAsia" w:cstheme="minorEastAsia"/>
                <w:highlight w:val="none"/>
              </w:rPr>
            </w:pPr>
            <w:r>
              <w:rPr>
                <w:rFonts w:asciiTheme="minorEastAsia" w:hAnsiTheme="minorEastAsia" w:eastAsiaTheme="minorEastAsia" w:cstheme="minorEastAsia"/>
                <w:highlight w:val="none"/>
              </w:rPr>
              <w:t>3.2</w:t>
            </w:r>
            <w:r>
              <w:rPr>
                <w:rFonts w:hint="eastAsia" w:asciiTheme="minorEastAsia" w:hAnsiTheme="minorEastAsia" w:eastAsiaTheme="minorEastAsia" w:cstheme="minorEastAsia"/>
                <w:highlight w:val="none"/>
                <w:lang w:eastAsia="zh-CN"/>
              </w:rPr>
              <w:t>投标人</w:t>
            </w:r>
            <w:r>
              <w:rPr>
                <w:rFonts w:asciiTheme="minorEastAsia" w:hAnsiTheme="minorEastAsia" w:eastAsiaTheme="minorEastAsia" w:cstheme="minorEastAsia"/>
                <w:highlight w:val="none"/>
              </w:rPr>
              <w:t>须具备自然资源部门颁发的乙级及以上测绘资质（需包含以下专业：界线与不动产测绘；工程测量；地理信息系统工程；）。拟派项目负责人具有测绘相关专业中级及以上职称或注册测绘师资格（</w:t>
            </w:r>
            <w:r>
              <w:rPr>
                <w:rFonts w:hint="eastAsia" w:asciiTheme="minorEastAsia" w:hAnsiTheme="minorEastAsia" w:eastAsiaTheme="minorEastAsia" w:cstheme="minorEastAsia"/>
                <w:highlight w:val="none"/>
              </w:rPr>
              <w:t>项目负责人应为本单位员工并提供近6个月连续在本单位缴纳社保证明，个人缴纳社保名称须与投标单位名称一致，否则不予认可</w:t>
            </w:r>
            <w:r>
              <w:rPr>
                <w:rFonts w:hint="eastAsia" w:asciiTheme="minorEastAsia" w:hAnsiTheme="minorEastAsia" w:eastAsiaTheme="minorEastAsia" w:cstheme="minorEastAsia"/>
                <w:highlight w:val="none"/>
                <w:lang w:eastAsia="zh-CN"/>
              </w:rPr>
              <w:t>）</w:t>
            </w:r>
            <w:r>
              <w:rPr>
                <w:rFonts w:asciiTheme="minorEastAsia" w:hAnsiTheme="minorEastAsia" w:eastAsiaTheme="minorEastAsia" w:cstheme="minorEastAsia"/>
                <w:highlight w:val="none"/>
              </w:rPr>
              <w:t>。</w:t>
            </w:r>
          </w:p>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highlight w:val="none"/>
              </w:rPr>
              <w:t>3.3信誉要求：按照《财政部关于在政府采</w:t>
            </w:r>
            <w:r>
              <w:rPr>
                <w:rFonts w:asciiTheme="minorEastAsia" w:hAnsiTheme="minorEastAsia" w:eastAsiaTheme="minorEastAsia" w:cstheme="minorEastAsia"/>
              </w:rPr>
              <w:t>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 </w:t>
            </w:r>
          </w:p>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3.3本项目不接受联合体投标；</w:t>
            </w:r>
          </w:p>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1.4.2</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是否接受联合体</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1.10.1</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投标预备会</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1.10.2</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投标人提出问题的</w:t>
            </w:r>
          </w:p>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截止时间</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1.10.3</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采购人说明澄清的时间</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1.11</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分包</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1.12</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偏离</w:t>
            </w:r>
          </w:p>
        </w:tc>
        <w:tc>
          <w:tcPr>
            <w:tcW w:w="6259"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不允许负偏离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2.2.1</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投标人要求澄清招标文件的截止时间</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2.2.2</w:t>
            </w:r>
          </w:p>
        </w:tc>
        <w:tc>
          <w:tcPr>
            <w:tcW w:w="2171" w:type="dxa"/>
            <w:vAlign w:val="center"/>
          </w:tcPr>
          <w:p>
            <w:pPr>
              <w:pStyle w:val="14"/>
              <w:spacing w:line="360" w:lineRule="exact"/>
              <w:jc w:val="center"/>
              <w:rPr>
                <w:rFonts w:hint="default" w:asciiTheme="minorEastAsia" w:hAnsiTheme="minorEastAsia" w:eastAsiaTheme="minorEastAsia" w:cstheme="minorEastAsia"/>
                <w:b/>
                <w:bCs/>
              </w:rPr>
            </w:pPr>
            <w:r>
              <w:rPr>
                <w:rFonts w:asciiTheme="minorEastAsia" w:hAnsiTheme="minorEastAsia" w:eastAsiaTheme="minorEastAsia" w:cstheme="minorEastAsia"/>
                <w:b/>
                <w:bCs/>
              </w:rPr>
              <w:t>投标截止时间</w:t>
            </w:r>
          </w:p>
        </w:tc>
        <w:tc>
          <w:tcPr>
            <w:tcW w:w="6259" w:type="dxa"/>
            <w:vAlign w:val="center"/>
          </w:tcPr>
          <w:p>
            <w:pPr>
              <w:spacing w:line="360" w:lineRule="exact"/>
              <w:jc w:val="left"/>
              <w:rPr>
                <w:rFonts w:asciiTheme="minorEastAsia" w:hAnsiTheme="minorEastAsia" w:eastAsiaTheme="minorEastAsia" w:cstheme="minorEastAsia"/>
                <w:b/>
                <w:bCs/>
              </w:rPr>
            </w:pPr>
            <w:r>
              <w:rPr>
                <w:rFonts w:hint="eastAsia" w:asciiTheme="minorEastAsia" w:hAnsiTheme="minorEastAsia" w:eastAsiaTheme="minorEastAsia" w:cstheme="minorEastAsia"/>
                <w:b/>
                <w:bCs/>
                <w:kern w:val="2"/>
                <w:sz w:val="21"/>
                <w:szCs w:val="21"/>
                <w:lang w:val="en-US" w:eastAsia="zh-CN" w:bidi="ar-SA"/>
              </w:rPr>
              <w:t>2023年2月8日上午09时00分（北京时间）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2.2.3</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投标人确认收到招标文件澄清的时间</w:t>
            </w:r>
          </w:p>
        </w:tc>
        <w:tc>
          <w:tcPr>
            <w:tcW w:w="6259"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招标文件澄清文件发出后4小时内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2.3.2</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投标人确认收到招标文件修改的时间</w:t>
            </w:r>
          </w:p>
        </w:tc>
        <w:tc>
          <w:tcPr>
            <w:tcW w:w="6259"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招标文件修改文件发出后4小时内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3.1.1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构成投标文件的</w:t>
            </w:r>
          </w:p>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其他材料</w:t>
            </w:r>
          </w:p>
        </w:tc>
        <w:tc>
          <w:tcPr>
            <w:tcW w:w="6259" w:type="dxa"/>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3.3.1</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投标有效期</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3.6</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是否允许递交备选</w:t>
            </w:r>
          </w:p>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投标方案</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3.7.3</w:t>
            </w:r>
          </w:p>
        </w:tc>
        <w:tc>
          <w:tcPr>
            <w:tcW w:w="2171"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签字盖章要求</w:t>
            </w:r>
          </w:p>
        </w:tc>
        <w:tc>
          <w:tcPr>
            <w:tcW w:w="6259" w:type="dxa"/>
            <w:shd w:val="clear" w:color="auto" w:fill="auto"/>
            <w:vAlign w:val="center"/>
          </w:tcPr>
          <w:p>
            <w:pPr>
              <w:spacing w:line="360" w:lineRule="exact"/>
              <w:jc w:val="left"/>
              <w:rPr>
                <w:rFonts w:ascii="宋体" w:hAnsi="宋体" w:cs="宋体"/>
                <w:b/>
                <w:bCs/>
                <w:szCs w:val="21"/>
              </w:rPr>
            </w:pPr>
            <w:r>
              <w:rPr>
                <w:rFonts w:hint="eastAsia" w:ascii="宋体" w:hAnsi="宋体" w:cs="宋体"/>
                <w:b/>
                <w:bCs/>
                <w:szCs w:val="21"/>
              </w:rPr>
              <w:t>（1）所有要求投标人加盖公章的地方都须加盖投标人单位的 CA 印章。</w:t>
            </w:r>
          </w:p>
          <w:p>
            <w:pPr>
              <w:pStyle w:val="14"/>
              <w:spacing w:line="360" w:lineRule="exact"/>
              <w:rPr>
                <w:rFonts w:hint="default" w:asciiTheme="minorEastAsia" w:hAnsiTheme="minorEastAsia" w:eastAsiaTheme="minorEastAsia" w:cstheme="minorEastAsia"/>
              </w:rPr>
            </w:pPr>
            <w:r>
              <w:rPr>
                <w:rFonts w:hAnsi="宋体" w:cs="宋体"/>
                <w:b/>
                <w:bCs/>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3.7.4</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投标文件份数</w:t>
            </w:r>
          </w:p>
        </w:tc>
        <w:tc>
          <w:tcPr>
            <w:tcW w:w="6259" w:type="dxa"/>
            <w:vAlign w:val="center"/>
          </w:tcPr>
          <w:p>
            <w:pPr>
              <w:pStyle w:val="14"/>
              <w:spacing w:line="360" w:lineRule="exact"/>
              <w:rPr>
                <w:rFonts w:hint="default" w:asciiTheme="minorEastAsia" w:hAnsiTheme="minorEastAsia" w:cstheme="minorEastAsia"/>
              </w:rPr>
            </w:pPr>
            <w:r>
              <w:rPr>
                <w:b/>
                <w:bCs/>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4.2.2</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递交投标文件方式和</w:t>
            </w:r>
          </w:p>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地点</w:t>
            </w:r>
          </w:p>
        </w:tc>
        <w:tc>
          <w:tcPr>
            <w:tcW w:w="6259" w:type="dxa"/>
            <w:vAlign w:val="center"/>
          </w:tcPr>
          <w:p>
            <w:pPr>
              <w:pStyle w:val="14"/>
              <w:spacing w:line="400" w:lineRule="exact"/>
              <w:rPr>
                <w:rFonts w:hint="default" w:hAnsi="宋体"/>
              </w:rPr>
            </w:pPr>
            <w:r>
              <w:rPr>
                <w:rFonts w:hAnsi="宋体"/>
              </w:rPr>
              <w:t xml:space="preserve">本项目采用“远程不见面”开标方式，远程开标大厅网址为http://122.112.246.33/BidOpening/bidopeninghallaction/hall/login。投标人不需到开标现场参加开标会议，不需提交原件资料等。 </w:t>
            </w:r>
          </w:p>
          <w:p>
            <w:pPr>
              <w:pStyle w:val="14"/>
              <w:spacing w:line="400" w:lineRule="exact"/>
              <w:rPr>
                <w:rFonts w:hint="default" w:hAnsi="宋体"/>
              </w:rPr>
            </w:pPr>
            <w:r>
              <w:rPr>
                <w:rFonts w:hAnsi="宋体"/>
              </w:rPr>
              <w:t>（1）电子投标文件的递交</w:t>
            </w:r>
          </w:p>
          <w:p>
            <w:pPr>
              <w:pStyle w:val="14"/>
              <w:spacing w:line="400" w:lineRule="exact"/>
              <w:rPr>
                <w:rFonts w:hint="default" w:hAnsi="宋体"/>
              </w:rPr>
            </w:pPr>
            <w:r>
              <w:rPr>
                <w:rFonts w:hAnsi="宋体"/>
              </w:rPr>
              <w:t>a、各投标人应在投标截止时间前上传加密的电子投标文件</w:t>
            </w:r>
          </w:p>
          <w:p>
            <w:pPr>
              <w:pStyle w:val="14"/>
              <w:spacing w:line="400" w:lineRule="exact"/>
              <w:rPr>
                <w:rFonts w:hint="default" w:hAnsi="宋体"/>
              </w:rPr>
            </w:pPr>
            <w:r>
              <w:rPr>
                <w:rFonts w:hAnsi="宋体"/>
              </w:rPr>
              <w:t>（.jztf 格式）到会员系统的指定位置。上传时必须得到电脑“上传成功”的确认回复。请投标人在上传时认真检查上传投标文件是否完整、正确。</w:t>
            </w:r>
          </w:p>
          <w:p>
            <w:pPr>
              <w:pStyle w:val="14"/>
              <w:spacing w:line="400" w:lineRule="exact"/>
              <w:rPr>
                <w:rFonts w:hint="default"/>
              </w:rPr>
            </w:pPr>
            <w:r>
              <w:rPr>
                <w:rFonts w:hAnsi="宋体"/>
              </w:rPr>
              <w:t>b、如系统故故障需上传非加密文件时，投标人应按照采购人指示将非加密文件递交给采购人。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4.2.3</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是否退还投标文件</w:t>
            </w:r>
          </w:p>
        </w:tc>
        <w:tc>
          <w:tcPr>
            <w:tcW w:w="6259" w:type="dxa"/>
            <w:vAlign w:val="center"/>
          </w:tcPr>
          <w:p>
            <w:pPr>
              <w:pStyle w:val="14"/>
              <w:spacing w:line="360" w:lineRule="exact"/>
              <w:rPr>
                <w:rFonts w:hint="default" w:asciiTheme="minorEastAsia" w:hAnsiTheme="minorEastAsia" w:eastAsiaTheme="minorEastAsia" w:cstheme="minorEastAsia"/>
              </w:rPr>
            </w:pPr>
            <w:r>
              <w:rPr>
                <w:rFonts w:asciiTheme="minorEastAsia" w:hAnsiTheme="minorEastAsia" w:eastAsiaTheme="minorEastAsia" w:cstheme="minorEastAsia"/>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5.1</w:t>
            </w:r>
          </w:p>
        </w:tc>
        <w:tc>
          <w:tcPr>
            <w:tcW w:w="2171"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开标时间和地点</w:t>
            </w:r>
          </w:p>
        </w:tc>
        <w:tc>
          <w:tcPr>
            <w:tcW w:w="6259" w:type="dxa"/>
            <w:vAlign w:val="center"/>
          </w:tcPr>
          <w:p>
            <w:pPr>
              <w:adjustRightInd w:val="0"/>
              <w:snapToGrid w:val="0"/>
              <w:spacing w:line="400" w:lineRule="exact"/>
              <w:rPr>
                <w:rFonts w:ascii="宋体" w:hAnsi="宋体"/>
                <w:szCs w:val="21"/>
              </w:rPr>
            </w:pPr>
            <w:r>
              <w:rPr>
                <w:rFonts w:hint="eastAsia" w:ascii="宋体" w:hAnsi="宋体"/>
                <w:szCs w:val="21"/>
              </w:rPr>
              <w:t>开标时间：同投标截止时间。投标人应当在投标截止时间前，登录远程开标大厅，凭制作投标文件所用的企业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rPr>
            </w:pPr>
            <w:r>
              <w:rPr>
                <w:rFonts w:hint="eastAsia" w:ascii="宋体" w:hAnsi="宋体"/>
                <w:szCs w:val="21"/>
              </w:rPr>
              <w:t>现场开标地点：博爱县公共资源交易中心二楼第一开标室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评标委员会的组建</w:t>
            </w:r>
          </w:p>
        </w:tc>
        <w:tc>
          <w:tcPr>
            <w:tcW w:w="6259" w:type="dxa"/>
            <w:vAlign w:val="center"/>
          </w:tcPr>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取的评审专家4名共5人组成。</w:t>
            </w:r>
          </w:p>
          <w:p>
            <w:pPr>
              <w:spacing w:line="360" w:lineRule="exact"/>
              <w:jc w:val="left"/>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是否授权评标委员会确定中标人</w:t>
            </w:r>
          </w:p>
        </w:tc>
        <w:tc>
          <w:tcPr>
            <w:tcW w:w="6259" w:type="dxa"/>
            <w:vAlign w:val="center"/>
          </w:tcPr>
          <w:p>
            <w:pPr>
              <w:spacing w:line="38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履约保证金</w:t>
            </w:r>
          </w:p>
        </w:tc>
        <w:tc>
          <w:tcPr>
            <w:tcW w:w="6259" w:type="dxa"/>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4"/>
              <w:spacing w:line="360" w:lineRule="exact"/>
              <w:jc w:val="center"/>
              <w:rPr>
                <w:rFonts w:hint="default" w:asciiTheme="minorEastAsia" w:hAnsiTheme="minorEastAsia" w:eastAsiaTheme="minorEastAsia" w:cstheme="minorEastAsia"/>
              </w:rPr>
            </w:pPr>
            <w:r>
              <w:rPr>
                <w:rFonts w:asciiTheme="minorEastAsia" w:hAnsiTheme="minorEastAsia" w:eastAsiaTheme="minorEastAsia" w:cstheme="minorEastAsia"/>
              </w:rPr>
              <w:t>7.3.2</w:t>
            </w:r>
          </w:p>
        </w:tc>
        <w:tc>
          <w:tcPr>
            <w:tcW w:w="2171" w:type="dxa"/>
            <w:shd w:val="clear" w:color="auto" w:fill="auto"/>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投标保证金</w:t>
            </w:r>
          </w:p>
        </w:tc>
        <w:tc>
          <w:tcPr>
            <w:tcW w:w="6259" w:type="dxa"/>
            <w:shd w:val="clear" w:color="auto" w:fill="auto"/>
            <w:vAlign w:val="center"/>
          </w:tcPr>
          <w:p>
            <w:pPr>
              <w:spacing w:line="38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Cs/>
                <w:szCs w:val="21"/>
              </w:rPr>
              <w:t>10</w:t>
            </w:r>
          </w:p>
        </w:tc>
        <w:tc>
          <w:tcPr>
            <w:tcW w:w="8430" w:type="dxa"/>
            <w:gridSpan w:val="2"/>
            <w:vAlign w:val="bottom"/>
          </w:tcPr>
          <w:p>
            <w:pPr>
              <w:spacing w:line="360" w:lineRule="exact"/>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10.1</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预算金额</w:t>
            </w:r>
          </w:p>
        </w:tc>
        <w:tc>
          <w:tcPr>
            <w:tcW w:w="6259" w:type="dxa"/>
            <w:vAlign w:val="bottom"/>
          </w:tcPr>
          <w:p>
            <w:pPr>
              <w:spacing w:line="440" w:lineRule="exact"/>
            </w:pPr>
            <w:r>
              <w:rPr>
                <w:rFonts w:hint="eastAsia"/>
              </w:rPr>
              <w:t>1、本项目预算金额为：2980000.00元</w:t>
            </w:r>
          </w:p>
          <w:p>
            <w:pPr>
              <w:spacing w:line="440" w:lineRule="exact"/>
              <w:rPr>
                <w:rFonts w:hint="eastAsia"/>
              </w:rPr>
            </w:pPr>
            <w:r>
              <w:rPr>
                <w:rFonts w:hint="eastAsia"/>
              </w:rPr>
              <w:t>2、控制价是采购人设置的最高限价，投标人的投标报价高于控制价的视为无效报价，其投标予以拒绝；</w:t>
            </w:r>
          </w:p>
          <w:p>
            <w:pPr>
              <w:pStyle w:val="2"/>
              <w:rPr>
                <w:rFonts w:hint="default" w:eastAsiaTheme="minorEastAsia"/>
                <w:lang w:val="en-US" w:eastAsia="zh-CN"/>
              </w:rPr>
            </w:pPr>
            <w:r>
              <w:rPr>
                <w:rFonts w:hint="eastAsia" w:asciiTheme="minorEastAsia" w:hAnsiTheme="minorEastAsia" w:eastAsiaTheme="minorEastAsia" w:cstheme="minorEastAsia"/>
                <w:szCs w:val="21"/>
                <w:lang w:val="en-US" w:eastAsia="zh-CN"/>
              </w:rPr>
              <w:t>3、当中标人得投标报价高于控制价得95%时，该中标人得中标价按控制价得95%执行。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10.2</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小型或微型企业（含监狱企业）</w:t>
            </w:r>
          </w:p>
        </w:tc>
        <w:tc>
          <w:tcPr>
            <w:tcW w:w="6259" w:type="dxa"/>
            <w:vAlign w:val="center"/>
          </w:tcPr>
          <w:p>
            <w:pPr>
              <w:autoSpaceDE w:val="0"/>
              <w:autoSpaceDN w:val="0"/>
              <w:adjustRightInd w:val="0"/>
              <w:spacing w:line="500" w:lineRule="exact"/>
              <w:jc w:val="left"/>
              <w:rPr>
                <w:rFonts w:asciiTheme="minorEastAsia" w:hAnsiTheme="minorEastAsia" w:eastAsiaTheme="minorEastAsia" w:cstheme="minorEastAsia"/>
                <w:szCs w:val="21"/>
              </w:rPr>
            </w:pPr>
            <w:r>
              <w:rPr>
                <w:rFonts w:hint="eastAsia" w:ascii="宋体" w:hAnsi="宋体" w:cs="宋体"/>
                <w:kern w:val="0"/>
                <w:szCs w:val="21"/>
                <w:lang w:val="en-US" w:eastAsia="zh-CN"/>
              </w:rPr>
              <w:t>投标人须提供中小企业声明函。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7"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10.3</w:t>
            </w:r>
          </w:p>
        </w:tc>
        <w:tc>
          <w:tcPr>
            <w:tcW w:w="2171" w:type="dxa"/>
            <w:vAlign w:val="center"/>
          </w:tcPr>
          <w:p>
            <w:pPr>
              <w:spacing w:line="440" w:lineRule="exact"/>
              <w:rPr>
                <w:rFonts w:ascii="宋体" w:hAnsi="宋体" w:cs="宋体"/>
                <w:bCs/>
                <w:highlight w:val="yellow"/>
              </w:rPr>
            </w:pPr>
            <w:r>
              <w:rPr>
                <w:rFonts w:hint="eastAsia" w:ascii="宋体" w:hAnsi="宋体" w:cs="宋体"/>
                <w:bCs/>
              </w:rPr>
              <w:t>付款方式</w:t>
            </w:r>
          </w:p>
        </w:tc>
        <w:tc>
          <w:tcPr>
            <w:tcW w:w="6259" w:type="dxa"/>
            <w:vAlign w:val="center"/>
          </w:tcPr>
          <w:p>
            <w:pPr>
              <w:spacing w:line="440" w:lineRule="exact"/>
              <w:rPr>
                <w:rFonts w:ascii="宋体" w:hAnsi="宋体" w:cs="宋体"/>
                <w:bCs/>
                <w:highlight w:val="yellow"/>
              </w:rPr>
            </w:pPr>
            <w:r>
              <w:rPr>
                <w:rFonts w:hint="eastAsia" w:ascii="宋体" w:hAnsi="宋体" w:cs="宋体"/>
                <w:bCs/>
              </w:rPr>
              <w:t>完成全县集体土地内外业核实调查，完成原有集体土地所有权确权登记成果全面更新，支付合同金额的40%；通过质检、完成数据汇交、工程完工并通过验收后，支付至合同金额的80%；服务期满后支付剩余20%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10.4</w:t>
            </w:r>
          </w:p>
        </w:tc>
        <w:tc>
          <w:tcPr>
            <w:tcW w:w="2171"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招标代理服务费</w:t>
            </w:r>
          </w:p>
        </w:tc>
        <w:tc>
          <w:tcPr>
            <w:tcW w:w="6259" w:type="dxa"/>
            <w:vAlign w:val="center"/>
          </w:tcPr>
          <w:p>
            <w:pPr>
              <w:spacing w:line="440" w:lineRule="exact"/>
            </w:pPr>
            <w:r>
              <w:rPr>
                <w:rFonts w:hint="eastAsia" w:ascii="宋体" w:hAnsi="宋体" w:cs="宋体"/>
                <w:bCs/>
              </w:rPr>
              <w:t>招标代理服务费依据国家发展改革委发改价格[2015]299号文件的规定收取，由中标人支付。招标代理费由招标代理机构通知中标企业结清后，领取中标通知书。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10.8</w:t>
            </w:r>
          </w:p>
        </w:tc>
        <w:tc>
          <w:tcPr>
            <w:tcW w:w="2171" w:type="dxa"/>
            <w:vAlign w:val="center"/>
          </w:tcPr>
          <w:p>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认定为不响应招标文件的其它条件</w:t>
            </w:r>
          </w:p>
        </w:tc>
        <w:tc>
          <w:tcPr>
            <w:tcW w:w="6259" w:type="dxa"/>
            <w:vAlign w:val="center"/>
          </w:tcPr>
          <w:p>
            <w:pPr>
              <w:pStyle w:val="23"/>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1、未按招标文件明示的规定签字盖章的；</w:t>
            </w:r>
          </w:p>
          <w:p>
            <w:pPr>
              <w:pStyle w:val="23"/>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2、投标文件的关键内容（投标报价、服务期、质量标准等）未填写或填写字迹模糊、达不到采购要求的；</w:t>
            </w:r>
          </w:p>
          <w:p>
            <w:pPr>
              <w:pStyle w:val="23"/>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3、投标报价超出招标控制价的；</w:t>
            </w:r>
          </w:p>
          <w:p>
            <w:pPr>
              <w:pStyle w:val="23"/>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4、投标人递交两份或多份内容不同的投标文件，或在一份投标文件中对同一招标项目有两个或多个报价，且未声明哪一个有效的；</w:t>
            </w:r>
          </w:p>
          <w:p>
            <w:pPr>
              <w:pStyle w:val="23"/>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5、相关资格证明文件不合格的；</w:t>
            </w:r>
          </w:p>
          <w:p>
            <w:pPr>
              <w:pStyle w:val="23"/>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6、附有采购人不能接受的条件的；</w:t>
            </w:r>
          </w:p>
          <w:p>
            <w:pPr>
              <w:pStyle w:val="23"/>
              <w:ind w:firstLine="0" w:firstLineChars="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7、评标过程中，如因两个或两个以上投标人在同一台计算或同一个IP上传投标文件，而被不见面开标系统提示为“投标文件制作机器码一致”的，则视其投标无效。</w:t>
            </w:r>
          </w:p>
          <w:p>
            <w:pPr>
              <w:pStyle w:val="23"/>
              <w:ind w:firstLine="0" w:firstLineChars="0"/>
              <w:rPr>
                <w:b/>
                <w:bCs/>
              </w:rPr>
            </w:pPr>
            <w:r>
              <w:rPr>
                <w:rFonts w:hint="eastAsia" w:asciiTheme="minorEastAsia" w:hAnsiTheme="minorEastAsia" w:eastAsiaTheme="minorEastAsia" w:cstheme="minorEastAsia"/>
                <w:b/>
                <w:bCs/>
                <w:szCs w:val="21"/>
              </w:rPr>
              <w:t>8、投标文件有明显不符合招标文件其它要求和有关法律法规的。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10.9</w:t>
            </w:r>
          </w:p>
        </w:tc>
        <w:tc>
          <w:tcPr>
            <w:tcW w:w="8430" w:type="dxa"/>
            <w:gridSpan w:val="2"/>
            <w:vAlign w:val="center"/>
          </w:tcPr>
          <w:p>
            <w:pPr>
              <w:spacing w:line="36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本招标文件解释权归采购人</w:t>
            </w:r>
          </w:p>
        </w:tc>
      </w:tr>
    </w:tbl>
    <w:p>
      <w:pPr>
        <w:pStyle w:val="21"/>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0" w:name="_Toc426369479"/>
      <w:bookmarkStart w:id="11" w:name="_Toc23576"/>
      <w:bookmarkStart w:id="12" w:name="_Toc9048"/>
      <w:bookmarkStart w:id="13" w:name="_Toc23082"/>
      <w:bookmarkStart w:id="14" w:name="_Toc403122491"/>
      <w:bookmarkStart w:id="15" w:name="_Toc17744"/>
      <w:bookmarkStart w:id="16" w:name="_Toc426369491"/>
      <w:bookmarkStart w:id="17" w:name="_Toc26894"/>
      <w:bookmarkStart w:id="18" w:name="_Toc403122503"/>
      <w:r>
        <w:rPr>
          <w:rFonts w:hint="eastAsia" w:asciiTheme="minorEastAsia" w:hAnsiTheme="minorEastAsia" w:eastAsiaTheme="minorEastAsia" w:cstheme="minorEastAsia"/>
          <w:sz w:val="24"/>
          <w:szCs w:val="24"/>
        </w:rPr>
        <w:t>1. 总则</w:t>
      </w:r>
      <w:bookmarkEnd w:id="10"/>
      <w:bookmarkEnd w:id="11"/>
      <w:bookmarkEnd w:id="12"/>
      <w:bookmarkEnd w:id="13"/>
      <w:bookmarkEnd w:id="14"/>
      <w:bookmarkEnd w:id="15"/>
    </w:p>
    <w:p>
      <w:pPr>
        <w:spacing w:line="500" w:lineRule="exact"/>
        <w:ind w:firstLine="482" w:firstLineChars="200"/>
        <w:rPr>
          <w:rFonts w:asciiTheme="minorEastAsia" w:hAnsiTheme="minorEastAsia" w:eastAsiaTheme="minorEastAsia" w:cstheme="minorEastAsia"/>
          <w:b/>
          <w:bCs/>
          <w:sz w:val="24"/>
        </w:rPr>
      </w:pPr>
      <w:bookmarkStart w:id="19" w:name="_Toc426369480"/>
      <w:bookmarkStart w:id="20" w:name="_Toc403122492"/>
      <w:bookmarkStart w:id="21" w:name="_Toc279599771"/>
      <w:bookmarkStart w:id="22" w:name="_Toc274249575"/>
      <w:r>
        <w:rPr>
          <w:rFonts w:hint="eastAsia" w:asciiTheme="minorEastAsia" w:hAnsiTheme="minorEastAsia" w:eastAsiaTheme="minorEastAsia" w:cstheme="minorEastAsia"/>
          <w:b/>
          <w:bCs/>
          <w:sz w:val="24"/>
        </w:rPr>
        <w:t>1.1 项目概况</w:t>
      </w:r>
      <w:bookmarkEnd w:id="19"/>
      <w:bookmarkEnd w:id="20"/>
      <w:bookmarkEnd w:id="21"/>
      <w:bookmarkEnd w:id="2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1.1.1 根据</w:t>
      </w:r>
      <w:r>
        <w:rPr>
          <w:rFonts w:hint="eastAsia" w:asciiTheme="minorEastAsia" w:hAnsiTheme="minorEastAsia" w:eastAsiaTheme="minorEastAsia" w:cstheme="minorEastAsia"/>
          <w:bCs/>
          <w:szCs w:val="21"/>
        </w:rPr>
        <w:t>《中华人民共和国政府采购法》</w:t>
      </w:r>
      <w:r>
        <w:rPr>
          <w:rFonts w:hint="eastAsia" w:asciiTheme="minorEastAsia" w:hAnsiTheme="minorEastAsia" w:eastAsiaTheme="minorEastAsia" w:cstheme="minorEastAsia"/>
          <w:szCs w:val="21"/>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1.1.2  本招标项目采购人：见投标人须知前附表。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1.1.3  本招标项目采购代理机构：见投标人须知前附表。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1.1.4  本招标项目名称：见投标人须知前附表。 </w:t>
      </w:r>
    </w:p>
    <w:p>
      <w:pPr>
        <w:spacing w:line="500" w:lineRule="exact"/>
        <w:ind w:firstLine="482" w:firstLineChars="200"/>
        <w:rPr>
          <w:rFonts w:asciiTheme="minorEastAsia" w:hAnsiTheme="minorEastAsia" w:eastAsiaTheme="minorEastAsia" w:cstheme="minorEastAsia"/>
          <w:b/>
          <w:bCs/>
          <w:sz w:val="24"/>
        </w:rPr>
      </w:pPr>
      <w:bookmarkStart w:id="23" w:name="_Toc279599772"/>
      <w:bookmarkStart w:id="24" w:name="_Toc403122493"/>
      <w:bookmarkStart w:id="25" w:name="_Toc426369481"/>
      <w:bookmarkStart w:id="26" w:name="_Toc274249576"/>
      <w:r>
        <w:rPr>
          <w:rFonts w:hint="eastAsia" w:asciiTheme="minorEastAsia" w:hAnsiTheme="minorEastAsia" w:eastAsiaTheme="minorEastAsia" w:cstheme="minorEastAsia"/>
          <w:b/>
          <w:bCs/>
          <w:sz w:val="24"/>
        </w:rPr>
        <w:t>1.2 资金来源和落实情况</w:t>
      </w:r>
      <w:bookmarkEnd w:id="23"/>
      <w:bookmarkEnd w:id="24"/>
      <w:bookmarkEnd w:id="25"/>
      <w:bookmarkEnd w:id="2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1.2.1  本招标项目的资金来源：见投标人须知前附表。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1.2.2  本招标项目的资金落实情况：见投标人须知前附表。 </w:t>
      </w:r>
    </w:p>
    <w:p>
      <w:pPr>
        <w:spacing w:line="500" w:lineRule="exact"/>
        <w:ind w:firstLine="482" w:firstLineChars="200"/>
        <w:rPr>
          <w:rFonts w:asciiTheme="minorEastAsia" w:hAnsiTheme="minorEastAsia" w:eastAsiaTheme="minorEastAsia" w:cstheme="minorEastAsia"/>
          <w:b/>
          <w:bCs/>
          <w:sz w:val="24"/>
        </w:rPr>
      </w:pPr>
      <w:bookmarkStart w:id="27" w:name="_Toc274249577"/>
      <w:bookmarkStart w:id="28" w:name="_Toc279599773"/>
      <w:bookmarkStart w:id="29" w:name="_Toc403122494"/>
      <w:bookmarkStart w:id="30" w:name="_Toc426369482"/>
      <w:r>
        <w:rPr>
          <w:rFonts w:hint="eastAsia" w:asciiTheme="minorEastAsia" w:hAnsiTheme="minorEastAsia" w:eastAsiaTheme="minorEastAsia" w:cstheme="minorEastAsia"/>
          <w:b/>
          <w:bCs/>
          <w:sz w:val="24"/>
        </w:rPr>
        <w:t>1.3 采购内容、服务期和质量</w:t>
      </w:r>
      <w:bookmarkEnd w:id="27"/>
      <w:bookmarkEnd w:id="28"/>
      <w:bookmarkEnd w:id="29"/>
      <w:bookmarkEnd w:id="30"/>
      <w:r>
        <w:rPr>
          <w:rFonts w:hint="eastAsia" w:asciiTheme="minorEastAsia" w:hAnsiTheme="minorEastAsia" w:eastAsiaTheme="minorEastAsia" w:cstheme="minorEastAsia"/>
          <w:b/>
          <w:bCs/>
          <w:sz w:val="24"/>
        </w:rPr>
        <w:t>标准</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1.3.1  本次招标采购内容：见投标人须知前附表。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1.3.2  本次招标的服务期：见投标人须知前附表。 </w:t>
      </w:r>
    </w:p>
    <w:p>
      <w:pPr>
        <w:tabs>
          <w:tab w:val="right" w:pos="904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1.3.3  本次招标的质量标准：见投标人须知前附表。 </w:t>
      </w:r>
      <w:r>
        <w:rPr>
          <w:rFonts w:hint="eastAsia" w:asciiTheme="minorEastAsia" w:hAnsiTheme="minorEastAsia" w:eastAsiaTheme="minorEastAsia" w:cstheme="minorEastAsia"/>
          <w:szCs w:val="21"/>
        </w:rPr>
        <w:tab/>
      </w:r>
    </w:p>
    <w:p>
      <w:pPr>
        <w:spacing w:line="500" w:lineRule="exact"/>
        <w:ind w:firstLine="482" w:firstLineChars="200"/>
        <w:rPr>
          <w:rFonts w:asciiTheme="minorEastAsia" w:hAnsiTheme="minorEastAsia" w:eastAsiaTheme="minorEastAsia" w:cstheme="minorEastAsia"/>
          <w:b/>
          <w:bCs/>
          <w:sz w:val="24"/>
        </w:rPr>
      </w:pPr>
      <w:bookmarkStart w:id="31" w:name="_Toc274249578"/>
      <w:bookmarkStart w:id="32" w:name="_Toc426369483"/>
      <w:bookmarkStart w:id="33" w:name="_Toc279599774"/>
      <w:bookmarkStart w:id="34" w:name="_Toc403122495"/>
      <w:r>
        <w:rPr>
          <w:rFonts w:hint="eastAsia" w:asciiTheme="minorEastAsia" w:hAnsiTheme="minorEastAsia" w:eastAsiaTheme="minorEastAsia" w:cstheme="minorEastAsia"/>
          <w:b/>
          <w:bCs/>
          <w:sz w:val="24"/>
        </w:rPr>
        <w:t>1.4 投标人资格要求</w:t>
      </w:r>
      <w:bookmarkEnd w:id="31"/>
      <w:bookmarkEnd w:id="32"/>
      <w:bookmarkEnd w:id="33"/>
      <w:bookmarkEnd w:id="34"/>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1.4.1 投标人应具备承担本招标项目的资质条件。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（1）投标人资质条件：见投标人须知前附表； </w:t>
      </w:r>
    </w:p>
    <w:p>
      <w:pPr>
        <w:spacing w:line="440" w:lineRule="exact"/>
        <w:ind w:firstLine="420" w:firstLineChars="200"/>
        <w:rPr>
          <w:rFonts w:asciiTheme="minorEastAsia" w:hAnsiTheme="minorEastAsia" w:eastAsiaTheme="minorEastAsia" w:cstheme="minorEastAsia"/>
          <w:szCs w:val="21"/>
        </w:rPr>
      </w:pPr>
      <w:bookmarkStart w:id="35" w:name="_Toc403122496"/>
      <w:bookmarkStart w:id="36" w:name="_Toc279599775"/>
      <w:bookmarkStart w:id="37" w:name="_Toc274249579"/>
      <w:r>
        <w:rPr>
          <w:rFonts w:hint="eastAsia" w:asciiTheme="minorEastAsia" w:hAnsiTheme="minorEastAsia" w:eastAsiaTheme="minorEastAsia" w:cstheme="minorEastAsia"/>
          <w:szCs w:val="21"/>
        </w:rPr>
        <w:t>1.4.2 本次招标不接受联合体投标。</w:t>
      </w:r>
    </w:p>
    <w:p>
      <w:pPr>
        <w:spacing w:line="500" w:lineRule="exact"/>
        <w:ind w:firstLine="482" w:firstLineChars="200"/>
        <w:rPr>
          <w:rFonts w:asciiTheme="minorEastAsia" w:hAnsiTheme="minorEastAsia" w:eastAsiaTheme="minorEastAsia" w:cstheme="minorEastAsia"/>
          <w:b/>
          <w:bCs/>
          <w:sz w:val="24"/>
        </w:rPr>
      </w:pPr>
      <w:bookmarkStart w:id="38" w:name="_Toc426369484"/>
      <w:r>
        <w:rPr>
          <w:rFonts w:hint="eastAsia" w:asciiTheme="minorEastAsia" w:hAnsiTheme="minorEastAsia" w:eastAsiaTheme="minorEastAsia" w:cstheme="minorEastAsia"/>
          <w:b/>
          <w:bCs/>
          <w:sz w:val="24"/>
        </w:rPr>
        <w:t>1.5 费用承担</w:t>
      </w:r>
      <w:bookmarkEnd w:id="35"/>
      <w:bookmarkEnd w:id="36"/>
      <w:bookmarkEnd w:id="37"/>
      <w:bookmarkEnd w:id="3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投标人准备和参加投标活动发生的费用自理。 </w:t>
      </w:r>
    </w:p>
    <w:p>
      <w:pPr>
        <w:spacing w:line="500" w:lineRule="exact"/>
        <w:ind w:firstLine="482" w:firstLineChars="200"/>
        <w:rPr>
          <w:rFonts w:asciiTheme="minorEastAsia" w:hAnsiTheme="minorEastAsia" w:eastAsiaTheme="minorEastAsia" w:cstheme="minorEastAsia"/>
          <w:b/>
          <w:bCs/>
          <w:sz w:val="24"/>
        </w:rPr>
      </w:pPr>
      <w:bookmarkStart w:id="39" w:name="_Toc403122497"/>
      <w:bookmarkStart w:id="40" w:name="_Toc426369485"/>
      <w:r>
        <w:rPr>
          <w:rFonts w:hint="eastAsia" w:asciiTheme="minorEastAsia" w:hAnsiTheme="minorEastAsia" w:eastAsiaTheme="minorEastAsia" w:cstheme="minorEastAsia"/>
          <w:b/>
          <w:bCs/>
          <w:sz w:val="24"/>
        </w:rPr>
        <w:t>1.6 保密</w:t>
      </w:r>
      <w:bookmarkEnd w:id="39"/>
      <w:bookmarkEnd w:id="4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参与招标投标活动的各方应对招标文件和投标文件中的商业和技术等秘密保密，违者应对由此造成的后果承担法律责任。</w:t>
      </w:r>
    </w:p>
    <w:p>
      <w:pPr>
        <w:spacing w:line="500" w:lineRule="exact"/>
        <w:ind w:firstLine="482" w:firstLineChars="200"/>
        <w:rPr>
          <w:rFonts w:asciiTheme="minorEastAsia" w:hAnsiTheme="minorEastAsia" w:eastAsiaTheme="minorEastAsia" w:cstheme="minorEastAsia"/>
          <w:b/>
          <w:bCs/>
          <w:sz w:val="24"/>
        </w:rPr>
      </w:pPr>
      <w:bookmarkStart w:id="41" w:name="_Toc403122498"/>
      <w:bookmarkStart w:id="42" w:name="_Toc274249581"/>
      <w:bookmarkStart w:id="43" w:name="_Toc279599777"/>
      <w:bookmarkStart w:id="44" w:name="_Toc426369486"/>
      <w:r>
        <w:rPr>
          <w:rFonts w:hint="eastAsia" w:asciiTheme="minorEastAsia" w:hAnsiTheme="minorEastAsia" w:eastAsiaTheme="minorEastAsia" w:cstheme="minorEastAsia"/>
          <w:b/>
          <w:bCs/>
          <w:sz w:val="24"/>
        </w:rPr>
        <w:t>1.7 语言文字</w:t>
      </w:r>
      <w:bookmarkEnd w:id="41"/>
      <w:bookmarkEnd w:id="42"/>
      <w:bookmarkEnd w:id="43"/>
      <w:bookmarkEnd w:id="44"/>
      <w:r>
        <w:rPr>
          <w:rFonts w:hint="eastAsia" w:asciiTheme="minorEastAsia" w:hAnsiTheme="minorEastAsia" w:eastAsiaTheme="minorEastAsia" w:cstheme="minorEastAsia"/>
          <w:b/>
          <w:bCs/>
          <w:sz w:val="24"/>
        </w:rPr>
        <w:t xml:space="preserve">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1.7.1 采购文件以及投标人与采购人、采购代理机构就有关投标事宜的所有来往函电均应使用简体中文书写。</w:t>
      </w:r>
    </w:p>
    <w:p>
      <w:pPr>
        <w:pStyle w:val="5"/>
        <w:ind w:firstLine="420" w:firstLineChars="200"/>
        <w:rPr>
          <w:rFonts w:asciiTheme="minorEastAsia" w:hAnsiTheme="minorEastAsia" w:eastAsiaTheme="minorEastAsia" w:cstheme="minorEastAsia"/>
          <w:b w:val="0"/>
          <w:bCs w:val="0"/>
          <w:sz w:val="21"/>
          <w:szCs w:val="21"/>
        </w:rPr>
      </w:pPr>
      <w:bookmarkStart w:id="45" w:name="_Toc18685"/>
      <w:r>
        <w:rPr>
          <w:rFonts w:hint="eastAsia" w:asciiTheme="minorEastAsia" w:hAnsiTheme="minorEastAsia" w:eastAsiaTheme="minorEastAsia" w:cstheme="minorEastAsia"/>
          <w:b w:val="0"/>
          <w:bCs w:val="0"/>
          <w:sz w:val="21"/>
          <w:szCs w:val="21"/>
        </w:rPr>
        <w:t>1.7.2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bookmarkEnd w:id="45"/>
      <w:bookmarkStart w:id="46" w:name="_Toc403122499"/>
      <w:bookmarkStart w:id="47" w:name="_Toc426369487"/>
    </w:p>
    <w:p>
      <w:pPr>
        <w:pStyle w:val="5"/>
        <w:ind w:firstLine="482" w:firstLineChars="200"/>
        <w:rPr>
          <w:rFonts w:asciiTheme="minorEastAsia" w:hAnsiTheme="minorEastAsia" w:eastAsiaTheme="minorEastAsia" w:cstheme="minorEastAsia"/>
          <w:sz w:val="24"/>
        </w:rPr>
      </w:pPr>
      <w:bookmarkStart w:id="48" w:name="_Toc13161"/>
      <w:r>
        <w:rPr>
          <w:rFonts w:hint="eastAsia" w:asciiTheme="minorEastAsia" w:hAnsiTheme="minorEastAsia" w:eastAsiaTheme="minorEastAsia" w:cstheme="minorEastAsia"/>
          <w:sz w:val="24"/>
        </w:rPr>
        <w:t>1.8 计量单位</w:t>
      </w:r>
      <w:bookmarkEnd w:id="46"/>
      <w:bookmarkEnd w:id="47"/>
      <w:bookmarkEnd w:id="48"/>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1.8.2本响应性文件所表述的时间均为北京时间。</w:t>
      </w:r>
    </w:p>
    <w:p>
      <w:pPr>
        <w:spacing w:line="500" w:lineRule="exact"/>
        <w:ind w:firstLine="482" w:firstLineChars="200"/>
        <w:rPr>
          <w:rFonts w:asciiTheme="minorEastAsia" w:hAnsiTheme="minorEastAsia" w:eastAsiaTheme="minorEastAsia" w:cstheme="minorEastAsia"/>
          <w:b/>
          <w:bCs/>
          <w:sz w:val="24"/>
        </w:rPr>
      </w:pPr>
      <w:bookmarkStart w:id="49" w:name="_Toc403122500"/>
      <w:bookmarkStart w:id="50" w:name="_Toc274249583"/>
      <w:bookmarkStart w:id="51" w:name="_Toc279599779"/>
      <w:bookmarkStart w:id="52" w:name="_Toc426369488"/>
      <w:r>
        <w:rPr>
          <w:rFonts w:hint="eastAsia" w:asciiTheme="minorEastAsia" w:hAnsiTheme="minorEastAsia" w:eastAsiaTheme="minorEastAsia" w:cstheme="minorEastAsia"/>
          <w:b/>
          <w:bCs/>
          <w:sz w:val="24"/>
        </w:rPr>
        <w:t>1.9 踏勘现场</w:t>
      </w:r>
      <w:bookmarkEnd w:id="49"/>
      <w:bookmarkEnd w:id="50"/>
      <w:bookmarkEnd w:id="51"/>
      <w:bookmarkEnd w:id="52"/>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1.9.1  由于项目特殊性，本次招标需投标人自行勘查。 </w:t>
      </w:r>
    </w:p>
    <w:p>
      <w:pPr>
        <w:spacing w:line="500" w:lineRule="exact"/>
        <w:ind w:firstLine="482" w:firstLineChars="200"/>
        <w:rPr>
          <w:rFonts w:asciiTheme="minorEastAsia" w:hAnsiTheme="minorEastAsia" w:eastAsiaTheme="minorEastAsia" w:cstheme="minorEastAsia"/>
          <w:b/>
          <w:bCs/>
          <w:sz w:val="24"/>
        </w:rPr>
      </w:pPr>
      <w:bookmarkStart w:id="53" w:name="_Toc274249584"/>
      <w:bookmarkStart w:id="54" w:name="_Toc403122501"/>
      <w:bookmarkStart w:id="55" w:name="_Toc279599780"/>
      <w:bookmarkStart w:id="56" w:name="_Toc426369489"/>
      <w:r>
        <w:rPr>
          <w:rFonts w:hint="eastAsia" w:asciiTheme="minorEastAsia" w:hAnsiTheme="minorEastAsia" w:eastAsiaTheme="minorEastAsia" w:cstheme="minorEastAsia"/>
          <w:b/>
          <w:bCs/>
          <w:sz w:val="24"/>
        </w:rPr>
        <w:t>1.10 投标预备会</w:t>
      </w:r>
      <w:bookmarkEnd w:id="53"/>
      <w:bookmarkEnd w:id="54"/>
      <w:bookmarkEnd w:id="55"/>
      <w:bookmarkEnd w:id="56"/>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1.10.1 本次招标不召开投标预备会。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1.10.2 投标人应在投标人须知前附表规定的时间前，以书面形式将提出的问题送达招标代理人。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1.10.3 采购人在投标人须知前附表规定的时间内，将对投标人所提问题的澄清，以书面方式通知所有已领取招标文件的投标人。该澄清内容为招标文件的组成部分。 </w:t>
      </w:r>
    </w:p>
    <w:p>
      <w:pPr>
        <w:spacing w:line="500" w:lineRule="exact"/>
        <w:ind w:firstLine="482" w:firstLineChars="200"/>
        <w:rPr>
          <w:rFonts w:asciiTheme="minorEastAsia" w:hAnsiTheme="minorEastAsia" w:eastAsiaTheme="minorEastAsia" w:cstheme="minorEastAsia"/>
          <w:b/>
          <w:bCs/>
          <w:sz w:val="24"/>
        </w:rPr>
      </w:pPr>
      <w:bookmarkStart w:id="57" w:name="_Toc274249585"/>
      <w:bookmarkStart w:id="58" w:name="_Toc426369490"/>
      <w:bookmarkStart w:id="59" w:name="_Toc403122502"/>
      <w:bookmarkStart w:id="60" w:name="_Toc279599781"/>
      <w:r>
        <w:rPr>
          <w:rFonts w:hint="eastAsia" w:asciiTheme="minorEastAsia" w:hAnsiTheme="minorEastAsia" w:eastAsiaTheme="minorEastAsia" w:cstheme="minorEastAsia"/>
          <w:b/>
          <w:bCs/>
          <w:sz w:val="24"/>
        </w:rPr>
        <w:t>1.11 分包</w:t>
      </w:r>
      <w:bookmarkEnd w:id="57"/>
      <w:bookmarkEnd w:id="58"/>
      <w:bookmarkEnd w:id="59"/>
      <w:bookmarkEnd w:id="60"/>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本次招标项目不允许分包。 </w:t>
      </w:r>
    </w:p>
    <w:p>
      <w:pPr>
        <w:pStyle w:val="21"/>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61" w:name="_Toc9121"/>
      <w:bookmarkStart w:id="62" w:name="_Toc5496"/>
      <w:bookmarkStart w:id="63" w:name="_Toc28663"/>
      <w:r>
        <w:rPr>
          <w:rFonts w:hint="eastAsia" w:asciiTheme="minorEastAsia" w:hAnsiTheme="minorEastAsia" w:eastAsiaTheme="minorEastAsia" w:cstheme="minorEastAsia"/>
          <w:sz w:val="24"/>
          <w:szCs w:val="24"/>
        </w:rPr>
        <w:t>2. 招标文件</w:t>
      </w:r>
      <w:bookmarkEnd w:id="16"/>
      <w:bookmarkEnd w:id="17"/>
      <w:bookmarkEnd w:id="18"/>
      <w:bookmarkEnd w:id="61"/>
      <w:bookmarkEnd w:id="62"/>
      <w:bookmarkEnd w:id="63"/>
    </w:p>
    <w:p>
      <w:pPr>
        <w:spacing w:line="500" w:lineRule="exact"/>
        <w:ind w:firstLine="482" w:firstLineChars="200"/>
        <w:rPr>
          <w:rFonts w:asciiTheme="minorEastAsia" w:hAnsiTheme="minorEastAsia" w:eastAsiaTheme="minorEastAsia" w:cstheme="minorEastAsia"/>
          <w:b/>
          <w:bCs/>
          <w:sz w:val="24"/>
        </w:rPr>
      </w:pPr>
      <w:bookmarkStart w:id="64" w:name="_Toc274249587"/>
      <w:bookmarkStart w:id="65" w:name="_Toc426369492"/>
      <w:bookmarkStart w:id="66" w:name="_Toc403122504"/>
      <w:bookmarkStart w:id="67" w:name="_Toc279599783"/>
      <w:r>
        <w:rPr>
          <w:rFonts w:hint="eastAsia" w:asciiTheme="minorEastAsia" w:hAnsiTheme="minorEastAsia" w:eastAsiaTheme="minorEastAsia" w:cstheme="minorEastAsia"/>
          <w:b/>
          <w:bCs/>
          <w:sz w:val="24"/>
        </w:rPr>
        <w:t>2.1 招标文件的组成</w:t>
      </w:r>
      <w:bookmarkEnd w:id="64"/>
      <w:bookmarkEnd w:id="65"/>
      <w:bookmarkEnd w:id="66"/>
      <w:bookmarkEnd w:id="67"/>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本招标文件包括： </w:t>
      </w:r>
    </w:p>
    <w:p>
      <w:pPr>
        <w:tabs>
          <w:tab w:val="left" w:pos="525"/>
          <w:tab w:val="left" w:pos="630"/>
        </w:tabs>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（1）招标公告；</w:t>
      </w:r>
    </w:p>
    <w:p>
      <w:pPr>
        <w:tabs>
          <w:tab w:val="left" w:pos="525"/>
          <w:tab w:val="left" w:pos="630"/>
        </w:tabs>
        <w:spacing w:line="440" w:lineRule="exact"/>
        <w:ind w:left="420" w:left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（2）投标人须知； </w:t>
      </w:r>
    </w:p>
    <w:p>
      <w:pPr>
        <w:tabs>
          <w:tab w:val="left" w:pos="525"/>
          <w:tab w:val="left" w:pos="630"/>
        </w:tabs>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（3）评标办法（综合评分法）； </w:t>
      </w:r>
    </w:p>
    <w:p>
      <w:pPr>
        <w:tabs>
          <w:tab w:val="left" w:pos="525"/>
          <w:tab w:val="left" w:pos="630"/>
        </w:tabs>
        <w:spacing w:line="440" w:lineRule="exact"/>
        <w:ind w:left="42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（4）合同条款及格式； </w:t>
      </w:r>
    </w:p>
    <w:p>
      <w:pPr>
        <w:tabs>
          <w:tab w:val="left" w:pos="525"/>
          <w:tab w:val="left" w:pos="630"/>
        </w:tabs>
        <w:spacing w:line="440" w:lineRule="exact"/>
        <w:ind w:left="42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（5）采购需求及参数； </w:t>
      </w:r>
    </w:p>
    <w:p>
      <w:pPr>
        <w:tabs>
          <w:tab w:val="left" w:pos="525"/>
          <w:tab w:val="left" w:pos="630"/>
        </w:tabs>
        <w:spacing w:line="440" w:lineRule="exact"/>
        <w:ind w:left="42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（6）投标文件格式；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sz w:val="24"/>
        </w:rPr>
      </w:pPr>
      <w:bookmarkStart w:id="68" w:name="_Toc403122505"/>
      <w:bookmarkStart w:id="69" w:name="_Toc426369493"/>
      <w:bookmarkStart w:id="70" w:name="_Toc279599784"/>
      <w:bookmarkStart w:id="71" w:name="_Toc274249588"/>
      <w:r>
        <w:rPr>
          <w:rFonts w:hint="eastAsia" w:asciiTheme="minorEastAsia" w:hAnsiTheme="minorEastAsia" w:eastAsiaTheme="minorEastAsia" w:cstheme="minorEastAsia"/>
          <w:b/>
          <w:bCs/>
          <w:sz w:val="24"/>
        </w:rPr>
        <w:t>2.2 招标文件的澄清</w:t>
      </w:r>
      <w:bookmarkEnd w:id="68"/>
      <w:bookmarkEnd w:id="69"/>
      <w:bookmarkEnd w:id="70"/>
      <w:bookmarkEnd w:id="71"/>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2.2.1 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2.2.2 招标文件的澄清将在投标人须知前附表规定的投标截止时间15天前以书面形式发给所有购买招标文件的投标人，但不指明澄清问题的来源。如果澄清发出的时间距投标截止时间不足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2.2.3 投标人在收到澄清后，应在投标人须知前附表规定的时间内以书面形式通知采购人，确认已收到该澄清。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sz w:val="24"/>
        </w:rPr>
      </w:pPr>
      <w:bookmarkStart w:id="72" w:name="_Toc274249589"/>
      <w:bookmarkStart w:id="73" w:name="_Toc279599785"/>
      <w:bookmarkStart w:id="74" w:name="_Toc403122506"/>
      <w:bookmarkStart w:id="75" w:name="_Toc426369494"/>
      <w:r>
        <w:rPr>
          <w:rFonts w:hint="eastAsia" w:asciiTheme="minorEastAsia" w:hAnsiTheme="minorEastAsia" w:eastAsiaTheme="minorEastAsia" w:cstheme="minorEastAsia"/>
          <w:b/>
          <w:bCs/>
          <w:sz w:val="24"/>
        </w:rPr>
        <w:t>2.3 招标文件的修改</w:t>
      </w:r>
      <w:bookmarkEnd w:id="72"/>
      <w:bookmarkEnd w:id="73"/>
      <w:bookmarkEnd w:id="74"/>
      <w:bookmarkEnd w:id="7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2.3.1  在投标截止时间 15天前，采购人可以书面形式修改招标文件，并通知所有已购买招标文件的投标人。如果修改招标文件的时间距投标截止时间不足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2.3.2  投标人收到修改内容后，应在投标人须知前附表规定的时间内以书面形式通知采购人，确认已收到该修改。 </w:t>
      </w:r>
      <w:bookmarkStart w:id="76" w:name="_Toc23265"/>
      <w:bookmarkStart w:id="77" w:name="_Toc426369495"/>
      <w:bookmarkStart w:id="78" w:name="_Toc403122507"/>
    </w:p>
    <w:p>
      <w:pPr>
        <w:pStyle w:val="21"/>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79" w:name="_Toc22914"/>
      <w:bookmarkStart w:id="80" w:name="_Toc17990"/>
      <w:bookmarkStart w:id="81" w:name="_Toc13865"/>
      <w:r>
        <w:rPr>
          <w:rFonts w:hint="eastAsia" w:asciiTheme="minorEastAsia" w:hAnsiTheme="minorEastAsia" w:eastAsiaTheme="minorEastAsia" w:cstheme="minorEastAsia"/>
          <w:sz w:val="24"/>
          <w:szCs w:val="24"/>
        </w:rPr>
        <w:t>3. 投标文件</w:t>
      </w:r>
      <w:bookmarkEnd w:id="76"/>
      <w:bookmarkEnd w:id="77"/>
      <w:bookmarkEnd w:id="78"/>
      <w:bookmarkEnd w:id="79"/>
      <w:bookmarkEnd w:id="80"/>
      <w:bookmarkEnd w:id="81"/>
    </w:p>
    <w:p>
      <w:pPr>
        <w:spacing w:line="500" w:lineRule="exact"/>
        <w:ind w:firstLine="482" w:firstLineChars="200"/>
        <w:rPr>
          <w:rFonts w:asciiTheme="minorEastAsia" w:hAnsiTheme="minorEastAsia" w:eastAsiaTheme="minorEastAsia" w:cstheme="minorEastAsia"/>
          <w:b/>
          <w:bCs/>
          <w:sz w:val="24"/>
        </w:rPr>
      </w:pPr>
      <w:bookmarkStart w:id="82" w:name="_Toc403122508"/>
      <w:bookmarkStart w:id="83" w:name="_Toc274249591"/>
      <w:bookmarkStart w:id="84" w:name="_Toc426369496"/>
      <w:bookmarkStart w:id="85" w:name="_Toc279599787"/>
      <w:r>
        <w:rPr>
          <w:rFonts w:hint="eastAsia" w:asciiTheme="minorEastAsia" w:hAnsiTheme="minorEastAsia" w:eastAsiaTheme="minorEastAsia" w:cstheme="minorEastAsia"/>
          <w:b/>
          <w:bCs/>
          <w:sz w:val="24"/>
        </w:rPr>
        <w:t>3.1 投标文件的组成</w:t>
      </w:r>
      <w:bookmarkEnd w:id="82"/>
      <w:bookmarkEnd w:id="83"/>
      <w:bookmarkEnd w:id="84"/>
      <w:bookmarkEnd w:id="8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3.1.1 投标文件应包括下列内容： </w:t>
      </w:r>
    </w:p>
    <w:p>
      <w:pPr>
        <w:spacing w:line="440" w:lineRule="exact"/>
        <w:ind w:firstLine="420" w:firstLineChars="200"/>
        <w:rPr>
          <w:rFonts w:ascii="宋体" w:hAnsi="宋体" w:cs="宋体"/>
          <w:szCs w:val="21"/>
        </w:rPr>
      </w:pPr>
      <w:bookmarkStart w:id="86" w:name="_Toc426369497"/>
      <w:bookmarkStart w:id="87" w:name="_Toc403122509"/>
      <w:bookmarkStart w:id="88" w:name="_Toc274249592"/>
      <w:bookmarkStart w:id="89" w:name="_Toc279599788"/>
      <w:r>
        <w:rPr>
          <w:rFonts w:hint="eastAsia" w:ascii="宋体" w:hAnsi="宋体" w:cs="宋体"/>
          <w:szCs w:val="21"/>
        </w:rPr>
        <w:t>一、投标函及开标一览表</w:t>
      </w:r>
    </w:p>
    <w:p>
      <w:pPr>
        <w:spacing w:line="440" w:lineRule="exact"/>
        <w:ind w:firstLine="420" w:firstLineChars="200"/>
        <w:rPr>
          <w:rFonts w:ascii="宋体" w:hAnsi="宋体" w:cs="宋体"/>
          <w:szCs w:val="21"/>
        </w:rPr>
      </w:pPr>
      <w:r>
        <w:rPr>
          <w:rFonts w:hint="eastAsia" w:ascii="宋体" w:hAnsi="宋体" w:cs="宋体"/>
          <w:szCs w:val="21"/>
        </w:rPr>
        <w:t>（一）投标函</w:t>
      </w:r>
    </w:p>
    <w:p>
      <w:pPr>
        <w:spacing w:line="440" w:lineRule="exact"/>
        <w:ind w:firstLine="420" w:firstLineChars="200"/>
        <w:rPr>
          <w:rFonts w:ascii="宋体" w:hAnsi="宋体" w:cs="宋体"/>
          <w:szCs w:val="21"/>
        </w:rPr>
      </w:pPr>
      <w:r>
        <w:rPr>
          <w:rFonts w:hint="eastAsia" w:ascii="宋体" w:hAnsi="宋体" w:cs="宋体"/>
          <w:szCs w:val="21"/>
        </w:rPr>
        <w:t>（二）开标一览表</w:t>
      </w:r>
    </w:p>
    <w:p>
      <w:pPr>
        <w:spacing w:line="440" w:lineRule="exact"/>
        <w:ind w:firstLine="420" w:firstLineChars="200"/>
        <w:rPr>
          <w:rFonts w:ascii="宋体" w:hAnsi="宋体" w:cs="宋体"/>
          <w:szCs w:val="21"/>
        </w:rPr>
      </w:pPr>
      <w:r>
        <w:rPr>
          <w:rFonts w:hint="eastAsia" w:ascii="宋体" w:hAnsi="宋体" w:cs="宋体"/>
          <w:szCs w:val="21"/>
        </w:rPr>
        <w:t>二、法定代表人身份证明书</w:t>
      </w:r>
    </w:p>
    <w:p>
      <w:pPr>
        <w:spacing w:line="440" w:lineRule="exact"/>
        <w:ind w:firstLine="420" w:firstLineChars="200"/>
        <w:rPr>
          <w:rFonts w:ascii="宋体" w:hAnsi="宋体" w:cs="宋体"/>
          <w:szCs w:val="21"/>
        </w:rPr>
      </w:pPr>
      <w:r>
        <w:rPr>
          <w:rFonts w:hint="eastAsia" w:ascii="宋体" w:hAnsi="宋体" w:cs="宋体"/>
          <w:szCs w:val="21"/>
        </w:rPr>
        <w:t>三、授权委托书</w:t>
      </w:r>
    </w:p>
    <w:p>
      <w:pPr>
        <w:spacing w:line="440" w:lineRule="exact"/>
        <w:ind w:firstLine="420" w:firstLineChars="200"/>
        <w:rPr>
          <w:rFonts w:ascii="宋体" w:hAnsi="宋体" w:cs="宋体"/>
          <w:szCs w:val="21"/>
        </w:rPr>
      </w:pPr>
      <w:r>
        <w:rPr>
          <w:rFonts w:hint="eastAsia" w:ascii="宋体" w:hAnsi="宋体" w:cs="宋体"/>
          <w:szCs w:val="21"/>
        </w:rPr>
        <w:t>四、项目实施方案等</w:t>
      </w:r>
    </w:p>
    <w:p>
      <w:pPr>
        <w:spacing w:line="440" w:lineRule="exact"/>
        <w:ind w:firstLine="420" w:firstLineChars="200"/>
        <w:rPr>
          <w:rFonts w:ascii="宋体" w:hAnsi="宋体" w:cs="宋体"/>
          <w:szCs w:val="21"/>
        </w:rPr>
      </w:pPr>
      <w:r>
        <w:rPr>
          <w:rFonts w:hint="eastAsia" w:ascii="宋体" w:hAnsi="宋体" w:cs="宋体"/>
          <w:szCs w:val="21"/>
        </w:rPr>
        <w:t>五、资格证明文件；</w:t>
      </w:r>
    </w:p>
    <w:p>
      <w:pPr>
        <w:pStyle w:val="22"/>
        <w:spacing w:line="440" w:lineRule="exact"/>
        <w:ind w:firstLineChars="200"/>
        <w:rPr>
          <w:rFonts w:hint="default" w:ascii="宋体" w:hAnsi="宋体" w:eastAsia="宋体" w:cs="宋体"/>
          <w:sz w:val="21"/>
          <w:szCs w:val="21"/>
        </w:rPr>
      </w:pPr>
      <w:r>
        <w:rPr>
          <w:rFonts w:ascii="宋体" w:hAnsi="宋体" w:eastAsia="宋体" w:cs="宋体"/>
          <w:sz w:val="21"/>
          <w:szCs w:val="21"/>
        </w:rPr>
        <w:t>六、投标人服务承诺和优惠承诺</w:t>
      </w:r>
    </w:p>
    <w:p>
      <w:pPr>
        <w:spacing w:line="440" w:lineRule="exact"/>
        <w:ind w:firstLine="420" w:firstLineChars="200"/>
        <w:rPr>
          <w:rFonts w:ascii="宋体" w:hAnsi="宋体" w:cs="宋体"/>
          <w:szCs w:val="21"/>
        </w:rPr>
      </w:pPr>
      <w:r>
        <w:rPr>
          <w:rFonts w:hint="eastAsia" w:ascii="宋体" w:hAnsi="宋体" w:cs="宋体"/>
          <w:szCs w:val="21"/>
        </w:rPr>
        <w:t>七、中小企业声明函；</w:t>
      </w:r>
    </w:p>
    <w:p>
      <w:pPr>
        <w:spacing w:line="440" w:lineRule="exact"/>
        <w:ind w:firstLine="420" w:firstLineChars="200"/>
        <w:rPr>
          <w:rFonts w:ascii="宋体" w:hAnsi="宋体" w:cs="宋体"/>
          <w:szCs w:val="21"/>
        </w:rPr>
      </w:pPr>
      <w:r>
        <w:rPr>
          <w:rFonts w:hint="eastAsia" w:ascii="宋体" w:hAnsi="宋体" w:cs="宋体"/>
          <w:szCs w:val="21"/>
        </w:rPr>
        <w:t>九、招标文件要求的或投标人认为需要加以说明的其他内容。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3.2 投标报价</w:t>
      </w:r>
      <w:bookmarkEnd w:id="86"/>
      <w:bookmarkEnd w:id="87"/>
      <w:bookmarkEnd w:id="88"/>
      <w:bookmarkEnd w:id="89"/>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3.2.1投标报价包括：投标人的投标报价应包括所有服务工作以及由承包人承担的义务、责任和风险等全部费用。投标人所报的投标价在投标有效期内是固定不变的，投标人不得以任何理由予以变更。</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3.2.2投标报价在中标后不得修改。</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3.2.3投标人只能提出一个不变价格，采购人不接受任何选择价。</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3.2.4投标人必须对招标范围内的所有服务投标。</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3.2.6投标报价原则是各投标人依据自身实力、管理水平，结合企业所在地区的人工工资标准，在确保项目质量，确保项目成本的基础上，自主报价、自负盈亏。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sz w:val="24"/>
        </w:rPr>
      </w:pPr>
      <w:bookmarkStart w:id="90" w:name="_Toc274249593"/>
      <w:bookmarkStart w:id="91" w:name="_Toc426369498"/>
      <w:bookmarkStart w:id="92" w:name="_Toc403122510"/>
      <w:bookmarkStart w:id="93" w:name="_Toc279599789"/>
      <w:r>
        <w:rPr>
          <w:rFonts w:hint="eastAsia" w:asciiTheme="minorEastAsia" w:hAnsiTheme="minorEastAsia" w:eastAsiaTheme="minorEastAsia" w:cstheme="minorEastAsia"/>
          <w:b/>
          <w:bCs/>
          <w:sz w:val="24"/>
        </w:rPr>
        <w:t>3.3 投标有效期</w:t>
      </w:r>
      <w:bookmarkEnd w:id="90"/>
      <w:bookmarkEnd w:id="91"/>
      <w:bookmarkEnd w:id="92"/>
      <w:bookmarkEnd w:id="93"/>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3.3.1在投标人须知前附表规定的投标有效期内，投标人不得要求撤销或修改其投标文件。 </w:t>
      </w:r>
    </w:p>
    <w:p>
      <w:pPr>
        <w:spacing w:line="500" w:lineRule="exact"/>
        <w:ind w:firstLine="482" w:firstLineChars="200"/>
        <w:rPr>
          <w:rFonts w:asciiTheme="minorEastAsia" w:hAnsiTheme="minorEastAsia" w:eastAsiaTheme="minorEastAsia" w:cstheme="minorEastAsia"/>
          <w:b/>
          <w:bCs/>
          <w:sz w:val="24"/>
        </w:rPr>
      </w:pPr>
      <w:bookmarkStart w:id="94" w:name="_Toc403122512"/>
      <w:bookmarkStart w:id="95" w:name="_Toc279599791"/>
      <w:bookmarkStart w:id="96" w:name="_Toc274249595"/>
      <w:bookmarkStart w:id="97" w:name="_Toc426369501"/>
      <w:r>
        <w:rPr>
          <w:rFonts w:hint="eastAsia" w:asciiTheme="minorEastAsia" w:hAnsiTheme="minorEastAsia" w:eastAsiaTheme="minorEastAsia" w:cstheme="minorEastAsia"/>
          <w:b/>
          <w:bCs/>
          <w:sz w:val="24"/>
        </w:rPr>
        <w:t>3.5 资格审查资料</w:t>
      </w:r>
      <w:bookmarkEnd w:id="94"/>
      <w:bookmarkEnd w:id="95"/>
      <w:bookmarkEnd w:id="96"/>
      <w:bookmarkEnd w:id="97"/>
    </w:p>
    <w:p>
      <w:pPr>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3.5.1</w:t>
      </w:r>
      <w:r>
        <w:rPr>
          <w:rFonts w:hint="eastAsia" w:ascii="宋体" w:hAnsi="宋体" w:cs="宋体"/>
          <w:kern w:val="0"/>
          <w:szCs w:val="21"/>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szCs w:val="21"/>
        </w:rPr>
        <w:t xml:space="preserve">。 </w:t>
      </w:r>
    </w:p>
    <w:p>
      <w:pPr>
        <w:spacing w:line="420" w:lineRule="exact"/>
        <w:ind w:firstLine="420" w:firstLineChars="200"/>
        <w:rPr>
          <w:rFonts w:asciiTheme="minorEastAsia" w:hAnsiTheme="minorEastAsia" w:eastAsiaTheme="minorEastAsia" w:cstheme="minorEastAsia"/>
          <w:szCs w:val="21"/>
        </w:rPr>
      </w:pPr>
      <w:r>
        <w:rPr>
          <w:rFonts w:hint="eastAsia" w:ascii="宋体" w:hAnsi="宋体" w:cs="宋体"/>
          <w:szCs w:val="21"/>
        </w:rPr>
        <w:t>3.5.2招标文件规定的投标人资格条件。</w:t>
      </w:r>
    </w:p>
    <w:p>
      <w:pPr>
        <w:spacing w:line="500" w:lineRule="exact"/>
        <w:ind w:firstLine="482" w:firstLineChars="200"/>
        <w:rPr>
          <w:rFonts w:asciiTheme="minorEastAsia" w:hAnsiTheme="minorEastAsia" w:eastAsiaTheme="minorEastAsia" w:cstheme="minorEastAsia"/>
          <w:b/>
          <w:bCs/>
          <w:sz w:val="24"/>
        </w:rPr>
      </w:pPr>
      <w:bookmarkStart w:id="98" w:name="_Toc279599792"/>
      <w:bookmarkStart w:id="99" w:name="_Toc426369502"/>
      <w:bookmarkStart w:id="100" w:name="_Toc403122513"/>
      <w:bookmarkStart w:id="101" w:name="_Toc274249596"/>
      <w:r>
        <w:rPr>
          <w:rFonts w:hint="eastAsia" w:asciiTheme="minorEastAsia" w:hAnsiTheme="minorEastAsia" w:eastAsiaTheme="minorEastAsia" w:cstheme="minorEastAsia"/>
          <w:b/>
          <w:bCs/>
          <w:sz w:val="24"/>
        </w:rPr>
        <w:t>3.6 备选投标方案</w:t>
      </w:r>
      <w:bookmarkEnd w:id="98"/>
      <w:bookmarkEnd w:id="99"/>
      <w:bookmarkEnd w:id="100"/>
      <w:bookmarkEnd w:id="101"/>
    </w:p>
    <w:p>
      <w:pPr>
        <w:tabs>
          <w:tab w:val="left" w:pos="3570"/>
        </w:tabs>
        <w:spacing w:line="42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投标人不得递交备选投标方案。 </w:t>
      </w:r>
    </w:p>
    <w:p>
      <w:pPr>
        <w:spacing w:line="500" w:lineRule="exact"/>
        <w:ind w:firstLine="482" w:firstLineChars="200"/>
        <w:rPr>
          <w:rFonts w:asciiTheme="minorEastAsia" w:hAnsiTheme="minorEastAsia" w:eastAsiaTheme="minorEastAsia" w:cstheme="minorEastAsia"/>
          <w:b/>
          <w:bCs/>
          <w:sz w:val="24"/>
        </w:rPr>
      </w:pPr>
      <w:bookmarkStart w:id="102" w:name="_Toc403122514"/>
      <w:bookmarkStart w:id="103" w:name="_Toc279599793"/>
      <w:bookmarkStart w:id="104" w:name="_Toc274249597"/>
      <w:bookmarkStart w:id="105" w:name="_Toc426369503"/>
      <w:r>
        <w:rPr>
          <w:rFonts w:hint="eastAsia" w:asciiTheme="minorEastAsia" w:hAnsiTheme="minorEastAsia" w:eastAsiaTheme="minorEastAsia" w:cstheme="minorEastAsia"/>
          <w:b/>
          <w:bCs/>
          <w:sz w:val="24"/>
        </w:rPr>
        <w:t>3.7 投标文件的编制</w:t>
      </w:r>
      <w:bookmarkEnd w:id="102"/>
      <w:bookmarkEnd w:id="103"/>
      <w:bookmarkEnd w:id="104"/>
      <w:bookmarkEnd w:id="10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3.7.1 投标文件应按招标文件中要求</w:t>
      </w:r>
      <w:r>
        <w:rPr>
          <w:rFonts w:hint="eastAsia" w:ascii="宋体" w:hAnsi="宋体" w:cs="宋体"/>
          <w:kern w:val="0"/>
          <w:szCs w:val="21"/>
        </w:rPr>
        <w:t>使用焦作市公共资源交易系统投标文件制作专用工具软件编制</w:t>
      </w:r>
      <w:r>
        <w:rPr>
          <w:rFonts w:hint="eastAsia" w:asciiTheme="minorEastAsia" w:hAnsiTheme="minorEastAsia" w:eastAsiaTheme="minorEastAsia" w:cstheme="minorEastAsia"/>
          <w:szCs w:val="21"/>
        </w:rPr>
        <w:t xml:space="preserve">。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3.7.2  投标文件应当对招标文件有关服务期、投标有效期、质量标准、采购要求及服务内容、等实质性内容作出响应。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3.7.3 </w:t>
      </w:r>
      <w:r>
        <w:rPr>
          <w:rFonts w:hint="eastAsia" w:ascii="宋体" w:hAnsi="宋体" w:cs="宋体"/>
          <w:kern w:val="0"/>
          <w:szCs w:val="21"/>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w:t>
      </w:r>
    </w:p>
    <w:p>
      <w:pPr>
        <w:pStyle w:val="21"/>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06" w:name="_Toc403122515"/>
      <w:bookmarkStart w:id="107" w:name="_Toc30100"/>
      <w:bookmarkStart w:id="108" w:name="_Toc26998"/>
      <w:bookmarkStart w:id="109" w:name="_Toc31809"/>
      <w:bookmarkStart w:id="110" w:name="_Toc15900"/>
      <w:bookmarkStart w:id="111" w:name="_Toc426369504"/>
      <w:r>
        <w:rPr>
          <w:rFonts w:hint="eastAsia" w:asciiTheme="minorEastAsia" w:hAnsiTheme="minorEastAsia" w:eastAsiaTheme="minorEastAsia" w:cstheme="minorEastAsia"/>
          <w:sz w:val="24"/>
          <w:szCs w:val="24"/>
        </w:rPr>
        <w:t>4. 投标</w:t>
      </w:r>
      <w:bookmarkEnd w:id="106"/>
      <w:bookmarkEnd w:id="107"/>
      <w:bookmarkEnd w:id="108"/>
      <w:bookmarkEnd w:id="109"/>
      <w:bookmarkEnd w:id="110"/>
      <w:bookmarkEnd w:id="111"/>
    </w:p>
    <w:p>
      <w:pPr>
        <w:spacing w:line="500" w:lineRule="exact"/>
        <w:ind w:firstLine="482" w:firstLineChars="200"/>
        <w:rPr>
          <w:rFonts w:asciiTheme="minorEastAsia" w:hAnsiTheme="minorEastAsia" w:eastAsiaTheme="minorEastAsia" w:cstheme="minorEastAsia"/>
          <w:b/>
          <w:bCs/>
          <w:sz w:val="24"/>
        </w:rPr>
      </w:pPr>
      <w:bookmarkStart w:id="112" w:name="_Toc403122516"/>
      <w:bookmarkStart w:id="113" w:name="_Toc274249599"/>
      <w:bookmarkStart w:id="114" w:name="_Toc426369505"/>
      <w:bookmarkStart w:id="115" w:name="_Toc279599795"/>
      <w:r>
        <w:rPr>
          <w:rFonts w:hint="eastAsia" w:asciiTheme="minorEastAsia" w:hAnsiTheme="minorEastAsia" w:eastAsiaTheme="minorEastAsia" w:cstheme="minorEastAsia"/>
          <w:b/>
          <w:bCs/>
          <w:sz w:val="24"/>
        </w:rPr>
        <w:t>4.1 投标文件的密封和标记</w:t>
      </w:r>
      <w:bookmarkEnd w:id="112"/>
      <w:bookmarkEnd w:id="113"/>
      <w:bookmarkEnd w:id="114"/>
      <w:bookmarkEnd w:id="115"/>
    </w:p>
    <w:p>
      <w:pPr>
        <w:autoSpaceDE w:val="0"/>
        <w:autoSpaceDN w:val="0"/>
        <w:adjustRightInd w:val="0"/>
        <w:spacing w:line="440" w:lineRule="exact"/>
        <w:ind w:firstLine="420" w:firstLineChars="200"/>
        <w:jc w:val="left"/>
        <w:rPr>
          <w:rFonts w:asciiTheme="minorEastAsia" w:hAnsiTheme="minorEastAsia" w:eastAsiaTheme="minorEastAsia" w:cstheme="minorEastAsia"/>
          <w:szCs w:val="21"/>
        </w:rPr>
      </w:pPr>
      <w:r>
        <w:rPr>
          <w:rFonts w:hint="eastAsia" w:ascii="宋体" w:hAnsi="宋体" w:cs="宋体"/>
          <w:kern w:val="0"/>
          <w:szCs w:val="21"/>
        </w:rPr>
        <w:t>4.1.1.本项目采用</w:t>
      </w:r>
      <w:r>
        <w:rPr>
          <w:rFonts w:hint="eastAsia" w:ascii="宋体" w:hAnsi="宋体" w:cs="宋体"/>
          <w:kern w:val="0"/>
          <w:szCs w:val="21"/>
          <w:lang w:val="zh-CN"/>
        </w:rPr>
        <w:t>网上上传的电子投标文件</w:t>
      </w:r>
      <w:r>
        <w:rPr>
          <w:rFonts w:hint="eastAsia" w:ascii="宋体" w:hAnsi="宋体" w:cs="宋体"/>
          <w:kern w:val="0"/>
          <w:szCs w:val="21"/>
        </w:rPr>
        <w:t>,</w:t>
      </w:r>
      <w:r>
        <w:rPr>
          <w:rFonts w:hint="eastAsia" w:ascii="宋体" w:hAnsi="宋体" w:cs="宋体"/>
          <w:kern w:val="0"/>
          <w:szCs w:val="21"/>
          <w:lang w:val="zh-CN"/>
        </w:rPr>
        <w:t>应使用数字证书认证并加密。</w:t>
      </w:r>
    </w:p>
    <w:p>
      <w:pPr>
        <w:spacing w:line="500" w:lineRule="exact"/>
        <w:ind w:firstLine="482" w:firstLineChars="200"/>
        <w:rPr>
          <w:rFonts w:asciiTheme="minorEastAsia" w:hAnsiTheme="minorEastAsia" w:eastAsiaTheme="minorEastAsia" w:cstheme="minorEastAsia"/>
          <w:b/>
          <w:bCs/>
          <w:sz w:val="24"/>
        </w:rPr>
      </w:pPr>
      <w:bookmarkStart w:id="116" w:name="_Toc403122517"/>
      <w:bookmarkStart w:id="117" w:name="_Toc279599796"/>
      <w:bookmarkStart w:id="118" w:name="_Toc274249600"/>
      <w:bookmarkStart w:id="119" w:name="_Toc426369506"/>
      <w:r>
        <w:rPr>
          <w:rFonts w:hint="eastAsia" w:asciiTheme="minorEastAsia" w:hAnsiTheme="minorEastAsia" w:eastAsiaTheme="minorEastAsia" w:cstheme="minorEastAsia"/>
          <w:b/>
          <w:bCs/>
          <w:sz w:val="24"/>
        </w:rPr>
        <w:t>4.2 投标文件的递交</w:t>
      </w:r>
      <w:bookmarkEnd w:id="116"/>
      <w:bookmarkEnd w:id="117"/>
      <w:bookmarkEnd w:id="118"/>
      <w:bookmarkEnd w:id="119"/>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4.2.1</w:t>
      </w:r>
      <w:r>
        <w:rPr>
          <w:rFonts w:hint="eastAsia" w:ascii="宋体" w:hAnsi="宋体" w:cs="宋体"/>
          <w:kern w:val="0"/>
          <w:szCs w:val="21"/>
          <w:lang w:val="zh-CN"/>
        </w:rPr>
        <w:t>所有投标文件必须在本招标文件中规定的投标截止时间之前</w:t>
      </w:r>
      <w:r>
        <w:rPr>
          <w:rFonts w:hint="eastAsia" w:ascii="宋体" w:hAnsi="宋体" w:cs="宋体"/>
          <w:kern w:val="0"/>
          <w:szCs w:val="21"/>
        </w:rPr>
        <w:t>提前上传，按要求</w:t>
      </w:r>
      <w:r>
        <w:rPr>
          <w:rFonts w:hint="eastAsia" w:ascii="宋体" w:hAnsi="宋体"/>
          <w:szCs w:val="21"/>
        </w:rPr>
        <w:t>解密文件等，解密时间为投标截止时后30分钟内，</w:t>
      </w:r>
      <w:r>
        <w:rPr>
          <w:rFonts w:hint="eastAsia" w:ascii="宋体" w:hAnsi="宋体" w:cs="宋体"/>
          <w:kern w:val="0"/>
          <w:szCs w:val="21"/>
        </w:rPr>
        <w:t>不能按时上传、解密者视为自动放弃投标。</w:t>
      </w:r>
    </w:p>
    <w:p>
      <w:pPr>
        <w:autoSpaceDE w:val="0"/>
        <w:autoSpaceDN w:val="0"/>
        <w:adjustRightInd w:val="0"/>
        <w:spacing w:line="440" w:lineRule="exact"/>
        <w:ind w:firstLine="420" w:firstLineChars="200"/>
        <w:jc w:val="left"/>
        <w:rPr>
          <w:rFonts w:ascii="宋体" w:hAnsi="宋体" w:cs="宋体"/>
          <w:kern w:val="0"/>
          <w:szCs w:val="21"/>
          <w:lang w:val="zh-CN"/>
        </w:rPr>
      </w:pPr>
      <w:r>
        <w:rPr>
          <w:rFonts w:hint="eastAsia" w:ascii="宋体" w:hAnsi="宋体" w:cs="宋体"/>
          <w:kern w:val="0"/>
          <w:szCs w:val="21"/>
        </w:rPr>
        <w:t>4.2.</w:t>
      </w:r>
      <w:r>
        <w:rPr>
          <w:rFonts w:hint="eastAsia" w:ascii="宋体" w:hAnsi="宋体" w:cs="宋体"/>
          <w:kern w:val="0"/>
          <w:szCs w:val="21"/>
          <w:lang w:val="zh-CN"/>
        </w:rPr>
        <w:t>2.采购人拒绝接收在投标文件递交截止时间后上传的投标文件。</w:t>
      </w:r>
      <w:bookmarkStart w:id="120" w:name="_Hlt26954862"/>
      <w:bookmarkEnd w:id="120"/>
      <w:bookmarkStart w:id="121" w:name="_Hlt26954754"/>
      <w:bookmarkEnd w:id="121"/>
    </w:p>
    <w:p>
      <w:pPr>
        <w:spacing w:line="500" w:lineRule="exact"/>
        <w:ind w:firstLine="482" w:firstLineChars="200"/>
        <w:rPr>
          <w:rFonts w:asciiTheme="minorEastAsia" w:hAnsiTheme="minorEastAsia" w:eastAsiaTheme="minorEastAsia" w:cstheme="minorEastAsia"/>
          <w:b/>
          <w:bCs/>
          <w:sz w:val="24"/>
        </w:rPr>
      </w:pPr>
      <w:bookmarkStart w:id="122" w:name="_Toc279599797"/>
      <w:bookmarkStart w:id="123" w:name="_Toc403122518"/>
      <w:bookmarkStart w:id="124" w:name="_Toc426369507"/>
      <w:bookmarkStart w:id="125" w:name="_Toc274249601"/>
      <w:r>
        <w:rPr>
          <w:rFonts w:hint="eastAsia" w:asciiTheme="minorEastAsia" w:hAnsiTheme="minorEastAsia" w:eastAsiaTheme="minorEastAsia" w:cstheme="minorEastAsia"/>
          <w:b/>
          <w:bCs/>
          <w:sz w:val="24"/>
        </w:rPr>
        <w:t>4.3 投标文件的修改与撤回</w:t>
      </w:r>
      <w:bookmarkEnd w:id="122"/>
      <w:bookmarkEnd w:id="123"/>
      <w:bookmarkEnd w:id="124"/>
      <w:bookmarkEnd w:id="12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4.3.1  在本章第 2.2.2 项规定的投标截止时间前，投标人可以修改或撤回已递交的投标文件。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4.3.2  投标人修改或撤回已递交投标文件的书面通知应按照本章第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4.3.3  修改的内容为投标文件的组成部分。修改的投标文件应按照本章第 3 条、第 4 条规定进行编制、密封、标记和递交，并标明“修改”字样。 </w:t>
      </w:r>
    </w:p>
    <w:p>
      <w:pPr>
        <w:pStyle w:val="21"/>
        <w:spacing w:before="120" w:after="120" w:line="500" w:lineRule="exact"/>
        <w:ind w:right="-1029" w:rightChars="-490" w:firstLine="482" w:firstLineChars="200"/>
        <w:jc w:val="left"/>
        <w:rPr>
          <w:rFonts w:asciiTheme="minorEastAsia" w:hAnsiTheme="minorEastAsia" w:eastAsiaTheme="minorEastAsia" w:cstheme="minorEastAsia"/>
          <w:sz w:val="24"/>
          <w:szCs w:val="24"/>
        </w:rPr>
      </w:pPr>
      <w:bookmarkStart w:id="126" w:name="_Toc5457"/>
      <w:bookmarkStart w:id="127" w:name="_Toc32449"/>
      <w:bookmarkStart w:id="128" w:name="_Toc19012"/>
      <w:bookmarkStart w:id="129" w:name="_Toc403122519"/>
      <w:bookmarkStart w:id="130" w:name="_Toc426369508"/>
      <w:bookmarkStart w:id="131" w:name="_Toc18170"/>
      <w:r>
        <w:rPr>
          <w:rFonts w:hint="eastAsia" w:asciiTheme="minorEastAsia" w:hAnsiTheme="minorEastAsia" w:eastAsiaTheme="minorEastAsia" w:cstheme="minorEastAsia"/>
          <w:sz w:val="24"/>
          <w:szCs w:val="24"/>
        </w:rPr>
        <w:t>5. 开标</w:t>
      </w:r>
      <w:bookmarkEnd w:id="126"/>
      <w:bookmarkEnd w:id="127"/>
      <w:bookmarkEnd w:id="128"/>
      <w:bookmarkEnd w:id="129"/>
      <w:bookmarkEnd w:id="130"/>
      <w:bookmarkEnd w:id="13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投标截止前，登录远程开标大厅，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所有投标文件必须在本招标文件中规定的投标截止时间之前提前上传投标文件，按要求解密投标文件，不能按时上传、解密者视为自动放弃投标。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5.1.2投标人不足3家的，不得开标。  </w:t>
      </w:r>
    </w:p>
    <w:p>
      <w:pPr>
        <w:spacing w:line="500" w:lineRule="exact"/>
        <w:ind w:firstLine="482" w:firstLineChars="200"/>
        <w:rPr>
          <w:rFonts w:asciiTheme="minorEastAsia" w:hAnsiTheme="minorEastAsia" w:eastAsiaTheme="minorEastAsia" w:cstheme="minorEastAsia"/>
          <w:b/>
          <w:bCs/>
          <w:sz w:val="24"/>
        </w:rPr>
      </w:pPr>
      <w:bookmarkStart w:id="132" w:name="_Toc426369509"/>
      <w:bookmarkStart w:id="133" w:name="_Toc274249603"/>
      <w:bookmarkStart w:id="134" w:name="_Toc403122520"/>
      <w:bookmarkStart w:id="135" w:name="_Toc279599799"/>
      <w:r>
        <w:rPr>
          <w:rFonts w:hint="eastAsia" w:asciiTheme="minorEastAsia" w:hAnsiTheme="minorEastAsia" w:eastAsiaTheme="minorEastAsia" w:cstheme="minorEastAsia"/>
          <w:b/>
          <w:bCs/>
          <w:sz w:val="24"/>
        </w:rPr>
        <w:t>5.2 开标时间和地点</w:t>
      </w:r>
      <w:bookmarkEnd w:id="132"/>
      <w:bookmarkEnd w:id="133"/>
      <w:bookmarkEnd w:id="134"/>
      <w:bookmarkEnd w:id="135"/>
    </w:p>
    <w:p>
      <w:pPr>
        <w:spacing w:line="44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采购人在本章第 2.2.2 项规定的投标截止时间（开标时间）和投标人须知前附表规定的地点公开开标。</w:t>
      </w:r>
    </w:p>
    <w:p>
      <w:pPr>
        <w:spacing w:line="500" w:lineRule="exact"/>
        <w:ind w:firstLine="482" w:firstLineChars="200"/>
        <w:rPr>
          <w:rFonts w:asciiTheme="minorEastAsia" w:hAnsiTheme="minorEastAsia" w:eastAsiaTheme="minorEastAsia" w:cstheme="minorEastAsia"/>
          <w:b/>
          <w:bCs/>
          <w:sz w:val="24"/>
        </w:rPr>
      </w:pPr>
      <w:bookmarkStart w:id="136" w:name="_Toc274249604"/>
      <w:bookmarkStart w:id="137" w:name="_Toc403122521"/>
      <w:bookmarkStart w:id="138" w:name="_Toc426369510"/>
      <w:bookmarkStart w:id="139" w:name="_Toc279599800"/>
      <w:r>
        <w:rPr>
          <w:rFonts w:hint="eastAsia" w:asciiTheme="minorEastAsia" w:hAnsiTheme="minorEastAsia" w:eastAsiaTheme="minorEastAsia" w:cstheme="minorEastAsia"/>
          <w:b/>
          <w:bCs/>
          <w:sz w:val="24"/>
        </w:rPr>
        <w:t>5.3开标程序</w:t>
      </w:r>
      <w:bookmarkEnd w:id="136"/>
      <w:bookmarkEnd w:id="137"/>
      <w:bookmarkEnd w:id="138"/>
      <w:bookmarkEnd w:id="139"/>
    </w:p>
    <w:p>
      <w:pPr>
        <w:spacing w:line="400" w:lineRule="exact"/>
        <w:ind w:firstLine="420" w:firstLineChars="200"/>
        <w:rPr>
          <w:rFonts w:asciiTheme="minorEastAsia" w:hAnsiTheme="minorEastAsia" w:eastAsiaTheme="minorEastAsia" w:cstheme="minorEastAsia"/>
          <w:szCs w:val="21"/>
          <w:lang w:val="zh-CN"/>
        </w:rPr>
      </w:pPr>
      <w:bookmarkStart w:id="140" w:name="_Toc426369511"/>
      <w:r>
        <w:rPr>
          <w:rFonts w:hint="eastAsia" w:asciiTheme="minorEastAsia" w:hAnsiTheme="minorEastAsia" w:eastAsiaTheme="minorEastAsia" w:cstheme="minorEastAsia"/>
          <w:szCs w:val="21"/>
        </w:rPr>
        <w:t>5.3</w:t>
      </w:r>
      <w:r>
        <w:rPr>
          <w:rFonts w:hint="eastAsia" w:asciiTheme="minorEastAsia" w:hAnsiTheme="minorEastAsia" w:eastAsiaTheme="minorEastAsia" w:cstheme="minorEastAsia"/>
          <w:szCs w:val="21"/>
          <w:lang w:val="zh-CN"/>
        </w:rPr>
        <w:t>.1本</w:t>
      </w:r>
      <w:r>
        <w:rPr>
          <w:rFonts w:hint="eastAsia" w:asciiTheme="minorEastAsia" w:hAnsiTheme="minorEastAsia" w:eastAsiaTheme="minorEastAsia" w:cstheme="minorEastAsia"/>
          <w:szCs w:val="21"/>
        </w:rPr>
        <w:t>项目</w:t>
      </w:r>
      <w:r>
        <w:rPr>
          <w:rFonts w:hint="eastAsia" w:asciiTheme="minorEastAsia" w:hAnsiTheme="minorEastAsia" w:eastAsiaTheme="minorEastAsia" w:cstheme="minorEastAsia"/>
          <w:szCs w:val="21"/>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主持人按下列程序进行开标：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2</w:t>
      </w:r>
      <w:r>
        <w:rPr>
          <w:rFonts w:hint="eastAsia" w:asciiTheme="minorEastAsia" w:hAnsiTheme="minorEastAsia" w:eastAsiaTheme="minorEastAsia" w:cstheme="minorEastAsia"/>
          <w:szCs w:val="21"/>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）电子投标文件解密；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5</w:t>
      </w:r>
      <w:r>
        <w:rPr>
          <w:rFonts w:hint="eastAsia" w:asciiTheme="minorEastAsia" w:hAnsiTheme="minorEastAsia" w:eastAsiaTheme="minorEastAsia" w:cstheme="minorEastAsia"/>
          <w:szCs w:val="21"/>
          <w:lang w:val="zh-CN"/>
        </w:rPr>
        <w:t>）投标人代表、采购人、监标人等有关人员在开标记录上签字确认；</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6</w:t>
      </w:r>
      <w:r>
        <w:rPr>
          <w:rFonts w:hint="eastAsia" w:asciiTheme="minorEastAsia" w:hAnsiTheme="minorEastAsia" w:eastAsiaTheme="minorEastAsia" w:cstheme="minorEastAsia"/>
          <w:szCs w:val="21"/>
          <w:lang w:val="zh-CN"/>
        </w:rPr>
        <w:t>）开标结束。</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5.4开标异议</w:t>
      </w:r>
      <w:bookmarkEnd w:id="140"/>
    </w:p>
    <w:p>
      <w:pPr>
        <w:spacing w:line="400" w:lineRule="exact"/>
        <w:ind w:firstLine="420" w:firstLineChars="200"/>
        <w:rPr>
          <w:rFonts w:asciiTheme="minorEastAsia" w:hAnsiTheme="minorEastAsia" w:eastAsiaTheme="minorEastAsia" w:cstheme="minorEastAsia"/>
          <w:szCs w:val="21"/>
          <w:lang w:val="zh-CN"/>
        </w:rPr>
      </w:pPr>
      <w:bookmarkStart w:id="141" w:name="_Toc21662"/>
      <w:bookmarkStart w:id="142" w:name="_Toc12881"/>
      <w:bookmarkStart w:id="143" w:name="_Toc403122522"/>
      <w:bookmarkStart w:id="144" w:name="_Toc426369512"/>
      <w:r>
        <w:rPr>
          <w:rFonts w:hint="eastAsia" w:asciiTheme="minorEastAsia" w:hAnsiTheme="minorEastAsia" w:eastAsiaTheme="minorEastAsia" w:cstheme="minorEastAsia"/>
          <w:szCs w:val="21"/>
        </w:rPr>
        <w:t>5.4.1</w:t>
      </w:r>
      <w:r>
        <w:rPr>
          <w:rFonts w:hint="eastAsia" w:asciiTheme="minorEastAsia" w:hAnsiTheme="minorEastAsia" w:eastAsiaTheme="minorEastAsia" w:cstheme="minorEastAsia"/>
          <w:szCs w:val="21"/>
          <w:lang w:val="zh-CN"/>
        </w:rPr>
        <w:t>投标人对开标有异议的，应当在开标现场提出（</w:t>
      </w:r>
      <w:bookmarkStart w:id="145" w:name="_Toc12998"/>
      <w:r>
        <w:rPr>
          <w:rFonts w:hint="eastAsia" w:asciiTheme="minorEastAsia" w:hAnsiTheme="minorEastAsia" w:eastAsiaTheme="minorEastAsia" w:cstheme="minorEastAsia"/>
          <w:szCs w:val="21"/>
          <w:lang w:val="zh-CN"/>
        </w:rPr>
        <w:t>语音异议</w:t>
      </w:r>
      <w:bookmarkEnd w:id="145"/>
      <w:r>
        <w:rPr>
          <w:rFonts w:hint="eastAsia" w:asciiTheme="minorEastAsia" w:hAnsiTheme="minorEastAsia" w:eastAsiaTheme="minorEastAsia" w:cstheme="minorEastAsia"/>
          <w:szCs w:val="21"/>
          <w:lang w:val="zh-CN"/>
        </w:rPr>
        <w:t>、</w:t>
      </w:r>
      <w:bookmarkStart w:id="146" w:name="_Toc20745"/>
      <w:r>
        <w:rPr>
          <w:rFonts w:hint="eastAsia" w:asciiTheme="minorEastAsia" w:hAnsiTheme="minorEastAsia" w:eastAsiaTheme="minorEastAsia" w:cstheme="minorEastAsia"/>
          <w:szCs w:val="21"/>
          <w:lang w:val="zh-CN"/>
        </w:rPr>
        <w:t>文字异议</w:t>
      </w:r>
      <w:bookmarkEnd w:id="146"/>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采购人</w:t>
      </w:r>
      <w:r>
        <w:rPr>
          <w:rFonts w:hint="eastAsia" w:asciiTheme="minorEastAsia" w:hAnsiTheme="minorEastAsia" w:eastAsiaTheme="minorEastAsia" w:cstheme="minorEastAsia"/>
          <w:szCs w:val="21"/>
          <w:lang w:val="zh-CN"/>
        </w:rPr>
        <w:t>当场作出答复，并制作记录。</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5.4.2</w:t>
      </w:r>
      <w:r>
        <w:rPr>
          <w:rFonts w:hint="eastAsia" w:asciiTheme="minorEastAsia" w:hAnsiTheme="minorEastAsia" w:eastAsiaTheme="minorEastAsia" w:cstheme="minorEastAsia"/>
          <w:szCs w:val="21"/>
          <w:lang w:val="zh-CN"/>
        </w:rPr>
        <w:t>开标异常处理</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(l）系统服务器发生故障，无法访问或无法使用系统；</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(2） </w:t>
      </w:r>
      <w:r>
        <w:rPr>
          <w:rFonts w:hint="eastAsia" w:asciiTheme="minorEastAsia" w:hAnsiTheme="minorEastAsia" w:eastAsiaTheme="minorEastAsia" w:cstheme="minorEastAsia"/>
          <w:szCs w:val="21"/>
          <w:lang w:val="zh-CN"/>
        </w:rPr>
        <w:t>系统的软件或数据库出现错误，不能进行正常操作；</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3</w:t>
      </w:r>
      <w:r>
        <w:rPr>
          <w:rFonts w:hint="eastAsia" w:asciiTheme="minorEastAsia" w:hAnsiTheme="minorEastAsia" w:eastAsiaTheme="minorEastAsia" w:cstheme="minorEastAsia"/>
          <w:szCs w:val="21"/>
          <w:lang w:val="zh-CN"/>
        </w:rPr>
        <w:t>）系统发现有安全漏洞，有潜在的泄密危险；</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lang w:val="zh-CN"/>
        </w:rPr>
        <w:t>（</w:t>
      </w: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szCs w:val="21"/>
          <w:lang w:val="zh-CN"/>
        </w:rPr>
        <w:t>）出现断电事故且短时间内无法恢复供电；</w:t>
      </w:r>
    </w:p>
    <w:p>
      <w:pPr>
        <w:spacing w:line="400" w:lineRule="exact"/>
        <w:ind w:firstLine="420" w:firstLineChars="200"/>
        <w:rPr>
          <w:rFonts w:asciiTheme="minorEastAsia" w:hAnsiTheme="minorEastAsia" w:eastAsiaTheme="minorEastAsia" w:cstheme="minorEastAsia"/>
          <w:szCs w:val="21"/>
          <w:lang w:val="zh-CN"/>
        </w:rPr>
      </w:pPr>
      <w:r>
        <w:rPr>
          <w:rFonts w:hint="eastAsia" w:asciiTheme="minorEastAsia" w:hAnsiTheme="minorEastAsia" w:eastAsiaTheme="minorEastAsia" w:cstheme="minorEastAsia"/>
          <w:szCs w:val="21"/>
        </w:rPr>
        <w:t xml:space="preserve">（5） </w:t>
      </w:r>
      <w:r>
        <w:rPr>
          <w:rFonts w:hint="eastAsia" w:asciiTheme="minorEastAsia" w:hAnsiTheme="minorEastAsia" w:eastAsiaTheme="minorEastAsia" w:cstheme="minorEastAsia"/>
          <w:szCs w:val="21"/>
          <w:lang w:val="zh-CN"/>
        </w:rPr>
        <w:t>其他无法保证招投标过程正常进行的情形；</w:t>
      </w:r>
    </w:p>
    <w:p>
      <w:pPr>
        <w:spacing w:line="400" w:lineRule="exact"/>
        <w:ind w:firstLine="422" w:firstLineChars="20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5.</w:t>
      </w:r>
      <w:bookmarkStart w:id="147" w:name="_Toc13445"/>
      <w:bookmarkStart w:id="148" w:name="_Toc9927"/>
      <w:r>
        <w:rPr>
          <w:rFonts w:hint="eastAsia" w:asciiTheme="minorEastAsia" w:hAnsiTheme="minorEastAsia" w:eastAsiaTheme="minorEastAsia" w:cstheme="minorEastAsia"/>
          <w:b/>
          <w:bCs/>
          <w:szCs w:val="21"/>
        </w:rPr>
        <w:t>5.资格审查工作</w:t>
      </w:r>
      <w:bookmarkEnd w:id="147"/>
      <w:bookmarkEnd w:id="148"/>
    </w:p>
    <w:p>
      <w:pPr>
        <w:spacing w:line="400" w:lineRule="exact"/>
        <w:ind w:firstLine="420" w:firstLineChars="200"/>
        <w:rPr>
          <w:rFonts w:asciiTheme="minorEastAsia" w:hAnsiTheme="minorEastAsia" w:eastAsiaTheme="minorEastAsia" w:cstheme="minorEastAsia"/>
          <w:szCs w:val="21"/>
        </w:rPr>
      </w:pPr>
      <w:bookmarkStart w:id="149" w:name="_Toc22488"/>
      <w:bookmarkStart w:id="150" w:name="_Toc15919"/>
      <w:bookmarkStart w:id="151" w:name="_Toc25275"/>
      <w:bookmarkStart w:id="152" w:name="_Toc18806"/>
      <w:bookmarkStart w:id="153" w:name="_Toc18888"/>
      <w:bookmarkStart w:id="154" w:name="_Toc25448"/>
      <w:bookmarkStart w:id="155" w:name="_Toc18803"/>
      <w:r>
        <w:rPr>
          <w:rFonts w:hint="eastAsia" w:asciiTheme="minorEastAsia" w:hAnsiTheme="minorEastAsia" w:eastAsiaTheme="minorEastAsia" w:cstheme="minorEastAsia"/>
          <w:szCs w:val="21"/>
          <w:lang w:val="zh-CN"/>
        </w:rPr>
        <w:t>采购人或代理机构根据有关法律法规和招标文件的规定，对投标人的资格进行审查，审查每个投标人提交的资格证明材料是否齐全、完整、合法、有效。资格性审查通过不足3家的，将不再进行下一步评审。</w:t>
      </w:r>
      <w:bookmarkEnd w:id="149"/>
      <w:bookmarkEnd w:id="150"/>
      <w:bookmarkEnd w:id="151"/>
      <w:bookmarkEnd w:id="152"/>
      <w:bookmarkEnd w:id="153"/>
      <w:bookmarkEnd w:id="154"/>
      <w:bookmarkEnd w:id="155"/>
    </w:p>
    <w:p>
      <w:pPr>
        <w:pStyle w:val="21"/>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56" w:name="_Toc21373"/>
      <w:bookmarkStart w:id="157" w:name="_Toc6889"/>
      <w:r>
        <w:rPr>
          <w:rFonts w:hint="eastAsia" w:asciiTheme="minorEastAsia" w:hAnsiTheme="minorEastAsia" w:eastAsiaTheme="minorEastAsia" w:cstheme="minorEastAsia"/>
          <w:sz w:val="24"/>
          <w:szCs w:val="24"/>
        </w:rPr>
        <w:t>6. 评标</w:t>
      </w:r>
      <w:bookmarkEnd w:id="141"/>
      <w:bookmarkEnd w:id="142"/>
      <w:bookmarkEnd w:id="143"/>
      <w:bookmarkEnd w:id="144"/>
      <w:bookmarkEnd w:id="156"/>
      <w:bookmarkEnd w:id="157"/>
    </w:p>
    <w:p>
      <w:pPr>
        <w:spacing w:line="500" w:lineRule="exact"/>
        <w:ind w:firstLine="482" w:firstLineChars="200"/>
        <w:rPr>
          <w:rFonts w:asciiTheme="minorEastAsia" w:hAnsiTheme="minorEastAsia" w:eastAsiaTheme="minorEastAsia" w:cstheme="minorEastAsia"/>
          <w:b/>
          <w:bCs/>
          <w:sz w:val="24"/>
        </w:rPr>
      </w:pPr>
      <w:bookmarkStart w:id="158" w:name="_Toc279599802"/>
      <w:bookmarkStart w:id="159" w:name="_Toc403122523"/>
      <w:bookmarkStart w:id="160" w:name="_Toc426369513"/>
      <w:bookmarkStart w:id="161" w:name="_Toc274249606"/>
      <w:r>
        <w:rPr>
          <w:rFonts w:hint="eastAsia" w:asciiTheme="minorEastAsia" w:hAnsiTheme="minorEastAsia" w:eastAsiaTheme="minorEastAsia" w:cstheme="minorEastAsia"/>
          <w:b/>
          <w:bCs/>
          <w:sz w:val="24"/>
        </w:rPr>
        <w:t>6.1 评标委员会</w:t>
      </w:r>
      <w:bookmarkEnd w:id="158"/>
      <w:bookmarkEnd w:id="159"/>
      <w:bookmarkEnd w:id="160"/>
      <w:bookmarkEnd w:id="161"/>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6.1.1  评标由采购人依法组建的评标委员会负责。评标委员会由采购人代表和评审专家组成。评标委员会成员人数以及评审专家的确定方式见投标人须知前附表。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（1）采购人或投标人的主要负责人的近亲属；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（3）与投标人有经济利益关系，可能影响对投标公正评审的；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sz w:val="24"/>
        </w:rPr>
      </w:pPr>
      <w:bookmarkStart w:id="162" w:name="_Toc279599803"/>
      <w:bookmarkStart w:id="163" w:name="_Toc426369514"/>
      <w:bookmarkStart w:id="164" w:name="_Toc403122524"/>
      <w:bookmarkStart w:id="165" w:name="_Toc274249607"/>
      <w:r>
        <w:rPr>
          <w:rFonts w:hint="eastAsia" w:asciiTheme="minorEastAsia" w:hAnsiTheme="minorEastAsia" w:eastAsiaTheme="minorEastAsia" w:cstheme="minorEastAsia"/>
          <w:b/>
          <w:bCs/>
          <w:sz w:val="24"/>
        </w:rPr>
        <w:t>6.2 评标原则</w:t>
      </w:r>
      <w:bookmarkEnd w:id="162"/>
      <w:bookmarkEnd w:id="163"/>
      <w:bookmarkEnd w:id="164"/>
      <w:bookmarkEnd w:id="165"/>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评标活动遵循公平、公正、科学和择优的原则。 </w:t>
      </w:r>
    </w:p>
    <w:p>
      <w:pPr>
        <w:spacing w:line="400" w:lineRule="exact"/>
        <w:ind w:firstLine="482" w:firstLineChars="200"/>
        <w:rPr>
          <w:rFonts w:asciiTheme="minorEastAsia" w:hAnsiTheme="minorEastAsia" w:eastAsiaTheme="minorEastAsia" w:cstheme="minorEastAsia"/>
          <w:szCs w:val="21"/>
        </w:rPr>
      </w:pPr>
      <w:bookmarkStart w:id="166" w:name="_Toc403122525"/>
      <w:bookmarkStart w:id="167" w:name="_Toc274249608"/>
      <w:bookmarkStart w:id="168" w:name="_Toc426369515"/>
      <w:bookmarkStart w:id="169" w:name="_Toc279599804"/>
      <w:r>
        <w:rPr>
          <w:rFonts w:hint="eastAsia" w:asciiTheme="minorEastAsia" w:hAnsiTheme="minorEastAsia" w:eastAsiaTheme="minorEastAsia" w:cstheme="minorEastAsia"/>
          <w:b/>
          <w:bCs/>
          <w:sz w:val="24"/>
        </w:rPr>
        <w:t>6.3 评标</w:t>
      </w:r>
      <w:bookmarkEnd w:id="166"/>
      <w:bookmarkEnd w:id="167"/>
      <w:bookmarkEnd w:id="168"/>
      <w:bookmarkEnd w:id="16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6.3.1在评审过程中，评标委员会发现投标人有下列情形之一的，视为投标人相互串通投标，按照无效投标处理并依据法律、法规追究其相关责任。具体表现形式如下：</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同投标人的投标文件由同一单位或者个人编制；</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（2）不同投标人委托同一单位或者个人办理投标事宜；</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（3）不同投标人的投标文件载明的项目管理成员或者联系人员为同一人；</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（4）不同投标人的投标文件异常一致或者投标报价呈规律性差异；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（5）不同投标人的投标文件相互混装；</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（6）有证据证明投标人与采购人、采购代理机构或者其他投标人串通的其他情形；</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6.3.2评标委员会应当按照招标文件中规定的评标方法和标准，对符合性审查合格的投标文件进行商务和技术评估，综合比较与评价。招标文件没有规定的评标方法、评审因素和标准，不作为评标依据。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（1）审查、评价投标文件是否符合招标文件的实质性要求；</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（2）要求投标人对投标文件有关事项作出澄清或者说明；</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（3）对投标文件进行比较和评价；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（4）确定中标候选人名单；</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spacing w:val="1"/>
          <w:kern w:val="0"/>
          <w:szCs w:val="21"/>
        </w:rPr>
      </w:pPr>
      <w:r>
        <w:rPr>
          <w:rFonts w:hint="eastAsia" w:ascii="宋体" w:hAnsi="宋体" w:cs="宋体"/>
          <w:b/>
          <w:bCs/>
          <w:spacing w:val="1"/>
          <w:kern w:val="0"/>
          <w:szCs w:val="21"/>
        </w:rPr>
        <w:t>6.4  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招标采购中，出现下列情形之一的，应予废标：</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（2）出现影响采购公正的违法、违规行为的；</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（3）投标人的报价均超过了采购预算，采购人不能支付的；</w:t>
      </w:r>
    </w:p>
    <w:p>
      <w:pPr>
        <w:spacing w:line="400" w:lineRule="exact"/>
        <w:ind w:firstLine="420" w:firstLineChars="200"/>
      </w:pPr>
      <w:r>
        <w:rPr>
          <w:rFonts w:hint="eastAsia" w:asciiTheme="minorEastAsia" w:hAnsiTheme="minorEastAsia" w:eastAsiaTheme="minorEastAsia" w:cstheme="minorEastAsia"/>
          <w:szCs w:val="21"/>
        </w:rPr>
        <w:t>（4）因重大变故，采购任务取消的。废标后，采购人应当将废标理由通知所有投标人。</w:t>
      </w:r>
    </w:p>
    <w:p>
      <w:pPr>
        <w:pStyle w:val="21"/>
        <w:spacing w:before="120" w:after="120" w:line="500" w:lineRule="exact"/>
        <w:ind w:right="-1029" w:rightChars="-490" w:firstLine="482" w:firstLineChars="200"/>
        <w:jc w:val="both"/>
      </w:pPr>
      <w:bookmarkStart w:id="170" w:name="_Toc403122526"/>
      <w:bookmarkStart w:id="171" w:name="_Toc426369516"/>
      <w:bookmarkStart w:id="172" w:name="_Toc21680"/>
      <w:bookmarkStart w:id="173" w:name="_Toc17811"/>
      <w:bookmarkStart w:id="174" w:name="_Toc22968"/>
      <w:bookmarkStart w:id="175" w:name="_Toc26569"/>
      <w:r>
        <w:rPr>
          <w:rFonts w:hint="eastAsia" w:asciiTheme="minorEastAsia" w:hAnsiTheme="minorEastAsia" w:eastAsiaTheme="minorEastAsia" w:cstheme="minorEastAsia"/>
          <w:sz w:val="24"/>
          <w:szCs w:val="24"/>
        </w:rPr>
        <w:t>7. 合同授予</w:t>
      </w:r>
      <w:bookmarkEnd w:id="170"/>
      <w:bookmarkEnd w:id="171"/>
      <w:bookmarkEnd w:id="172"/>
      <w:bookmarkEnd w:id="173"/>
      <w:bookmarkEnd w:id="174"/>
      <w:bookmarkEnd w:id="175"/>
    </w:p>
    <w:p>
      <w:pPr>
        <w:spacing w:line="500" w:lineRule="exact"/>
        <w:ind w:firstLine="482" w:firstLineChars="200"/>
        <w:rPr>
          <w:rFonts w:asciiTheme="minorEastAsia" w:hAnsiTheme="minorEastAsia" w:eastAsiaTheme="minorEastAsia" w:cstheme="minorEastAsia"/>
          <w:b/>
          <w:bCs/>
          <w:sz w:val="24"/>
        </w:rPr>
      </w:pPr>
      <w:bookmarkStart w:id="176" w:name="_Toc274249610"/>
      <w:bookmarkStart w:id="177" w:name="_Toc403122527"/>
      <w:bookmarkStart w:id="178" w:name="_Toc426369517"/>
      <w:bookmarkStart w:id="179" w:name="_Toc279599806"/>
      <w:r>
        <w:rPr>
          <w:rFonts w:hint="eastAsia" w:asciiTheme="minorEastAsia" w:hAnsiTheme="minorEastAsia" w:eastAsiaTheme="minorEastAsia" w:cstheme="minorEastAsia"/>
          <w:b/>
          <w:bCs/>
          <w:sz w:val="24"/>
        </w:rPr>
        <w:t>7.1 定标方式</w:t>
      </w:r>
      <w:bookmarkEnd w:id="176"/>
      <w:bookmarkEnd w:id="177"/>
      <w:bookmarkEnd w:id="178"/>
      <w:bookmarkEnd w:id="179"/>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7.1.1采购人依据评标委员会推荐的中标候选人确定中标人，评标委员会推荐中标人候选人的人数见投标人须知前附表。</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sz w:val="24"/>
        </w:rPr>
      </w:pPr>
      <w:bookmarkStart w:id="180" w:name="_Toc274249611"/>
      <w:bookmarkStart w:id="181" w:name="_Toc403122528"/>
      <w:bookmarkStart w:id="182" w:name="_Toc426369518"/>
      <w:bookmarkStart w:id="183" w:name="_Toc279599807"/>
      <w:r>
        <w:rPr>
          <w:rFonts w:hint="eastAsia" w:asciiTheme="minorEastAsia" w:hAnsiTheme="minorEastAsia" w:eastAsiaTheme="minorEastAsia" w:cstheme="minorEastAsia"/>
          <w:b/>
          <w:bCs/>
          <w:sz w:val="24"/>
        </w:rPr>
        <w:t>7.2 中标通知</w:t>
      </w:r>
      <w:bookmarkEnd w:id="180"/>
      <w:bookmarkEnd w:id="181"/>
      <w:bookmarkEnd w:id="182"/>
      <w:bookmarkEnd w:id="183"/>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sz w:val="24"/>
        </w:rPr>
      </w:pPr>
      <w:bookmarkStart w:id="184" w:name="_Toc311550376"/>
      <w:bookmarkStart w:id="185" w:name="_Toc274249612"/>
      <w:bookmarkStart w:id="186" w:name="_Toc279599808"/>
      <w:bookmarkStart w:id="187" w:name="_Toc426369519"/>
      <w:bookmarkStart w:id="188" w:name="_Toc403122529"/>
      <w:r>
        <w:rPr>
          <w:rFonts w:hint="eastAsia" w:asciiTheme="minorEastAsia" w:hAnsiTheme="minorEastAsia" w:eastAsiaTheme="minorEastAsia" w:cstheme="minorEastAsia"/>
          <w:b/>
          <w:bCs/>
          <w:sz w:val="24"/>
        </w:rPr>
        <w:t>7.3履约</w:t>
      </w:r>
      <w:bookmarkEnd w:id="184"/>
      <w:bookmarkEnd w:id="185"/>
      <w:bookmarkEnd w:id="186"/>
      <w:r>
        <w:rPr>
          <w:rFonts w:hint="eastAsia" w:asciiTheme="minorEastAsia" w:hAnsiTheme="minorEastAsia" w:eastAsiaTheme="minorEastAsia" w:cstheme="minorEastAsia"/>
          <w:b/>
          <w:bCs/>
          <w:sz w:val="24"/>
        </w:rPr>
        <w:t>保证金</w:t>
      </w:r>
      <w:bookmarkEnd w:id="187"/>
      <w:bookmarkEnd w:id="18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7.3.1履约保证金：无</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7.3.2投标保证金：无</w:t>
      </w:r>
    </w:p>
    <w:p>
      <w:pPr>
        <w:spacing w:line="500" w:lineRule="exact"/>
        <w:ind w:firstLine="482" w:firstLineChars="200"/>
        <w:rPr>
          <w:rFonts w:asciiTheme="minorEastAsia" w:hAnsiTheme="minorEastAsia" w:eastAsiaTheme="minorEastAsia" w:cstheme="minorEastAsia"/>
          <w:b/>
          <w:bCs/>
          <w:sz w:val="24"/>
        </w:rPr>
      </w:pPr>
      <w:bookmarkStart w:id="189" w:name="_Toc426369520"/>
      <w:bookmarkStart w:id="190" w:name="_Toc403122530"/>
      <w:bookmarkStart w:id="191" w:name="_Toc274249613"/>
      <w:bookmarkStart w:id="192" w:name="_Toc279599809"/>
      <w:r>
        <w:rPr>
          <w:rFonts w:hint="eastAsia" w:asciiTheme="minorEastAsia" w:hAnsiTheme="minorEastAsia" w:eastAsiaTheme="minorEastAsia" w:cstheme="minorEastAsia"/>
          <w:b/>
          <w:bCs/>
          <w:sz w:val="24"/>
        </w:rPr>
        <w:t>7.4 签订合同</w:t>
      </w:r>
      <w:bookmarkEnd w:id="189"/>
      <w:bookmarkEnd w:id="190"/>
      <w:bookmarkEnd w:id="191"/>
      <w:bookmarkEnd w:id="19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7.4.1  中标人的投标报价为中标价，中标价即为合同价</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7.4.2  发出中标通知书后，采购人无正当理由拒签合同的，给中标人造成损失的，还应当赔偿损失。</w:t>
      </w:r>
    </w:p>
    <w:p>
      <w:pPr>
        <w:pStyle w:val="21"/>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193" w:name="_Toc426369521"/>
      <w:bookmarkStart w:id="194" w:name="_Toc10417"/>
      <w:bookmarkStart w:id="195" w:name="_Toc30009"/>
      <w:bookmarkStart w:id="196" w:name="_Toc18607"/>
      <w:bookmarkStart w:id="197" w:name="_Toc10541"/>
      <w:bookmarkStart w:id="198" w:name="_Toc403122531"/>
      <w:r>
        <w:rPr>
          <w:rFonts w:hint="eastAsia" w:asciiTheme="minorEastAsia" w:hAnsiTheme="minorEastAsia" w:eastAsiaTheme="minorEastAsia" w:cstheme="minorEastAsia"/>
          <w:sz w:val="24"/>
          <w:szCs w:val="24"/>
        </w:rPr>
        <w:t>8. 重新招标</w:t>
      </w:r>
      <w:bookmarkEnd w:id="193"/>
      <w:bookmarkEnd w:id="194"/>
      <w:bookmarkEnd w:id="195"/>
      <w:bookmarkEnd w:id="196"/>
      <w:bookmarkEnd w:id="197"/>
      <w:bookmarkEnd w:id="198"/>
    </w:p>
    <w:p>
      <w:pPr>
        <w:spacing w:line="500" w:lineRule="exact"/>
        <w:ind w:firstLine="482" w:firstLineChars="200"/>
        <w:rPr>
          <w:rFonts w:asciiTheme="minorEastAsia" w:hAnsiTheme="minorEastAsia" w:eastAsiaTheme="minorEastAsia" w:cstheme="minorEastAsia"/>
          <w:b/>
          <w:bCs/>
          <w:sz w:val="24"/>
        </w:rPr>
      </w:pPr>
      <w:bookmarkStart w:id="199" w:name="_Toc403122532"/>
      <w:bookmarkStart w:id="200" w:name="_Toc426369522"/>
      <w:bookmarkStart w:id="201" w:name="_Toc274249615"/>
      <w:bookmarkStart w:id="202" w:name="_Toc279599811"/>
      <w:r>
        <w:rPr>
          <w:rFonts w:hint="eastAsia" w:asciiTheme="minorEastAsia" w:hAnsiTheme="minorEastAsia" w:eastAsiaTheme="minorEastAsia" w:cstheme="minorEastAsia"/>
          <w:b/>
          <w:bCs/>
          <w:sz w:val="24"/>
        </w:rPr>
        <w:t>8.1 重新招标</w:t>
      </w:r>
      <w:bookmarkEnd w:id="199"/>
      <w:bookmarkEnd w:id="200"/>
      <w:bookmarkEnd w:id="201"/>
      <w:bookmarkEnd w:id="20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有下列情形之一的，采购人将重新招标：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（1）投标截止时间止，投标人少于3个的； </w:t>
      </w:r>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（2）经评标委员会评审后否决所有投标的。 </w:t>
      </w:r>
    </w:p>
    <w:p>
      <w:pPr>
        <w:pStyle w:val="21"/>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03" w:name="_Toc27398"/>
      <w:bookmarkStart w:id="204" w:name="_Toc23389"/>
      <w:bookmarkStart w:id="205" w:name="_Toc403122533"/>
      <w:bookmarkStart w:id="206" w:name="_Toc10372"/>
      <w:bookmarkStart w:id="207" w:name="_Toc426369523"/>
      <w:bookmarkStart w:id="208" w:name="_Toc3760"/>
      <w:r>
        <w:rPr>
          <w:rFonts w:hint="eastAsia" w:asciiTheme="minorEastAsia" w:hAnsiTheme="minorEastAsia" w:eastAsiaTheme="minorEastAsia" w:cstheme="minorEastAsia"/>
          <w:sz w:val="24"/>
          <w:szCs w:val="24"/>
        </w:rPr>
        <w:t>9. 纪律和监督</w:t>
      </w:r>
      <w:bookmarkEnd w:id="203"/>
      <w:bookmarkEnd w:id="204"/>
      <w:bookmarkEnd w:id="205"/>
      <w:bookmarkEnd w:id="206"/>
      <w:bookmarkEnd w:id="207"/>
      <w:bookmarkEnd w:id="208"/>
    </w:p>
    <w:p>
      <w:pPr>
        <w:spacing w:line="500" w:lineRule="exact"/>
        <w:ind w:firstLine="482" w:firstLineChars="200"/>
        <w:rPr>
          <w:rFonts w:asciiTheme="minorEastAsia" w:hAnsiTheme="minorEastAsia" w:eastAsiaTheme="minorEastAsia" w:cstheme="minorEastAsia"/>
          <w:b/>
          <w:bCs/>
          <w:sz w:val="24"/>
        </w:rPr>
      </w:pPr>
      <w:bookmarkStart w:id="209" w:name="_Toc274249618"/>
      <w:bookmarkStart w:id="210" w:name="_Toc403122534"/>
      <w:bookmarkStart w:id="211" w:name="_Toc279599814"/>
      <w:bookmarkStart w:id="212" w:name="_Toc426369524"/>
      <w:r>
        <w:rPr>
          <w:rFonts w:hint="eastAsia" w:asciiTheme="minorEastAsia" w:hAnsiTheme="minorEastAsia" w:eastAsiaTheme="minorEastAsia" w:cstheme="minorEastAsia"/>
          <w:b/>
          <w:bCs/>
          <w:sz w:val="24"/>
        </w:rPr>
        <w:t>9.1 对采购人的纪律要求</w:t>
      </w:r>
      <w:bookmarkEnd w:id="209"/>
      <w:bookmarkEnd w:id="210"/>
      <w:bookmarkEnd w:id="211"/>
      <w:bookmarkEnd w:id="212"/>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采购人不得泄漏招标投标活动中应当保密的情况和资料，不得与投标人串通损害国家利益、社会公共利益或者他人合法权益。 </w:t>
      </w:r>
    </w:p>
    <w:p>
      <w:pPr>
        <w:spacing w:line="500" w:lineRule="exact"/>
        <w:ind w:firstLine="482" w:firstLineChars="200"/>
        <w:rPr>
          <w:rFonts w:asciiTheme="minorEastAsia" w:hAnsiTheme="minorEastAsia" w:eastAsiaTheme="minorEastAsia" w:cstheme="minorEastAsia"/>
          <w:b/>
          <w:bCs/>
          <w:sz w:val="24"/>
        </w:rPr>
      </w:pPr>
      <w:bookmarkStart w:id="213" w:name="_Toc426369525"/>
      <w:bookmarkStart w:id="214" w:name="_Toc279599815"/>
      <w:bookmarkStart w:id="215" w:name="_Toc274249619"/>
      <w:bookmarkStart w:id="216" w:name="_Toc403122535"/>
      <w:r>
        <w:rPr>
          <w:rFonts w:hint="eastAsia" w:asciiTheme="minorEastAsia" w:hAnsiTheme="minorEastAsia" w:eastAsiaTheme="minorEastAsia" w:cstheme="minorEastAsia"/>
          <w:b/>
          <w:bCs/>
          <w:sz w:val="24"/>
        </w:rPr>
        <w:t>9.2 对投标人的纪律要求</w:t>
      </w:r>
      <w:bookmarkEnd w:id="213"/>
      <w:bookmarkEnd w:id="214"/>
      <w:bookmarkEnd w:id="215"/>
      <w:bookmarkEnd w:id="216"/>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投标人不得相互串通投标或者与采购人串通投标，不得向采购人或者评标委员会成员行贿谋取中标，不得以他人名义投标或者以其他方式弄虚作假骗取中标；投标人不得以任何方式干扰、影响评标工作。</w:t>
      </w:r>
    </w:p>
    <w:p>
      <w:pPr>
        <w:spacing w:line="500" w:lineRule="exact"/>
        <w:ind w:firstLine="482" w:firstLineChars="200"/>
        <w:rPr>
          <w:rFonts w:asciiTheme="minorEastAsia" w:hAnsiTheme="minorEastAsia" w:eastAsiaTheme="minorEastAsia" w:cstheme="minorEastAsia"/>
          <w:b/>
          <w:bCs/>
          <w:sz w:val="24"/>
        </w:rPr>
      </w:pPr>
      <w:bookmarkStart w:id="217" w:name="_Toc274249620"/>
      <w:bookmarkStart w:id="218" w:name="_Toc426369526"/>
      <w:bookmarkStart w:id="219" w:name="_Toc403122536"/>
      <w:bookmarkStart w:id="220" w:name="_Toc279599816"/>
      <w:r>
        <w:rPr>
          <w:rFonts w:hint="eastAsia" w:asciiTheme="minorEastAsia" w:hAnsiTheme="minorEastAsia" w:eastAsiaTheme="minorEastAsia" w:cstheme="minorEastAsia"/>
          <w:b/>
          <w:bCs/>
          <w:sz w:val="24"/>
        </w:rPr>
        <w:t>9.3 对评标委员会成员的纪律要求</w:t>
      </w:r>
      <w:bookmarkEnd w:id="217"/>
      <w:bookmarkEnd w:id="218"/>
      <w:bookmarkEnd w:id="219"/>
      <w:bookmarkEnd w:id="220"/>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sz w:val="24"/>
        </w:rPr>
      </w:pPr>
      <w:bookmarkStart w:id="221" w:name="_Toc274249621"/>
      <w:bookmarkStart w:id="222" w:name="_Toc279599817"/>
      <w:bookmarkStart w:id="223" w:name="_Toc426369527"/>
      <w:bookmarkStart w:id="224" w:name="_Toc403122537"/>
      <w:r>
        <w:rPr>
          <w:rFonts w:hint="eastAsia" w:asciiTheme="minorEastAsia" w:hAnsiTheme="minorEastAsia" w:eastAsiaTheme="minorEastAsia" w:cstheme="minorEastAsia"/>
          <w:b/>
          <w:bCs/>
          <w:sz w:val="24"/>
        </w:rPr>
        <w:t>9.4 对与评标活动有关的工作人员的纪律要求</w:t>
      </w:r>
      <w:bookmarkEnd w:id="221"/>
      <w:bookmarkEnd w:id="222"/>
      <w:bookmarkEnd w:id="223"/>
      <w:bookmarkEnd w:id="224"/>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sz w:val="24"/>
        </w:rPr>
      </w:pPr>
      <w:bookmarkStart w:id="225" w:name="_Toc279599818"/>
      <w:bookmarkStart w:id="226" w:name="_Toc274249622"/>
      <w:bookmarkStart w:id="227" w:name="_Toc403122538"/>
      <w:bookmarkStart w:id="228" w:name="_Toc426369528"/>
      <w:r>
        <w:rPr>
          <w:rFonts w:hint="eastAsia" w:asciiTheme="minorEastAsia" w:hAnsiTheme="minorEastAsia" w:eastAsiaTheme="minorEastAsia" w:cstheme="minorEastAsia"/>
          <w:b/>
          <w:bCs/>
          <w:sz w:val="24"/>
        </w:rPr>
        <w:t>9.5 投诉</w:t>
      </w:r>
      <w:bookmarkEnd w:id="225"/>
      <w:bookmarkEnd w:id="226"/>
      <w:bookmarkEnd w:id="227"/>
      <w:bookmarkEnd w:id="228"/>
    </w:p>
    <w:p>
      <w:pPr>
        <w:spacing w:line="400" w:lineRule="exact"/>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投标人和其他利害关系人认为本次招标活动违反法律、法规和规章规定的，有权向有关行政监督部门投诉。 </w:t>
      </w:r>
    </w:p>
    <w:p>
      <w:pPr>
        <w:pStyle w:val="21"/>
        <w:spacing w:before="120" w:after="120" w:line="500" w:lineRule="exact"/>
        <w:ind w:right="-1029" w:rightChars="-490" w:firstLine="482" w:firstLineChars="200"/>
        <w:jc w:val="both"/>
        <w:rPr>
          <w:rFonts w:asciiTheme="minorEastAsia" w:hAnsiTheme="minorEastAsia" w:eastAsiaTheme="minorEastAsia" w:cstheme="minorEastAsia"/>
          <w:sz w:val="24"/>
          <w:szCs w:val="24"/>
        </w:rPr>
      </w:pPr>
      <w:bookmarkStart w:id="229" w:name="_Toc13281"/>
      <w:bookmarkStart w:id="230" w:name="_Toc5888"/>
      <w:bookmarkStart w:id="231" w:name="_Toc25080"/>
      <w:bookmarkStart w:id="232" w:name="_Toc426369529"/>
      <w:bookmarkStart w:id="233" w:name="_Toc403122539"/>
      <w:bookmarkStart w:id="234" w:name="_Toc10880"/>
      <w:r>
        <w:rPr>
          <w:rFonts w:hint="eastAsia" w:asciiTheme="minorEastAsia" w:hAnsiTheme="minorEastAsia" w:eastAsiaTheme="minorEastAsia" w:cstheme="minorEastAsia"/>
          <w:sz w:val="24"/>
          <w:szCs w:val="24"/>
        </w:rPr>
        <w:t>10. 需要补充的其他内容</w:t>
      </w:r>
      <w:bookmarkEnd w:id="229"/>
      <w:bookmarkEnd w:id="230"/>
      <w:bookmarkEnd w:id="231"/>
      <w:bookmarkEnd w:id="232"/>
      <w:bookmarkEnd w:id="233"/>
      <w:bookmarkEnd w:id="234"/>
    </w:p>
    <w:p>
      <w:pPr>
        <w:autoSpaceDE w:val="0"/>
        <w:autoSpaceDN w:val="0"/>
        <w:adjustRightInd w:val="0"/>
        <w:spacing w:line="440" w:lineRule="exact"/>
        <w:ind w:firstLine="482" w:firstLineChars="200"/>
        <w:rPr>
          <w:rFonts w:ascii="宋体" w:hAnsi="宋体" w:cs="宋体"/>
          <w:kern w:val="0"/>
          <w:sz w:val="24"/>
        </w:rPr>
      </w:pPr>
      <w:r>
        <w:rPr>
          <w:rFonts w:hint="eastAsia" w:ascii="宋体" w:hAnsi="宋体" w:cs="宋体"/>
          <w:b/>
          <w:kern w:val="0"/>
          <w:sz w:val="24"/>
        </w:rPr>
        <w:t>10.1 费用承担</w:t>
      </w:r>
    </w:p>
    <w:p>
      <w:pPr>
        <w:autoSpaceDE w:val="0"/>
        <w:autoSpaceDN w:val="0"/>
        <w:adjustRightInd w:val="0"/>
        <w:spacing w:line="440" w:lineRule="exact"/>
        <w:ind w:left="17" w:leftChars="8" w:firstLine="420" w:firstLineChars="200"/>
        <w:jc w:val="left"/>
        <w:rPr>
          <w:rFonts w:ascii="宋体" w:hAnsi="宋体" w:cs="宋体"/>
          <w:szCs w:val="21"/>
        </w:rPr>
      </w:pPr>
      <w:r>
        <w:rPr>
          <w:rFonts w:hint="eastAsia" w:ascii="宋体" w:hAnsi="宋体" w:cs="宋体"/>
          <w:szCs w:val="21"/>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szCs w:val="21"/>
        </w:rPr>
      </w:pPr>
      <w:r>
        <w:rPr>
          <w:rFonts w:hint="eastAsia" w:ascii="宋体" w:hAnsi="宋体" w:cs="宋体"/>
          <w:szCs w:val="21"/>
        </w:rPr>
        <w:t>（2）招标代理服务费由中标人支付。</w:t>
      </w:r>
    </w:p>
    <w:p>
      <w:pPr>
        <w:autoSpaceDE w:val="0"/>
        <w:autoSpaceDN w:val="0"/>
        <w:adjustRightInd w:val="0"/>
        <w:spacing w:line="500" w:lineRule="exact"/>
        <w:ind w:firstLine="420"/>
        <w:jc w:val="left"/>
        <w:rPr>
          <w:rFonts w:ascii="宋体" w:hAnsi="宋体" w:cs="宋体"/>
          <w:szCs w:val="21"/>
        </w:rPr>
      </w:pPr>
      <w:r>
        <w:rPr>
          <w:rFonts w:hint="eastAsia" w:ascii="宋体" w:hAnsi="宋体" w:cs="宋体"/>
          <w:szCs w:val="21"/>
        </w:rPr>
        <w:t>（3）投标人与采购人签订合同后，将合同报采购代理机构备案。</w:t>
      </w:r>
    </w:p>
    <w:p>
      <w:pPr>
        <w:pStyle w:val="46"/>
        <w:ind w:firstLine="482" w:firstLineChars="200"/>
        <w:rPr>
          <w:rFonts w:asciiTheme="minorEastAsia" w:hAnsiTheme="minorEastAsia" w:eastAsiaTheme="minorEastAsia" w:cstheme="minorEastAsia"/>
          <w:b/>
          <w:bCs/>
          <w:kern w:val="2"/>
          <w:sz w:val="24"/>
        </w:rPr>
      </w:pPr>
      <w:r>
        <w:rPr>
          <w:rFonts w:hint="eastAsia" w:asciiTheme="minorEastAsia" w:hAnsiTheme="minorEastAsia" w:eastAsiaTheme="minorEastAsia" w:cstheme="minorEastAsia"/>
          <w:b/>
          <w:bCs/>
          <w:kern w:val="2"/>
          <w:sz w:val="24"/>
        </w:rPr>
        <w:t>10.2本招标文件未尽事宜，按《中华人民共和国政府采购法》等法律法规的有关规定执行。</w:t>
      </w:r>
    </w:p>
    <w:p>
      <w:pPr>
        <w:pStyle w:val="2"/>
        <w:rPr>
          <w:rFonts w:asciiTheme="minorEastAsia" w:hAnsiTheme="minorEastAsia" w:eastAsiaTheme="minorEastAsia" w:cstheme="minorEastAsia"/>
        </w:rPr>
      </w:pPr>
      <w:r>
        <w:rPr>
          <w:rFonts w:hint="eastAsia" w:asciiTheme="minorEastAsia" w:hAnsiTheme="minorEastAsia" w:eastAsiaTheme="minorEastAsia" w:cstheme="minorEastAsia"/>
        </w:rPr>
        <w:br w:type="page"/>
      </w:r>
    </w:p>
    <w:p>
      <w:pPr>
        <w:pStyle w:val="21"/>
        <w:numPr>
          <w:ilvl w:val="0"/>
          <w:numId w:val="5"/>
        </w:numPr>
        <w:spacing w:line="600" w:lineRule="exact"/>
        <w:ind w:right="-63" w:rightChars="-30"/>
        <w:rPr>
          <w:rFonts w:asciiTheme="minorEastAsia" w:hAnsiTheme="minorEastAsia" w:eastAsiaTheme="minorEastAsia" w:cstheme="minorEastAsia"/>
          <w:sz w:val="36"/>
          <w:szCs w:val="36"/>
        </w:rPr>
      </w:pPr>
      <w:bookmarkStart w:id="235" w:name="_Toc28433"/>
      <w:bookmarkStart w:id="236" w:name="_Toc403122540"/>
      <w:bookmarkStart w:id="237" w:name="_Toc426369530"/>
      <w:bookmarkStart w:id="238" w:name="_Toc2565"/>
      <w:r>
        <w:rPr>
          <w:rFonts w:hint="eastAsia" w:asciiTheme="minorEastAsia" w:hAnsiTheme="minorEastAsia" w:eastAsiaTheme="minorEastAsia" w:cstheme="minorEastAsia"/>
          <w:sz w:val="36"/>
          <w:szCs w:val="36"/>
        </w:rPr>
        <w:t>评标办法</w:t>
      </w:r>
      <w:bookmarkEnd w:id="235"/>
      <w:bookmarkEnd w:id="236"/>
      <w:bookmarkEnd w:id="237"/>
      <w:r>
        <w:rPr>
          <w:rFonts w:hint="eastAsia" w:asciiTheme="minorEastAsia" w:hAnsiTheme="minorEastAsia" w:eastAsiaTheme="minorEastAsia" w:cstheme="minorEastAsia"/>
          <w:sz w:val="36"/>
          <w:szCs w:val="36"/>
        </w:rPr>
        <w:t>（综合评分法）</w:t>
      </w:r>
      <w:bookmarkEnd w:id="238"/>
    </w:p>
    <w:p>
      <w:pPr>
        <w:pStyle w:val="47"/>
        <w:numPr>
          <w:ilvl w:val="0"/>
          <w:numId w:val="6"/>
        </w:numPr>
        <w:spacing w:line="540" w:lineRule="exact"/>
        <w:jc w:val="center"/>
        <w:outlineLvl w:val="2"/>
        <w:rPr>
          <w:rFonts w:asciiTheme="minorEastAsia" w:hAnsiTheme="minorEastAsia" w:eastAsiaTheme="minorEastAsia" w:cstheme="minorEastAsia"/>
          <w:b/>
          <w:bCs/>
          <w:sz w:val="28"/>
          <w:szCs w:val="28"/>
        </w:rPr>
      </w:pPr>
      <w:bookmarkStart w:id="239" w:name="_Toc29947"/>
      <w:bookmarkStart w:id="240" w:name="_Toc17859"/>
      <w:bookmarkStart w:id="241" w:name="_Toc21885"/>
      <w:bookmarkStart w:id="242" w:name="_Toc30933"/>
      <w:bookmarkStart w:id="243" w:name="_Toc31836"/>
      <w:bookmarkStart w:id="244" w:name="_Toc9561"/>
      <w:bookmarkStart w:id="245" w:name="_Toc16529"/>
      <w:bookmarkStart w:id="246" w:name="_Toc2761070"/>
      <w:r>
        <w:rPr>
          <w:rFonts w:hint="eastAsia" w:asciiTheme="minorEastAsia" w:hAnsiTheme="minorEastAsia" w:eastAsiaTheme="minorEastAsia" w:cstheme="minorEastAsia"/>
          <w:b/>
          <w:bCs/>
          <w:sz w:val="28"/>
          <w:szCs w:val="28"/>
        </w:rPr>
        <w:t>评分办法前附表</w:t>
      </w:r>
      <w:bookmarkEnd w:id="239"/>
      <w:bookmarkEnd w:id="240"/>
      <w:bookmarkEnd w:id="241"/>
      <w:bookmarkEnd w:id="242"/>
      <w:bookmarkEnd w:id="243"/>
      <w:bookmarkEnd w:id="244"/>
    </w:p>
    <w:tbl>
      <w:tblPr>
        <w:tblStyle w:val="24"/>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084"/>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1095" w:type="dxa"/>
            <w:vAlign w:val="center"/>
          </w:tcPr>
          <w:p>
            <w:pPr>
              <w:spacing w:line="440" w:lineRule="exact"/>
              <w:jc w:val="center"/>
              <w:rPr>
                <w:rFonts w:ascii="宋体" w:hAnsi="宋体" w:cs="宋体"/>
                <w:b/>
                <w:szCs w:val="21"/>
              </w:rPr>
            </w:pPr>
            <w:r>
              <w:rPr>
                <w:rFonts w:hint="eastAsia" w:ascii="宋体" w:hAnsi="宋体" w:cs="宋体"/>
                <w:b/>
                <w:bCs/>
                <w:kern w:val="0"/>
                <w:szCs w:val="21"/>
              </w:rPr>
              <w:t>审查主体</w:t>
            </w:r>
          </w:p>
        </w:tc>
        <w:tc>
          <w:tcPr>
            <w:tcW w:w="3179" w:type="dxa"/>
            <w:gridSpan w:val="2"/>
            <w:vAlign w:val="center"/>
          </w:tcPr>
          <w:p>
            <w:pPr>
              <w:spacing w:line="440" w:lineRule="exact"/>
              <w:jc w:val="center"/>
              <w:rPr>
                <w:rFonts w:ascii="宋体" w:hAnsi="宋体" w:cs="宋体"/>
                <w:b/>
                <w:szCs w:val="21"/>
              </w:rPr>
            </w:pPr>
            <w:r>
              <w:rPr>
                <w:rFonts w:hint="eastAsia" w:ascii="宋体" w:hAnsi="宋体" w:cs="宋体"/>
                <w:b/>
                <w:szCs w:val="21"/>
              </w:rPr>
              <w:t>评审因素</w:t>
            </w:r>
          </w:p>
        </w:tc>
        <w:tc>
          <w:tcPr>
            <w:tcW w:w="5602" w:type="dxa"/>
            <w:vAlign w:val="center"/>
          </w:tcPr>
          <w:p>
            <w:pPr>
              <w:tabs>
                <w:tab w:val="left" w:pos="417"/>
                <w:tab w:val="center" w:pos="2999"/>
              </w:tabs>
              <w:spacing w:line="440" w:lineRule="exact"/>
              <w:jc w:val="left"/>
              <w:rPr>
                <w:rFonts w:ascii="宋体" w:hAnsi="宋体" w:cs="宋体"/>
                <w:b/>
                <w:szCs w:val="21"/>
              </w:rPr>
            </w:pPr>
            <w:r>
              <w:rPr>
                <w:rFonts w:hint="eastAsia" w:ascii="宋体" w:hAnsi="宋体" w:cs="宋体"/>
                <w:b/>
                <w:szCs w:val="21"/>
              </w:rPr>
              <w:tab/>
            </w:r>
            <w:r>
              <w:rPr>
                <w:rFonts w:hint="eastAsia" w:ascii="宋体" w:hAnsi="宋体" w:cs="宋体"/>
                <w:b/>
                <w:szCs w:val="21"/>
              </w:rPr>
              <w:tab/>
            </w: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exact"/>
        </w:trPr>
        <w:tc>
          <w:tcPr>
            <w:tcW w:w="1095" w:type="dxa"/>
            <w:vMerge w:val="restart"/>
            <w:vAlign w:val="center"/>
          </w:tcPr>
          <w:p>
            <w:pPr>
              <w:spacing w:line="360" w:lineRule="exact"/>
              <w:jc w:val="center"/>
              <w:rPr>
                <w:rFonts w:ascii="宋体" w:hAnsi="宋体" w:cs="宋体"/>
                <w:szCs w:val="21"/>
              </w:rPr>
            </w:pPr>
            <w:r>
              <w:rPr>
                <w:rFonts w:hint="eastAsia" w:ascii="宋体" w:hAnsi="宋体" w:cs="宋体"/>
                <w:szCs w:val="21"/>
              </w:rPr>
              <w:t>资格审查小组</w:t>
            </w:r>
          </w:p>
        </w:tc>
        <w:tc>
          <w:tcPr>
            <w:tcW w:w="1095" w:type="dxa"/>
            <w:vMerge w:val="restart"/>
            <w:vAlign w:val="center"/>
          </w:tcPr>
          <w:p>
            <w:pPr>
              <w:spacing w:line="360" w:lineRule="exact"/>
              <w:jc w:val="center"/>
              <w:rPr>
                <w:rFonts w:ascii="宋体" w:hAnsi="宋体" w:cs="宋体"/>
                <w:szCs w:val="21"/>
              </w:rPr>
            </w:pPr>
            <w:r>
              <w:rPr>
                <w:rFonts w:hint="eastAsia" w:ascii="宋体" w:hAnsi="宋体" w:cs="宋体"/>
                <w:szCs w:val="21"/>
              </w:rPr>
              <w:t>一、资格评审标准</w:t>
            </w:r>
          </w:p>
        </w:tc>
        <w:tc>
          <w:tcPr>
            <w:tcW w:w="2084" w:type="dxa"/>
            <w:vAlign w:val="center"/>
          </w:tcPr>
          <w:p>
            <w:pPr>
              <w:spacing w:line="320" w:lineRule="exact"/>
              <w:jc w:val="center"/>
              <w:rPr>
                <w:rFonts w:ascii="宋体" w:hAnsi="宋体" w:cs="宋体"/>
                <w:szCs w:val="21"/>
              </w:rPr>
            </w:pPr>
            <w:r>
              <w:rPr>
                <w:rFonts w:hint="eastAsia" w:ascii="宋体" w:hAnsi="宋体" w:cs="宋体"/>
                <w:szCs w:val="21"/>
              </w:rPr>
              <w:t>营业执照、税务登记证、组织机构代码证</w:t>
            </w:r>
          </w:p>
        </w:tc>
        <w:tc>
          <w:tcPr>
            <w:tcW w:w="5602" w:type="dxa"/>
            <w:vAlign w:val="center"/>
          </w:tcPr>
          <w:p>
            <w:pPr>
              <w:spacing w:line="320" w:lineRule="exact"/>
              <w:rPr>
                <w:rFonts w:ascii="宋体" w:hAnsi="宋体" w:cs="宋体"/>
                <w:szCs w:val="21"/>
              </w:rPr>
            </w:pPr>
            <w:r>
              <w:rPr>
                <w:rFonts w:hint="eastAsia" w:ascii="宋体" w:hAnsi="宋体" w:cs="宋体"/>
                <w:szCs w:val="21"/>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exac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ascii="宋体" w:hAnsi="宋体" w:cs="宋体"/>
                <w:szCs w:val="21"/>
              </w:rPr>
            </w:pPr>
            <w:r>
              <w:rPr>
                <w:rFonts w:hint="eastAsia" w:ascii="宋体" w:hAnsi="宋体" w:cs="宋体"/>
                <w:szCs w:val="21"/>
              </w:rPr>
              <w:t>法定代表人证明或法人授权委托书</w:t>
            </w:r>
          </w:p>
        </w:tc>
        <w:tc>
          <w:tcPr>
            <w:tcW w:w="5602" w:type="dxa"/>
            <w:vAlign w:val="center"/>
          </w:tcPr>
          <w:p>
            <w:pPr>
              <w:spacing w:line="360" w:lineRule="exact"/>
              <w:rPr>
                <w:rFonts w:ascii="宋体" w:hAnsi="宋体" w:cs="宋体"/>
                <w:szCs w:val="21"/>
              </w:rPr>
            </w:pPr>
            <w:r>
              <w:rPr>
                <w:rFonts w:hint="eastAsia" w:ascii="宋体" w:hAnsi="宋体" w:cs="宋体"/>
                <w:szCs w:val="21"/>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hint="default" w:ascii="宋体" w:hAnsi="宋体" w:eastAsia="宋体" w:cs="宋体"/>
                <w:szCs w:val="21"/>
                <w:lang w:val="en-US" w:eastAsia="zh-CN"/>
              </w:rPr>
            </w:pPr>
            <w:r>
              <w:rPr>
                <w:rFonts w:hint="eastAsia" w:ascii="宋体" w:hAnsi="宋体" w:cs="宋体"/>
                <w:szCs w:val="21"/>
                <w:lang w:val="en-US" w:eastAsia="zh-CN"/>
              </w:rPr>
              <w:t>企业资质</w:t>
            </w:r>
          </w:p>
        </w:tc>
        <w:tc>
          <w:tcPr>
            <w:tcW w:w="5602" w:type="dxa"/>
            <w:vAlign w:val="center"/>
          </w:tcPr>
          <w:p>
            <w:pPr>
              <w:spacing w:line="360" w:lineRule="exact"/>
              <w:rPr>
                <w:rFonts w:hint="eastAsia" w:ascii="宋体" w:hAnsi="宋体" w:eastAsia="宋体" w:cs="宋体"/>
                <w:szCs w:val="21"/>
                <w:lang w:eastAsia="zh-CN"/>
              </w:rPr>
            </w:pPr>
            <w:r>
              <w:rPr>
                <w:rFonts w:hint="eastAsia" w:ascii="宋体" w:hAnsi="宋体" w:cs="宋体"/>
                <w:sz w:val="24"/>
                <w:shd w:val="clear" w:color="auto" w:fill="FFFFFF"/>
              </w:rPr>
              <w:t>投标人须具有自然资源部门颁发的乙级或以上测绘资质证书，专业包括地理信息系统工程、界线与不动产测绘</w:t>
            </w:r>
            <w:r>
              <w:rPr>
                <w:rFonts w:hint="eastAsia" w:ascii="宋体" w:hAnsi="宋体" w:cs="宋体"/>
                <w:sz w:val="24"/>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hint="eastAsia" w:ascii="宋体" w:hAnsi="宋体" w:cs="宋体"/>
                <w:szCs w:val="21"/>
                <w:lang w:val="en-US" w:eastAsia="zh-CN"/>
              </w:rPr>
            </w:pPr>
            <w:r>
              <w:rPr>
                <w:rFonts w:hint="eastAsia" w:ascii="宋体" w:hAnsi="宋体" w:cs="宋体"/>
                <w:szCs w:val="21"/>
                <w:lang w:eastAsia="zh-CN"/>
              </w:rPr>
              <w:t>中小企业声明函</w:t>
            </w:r>
          </w:p>
        </w:tc>
        <w:tc>
          <w:tcPr>
            <w:tcW w:w="5602" w:type="dxa"/>
            <w:vAlign w:val="center"/>
          </w:tcPr>
          <w:p>
            <w:pPr>
              <w:spacing w:line="360" w:lineRule="exact"/>
              <w:rPr>
                <w:rFonts w:hint="eastAsia" w:ascii="宋体" w:hAnsi="宋体" w:eastAsia="宋体" w:cs="宋体"/>
                <w:szCs w:val="21"/>
                <w:lang w:eastAsia="zh-CN"/>
              </w:rPr>
            </w:pPr>
            <w:r>
              <w:rPr>
                <w:rFonts w:hint="eastAsia" w:ascii="宋体" w:hAnsi="宋体" w:cs="宋体"/>
                <w:szCs w:val="21"/>
                <w:lang w:eastAsia="zh-CN"/>
              </w:rPr>
              <w:t>投标人需要提供中小企业声明函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hint="default" w:ascii="宋体" w:hAnsi="宋体" w:eastAsia="宋体" w:cs="宋体"/>
                <w:szCs w:val="21"/>
                <w:lang w:val="en-US" w:eastAsia="zh-CN"/>
              </w:rPr>
            </w:pPr>
            <w:r>
              <w:rPr>
                <w:rFonts w:hint="eastAsia" w:ascii="宋体" w:hAnsi="宋体" w:cs="宋体"/>
                <w:szCs w:val="21"/>
                <w:lang w:val="en-US" w:eastAsia="zh-CN"/>
              </w:rPr>
              <w:t>项目负责人</w:t>
            </w:r>
          </w:p>
        </w:tc>
        <w:tc>
          <w:tcPr>
            <w:tcW w:w="5602" w:type="dxa"/>
            <w:vAlign w:val="center"/>
          </w:tcPr>
          <w:p>
            <w:pPr>
              <w:spacing w:line="360" w:lineRule="exact"/>
              <w:rPr>
                <w:rFonts w:hint="eastAsia" w:ascii="宋体" w:hAnsi="宋体" w:eastAsia="宋体" w:cs="宋体"/>
                <w:szCs w:val="21"/>
                <w:lang w:eastAsia="zh-CN"/>
              </w:rPr>
            </w:pPr>
            <w:r>
              <w:rPr>
                <w:rFonts w:hint="eastAsia" w:ascii="宋体" w:hAnsi="宋体" w:cs="宋体"/>
                <w:szCs w:val="21"/>
              </w:rPr>
              <w:t>拟派项目负责人具有测绘相关专业中级及以上职称或注册测绘师资格</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095" w:type="dxa"/>
            <w:vMerge w:val="continue"/>
            <w:vAlign w:val="center"/>
          </w:tcPr>
          <w:p>
            <w:pPr>
              <w:spacing w:line="440" w:lineRule="exact"/>
              <w:jc w:val="center"/>
              <w:rPr>
                <w:rFonts w:ascii="宋体" w:hAnsi="宋体" w:cs="宋体"/>
                <w:szCs w:val="21"/>
              </w:rPr>
            </w:pPr>
          </w:p>
        </w:tc>
        <w:tc>
          <w:tcPr>
            <w:tcW w:w="1095" w:type="dxa"/>
            <w:vMerge w:val="continue"/>
            <w:vAlign w:val="center"/>
          </w:tcPr>
          <w:p>
            <w:pPr>
              <w:spacing w:line="440" w:lineRule="exact"/>
              <w:jc w:val="center"/>
              <w:rPr>
                <w:rFonts w:ascii="宋体" w:hAnsi="宋体" w:cs="宋体"/>
                <w:szCs w:val="21"/>
              </w:rPr>
            </w:pPr>
          </w:p>
        </w:tc>
        <w:tc>
          <w:tcPr>
            <w:tcW w:w="2084" w:type="dxa"/>
            <w:vAlign w:val="center"/>
          </w:tcPr>
          <w:p>
            <w:pPr>
              <w:spacing w:line="360" w:lineRule="exact"/>
              <w:jc w:val="center"/>
              <w:rPr>
                <w:rFonts w:ascii="宋体" w:hAnsi="宋体" w:cs="宋体"/>
                <w:szCs w:val="21"/>
              </w:rPr>
            </w:pPr>
            <w:r>
              <w:rPr>
                <w:rFonts w:hint="eastAsia" w:ascii="宋体" w:hAnsi="宋体" w:cs="宋体"/>
                <w:szCs w:val="21"/>
              </w:rPr>
              <w:t>信誉要求</w:t>
            </w:r>
          </w:p>
        </w:tc>
        <w:tc>
          <w:tcPr>
            <w:tcW w:w="5602" w:type="dxa"/>
            <w:vAlign w:val="center"/>
          </w:tcPr>
          <w:p>
            <w:pPr>
              <w:spacing w:line="360" w:lineRule="exact"/>
              <w:rPr>
                <w:rFonts w:ascii="宋体" w:hAnsi="宋体" w:cs="宋体"/>
                <w:szCs w:val="21"/>
              </w:rPr>
            </w:pPr>
            <w:r>
              <w:rPr>
                <w:rFonts w:hint="eastAsia" w:ascii="宋体" w:hAnsi="宋体" w:cs="宋体"/>
                <w:szCs w:val="21"/>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95" w:type="dxa"/>
            <w:vMerge w:val="continue"/>
            <w:tcBorders>
              <w:bottom w:val="single" w:color="auto" w:sz="4" w:space="0"/>
            </w:tcBorders>
            <w:vAlign w:val="center"/>
          </w:tcPr>
          <w:p>
            <w:pPr>
              <w:spacing w:line="440" w:lineRule="exact"/>
              <w:jc w:val="center"/>
              <w:rPr>
                <w:rFonts w:ascii="宋体" w:hAnsi="宋体" w:cs="宋体"/>
                <w:szCs w:val="21"/>
              </w:rPr>
            </w:pPr>
          </w:p>
        </w:tc>
        <w:tc>
          <w:tcPr>
            <w:tcW w:w="1095" w:type="dxa"/>
            <w:vMerge w:val="continue"/>
            <w:tcBorders>
              <w:bottom w:val="single" w:color="auto" w:sz="4" w:space="0"/>
            </w:tcBorders>
            <w:vAlign w:val="center"/>
          </w:tcPr>
          <w:p>
            <w:pPr>
              <w:spacing w:line="440" w:lineRule="exact"/>
              <w:jc w:val="center"/>
              <w:rPr>
                <w:rFonts w:ascii="宋体" w:hAnsi="宋体" w:cs="宋体"/>
                <w:szCs w:val="21"/>
              </w:rPr>
            </w:pPr>
          </w:p>
        </w:tc>
        <w:tc>
          <w:tcPr>
            <w:tcW w:w="2084" w:type="dxa"/>
            <w:tcBorders>
              <w:bottom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其他要求</w:t>
            </w:r>
          </w:p>
        </w:tc>
        <w:tc>
          <w:tcPr>
            <w:tcW w:w="5602" w:type="dxa"/>
            <w:tcBorders>
              <w:bottom w:val="single" w:color="auto" w:sz="4" w:space="0"/>
            </w:tcBorders>
            <w:vAlign w:val="center"/>
          </w:tcPr>
          <w:p>
            <w:pPr>
              <w:spacing w:line="360" w:lineRule="exact"/>
              <w:rPr>
                <w:rFonts w:ascii="宋体" w:hAnsi="宋体" w:cs="宋体"/>
                <w:szCs w:val="21"/>
              </w:rPr>
            </w:pPr>
            <w:r>
              <w:rPr>
                <w:rFonts w:hint="eastAsia" w:ascii="宋体" w:hAnsi="宋体" w:cs="宋体"/>
                <w:szCs w:val="21"/>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二、形式评审标准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投标人名称</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投标函签字盖章</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投标文件格式</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报价唯一</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p>
        </w:tc>
        <w:tc>
          <w:tcPr>
            <w:tcW w:w="1095" w:type="dxa"/>
            <w:vMerge w:val="restart"/>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三、响应性评审标准</w:t>
            </w: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采购内容</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符合第二章“投标人须知”第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bCs/>
                <w:iCs/>
                <w:szCs w:val="21"/>
              </w:rPr>
              <w:t>服务期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符合第二章“投标人须知”第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Ansi="宋体" w:cs="宋体"/>
                <w:kern w:val="0"/>
              </w:rPr>
              <w:t>质量标准</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符合第二章“投标人须知”第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投标有效期</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符合第二章“投标人须知”第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权利义务</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技术标准和要求</w:t>
            </w:r>
          </w:p>
        </w:tc>
        <w:tc>
          <w:tcPr>
            <w:tcW w:w="5602"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符合第五章“服务内容及要求”规定，若不符合第五章服务内容及要求，将不再进行评审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1095" w:type="dxa"/>
            <w:vMerge w:val="continue"/>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szCs w:val="21"/>
              </w:rPr>
            </w:pPr>
            <w:r>
              <w:rPr>
                <w:rFonts w:hint="eastAsia" w:ascii="宋体" w:hAnsi="宋体" w:cs="宋体"/>
                <w:szCs w:val="21"/>
              </w:rPr>
              <w:t>投标文件的其他响应</w:t>
            </w:r>
          </w:p>
        </w:tc>
        <w:tc>
          <w:tcPr>
            <w:tcW w:w="560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符合法律、法规和招标文件中规定的其他实质性要求的</w:t>
            </w:r>
          </w:p>
        </w:tc>
      </w:tr>
    </w:tbl>
    <w:p>
      <w:pPr>
        <w:spacing w:line="560" w:lineRule="exact"/>
        <w:ind w:firstLine="480" w:firstLineChars="200"/>
        <w:rPr>
          <w:rFonts w:ascii="宋体" w:hAnsi="宋体" w:cs="宋体"/>
          <w:bCs/>
          <w:kern w:val="0"/>
          <w:sz w:val="24"/>
        </w:rPr>
      </w:pPr>
    </w:p>
    <w:tbl>
      <w:tblPr>
        <w:tblStyle w:val="2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056"/>
        <w:gridCol w:w="1495"/>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2" w:type="dxa"/>
            <w:gridSpan w:val="2"/>
            <w:vAlign w:val="center"/>
          </w:tcPr>
          <w:p>
            <w:pPr>
              <w:adjustRightInd w:val="0"/>
              <w:snapToGrid w:val="0"/>
              <w:spacing w:line="360" w:lineRule="auto"/>
              <w:jc w:val="center"/>
              <w:rPr>
                <w:rFonts w:ascii="宋体" w:hAnsi="宋体"/>
                <w:b/>
                <w:bCs/>
                <w:szCs w:val="21"/>
              </w:rPr>
            </w:pPr>
            <w:r>
              <w:rPr>
                <w:rFonts w:hint="eastAsia" w:ascii="宋体" w:hAnsi="宋体"/>
                <w:b/>
                <w:bCs/>
                <w:szCs w:val="21"/>
              </w:rPr>
              <w:t>条款号</w:t>
            </w:r>
          </w:p>
        </w:tc>
        <w:tc>
          <w:tcPr>
            <w:tcW w:w="1495" w:type="dxa"/>
            <w:vAlign w:val="center"/>
          </w:tcPr>
          <w:p>
            <w:pPr>
              <w:adjustRightInd w:val="0"/>
              <w:snapToGrid w:val="0"/>
              <w:spacing w:line="360" w:lineRule="auto"/>
              <w:jc w:val="center"/>
              <w:rPr>
                <w:rFonts w:ascii="宋体" w:hAnsi="宋体"/>
                <w:b/>
                <w:bCs/>
                <w:szCs w:val="21"/>
              </w:rPr>
            </w:pPr>
            <w:r>
              <w:rPr>
                <w:rFonts w:hint="eastAsia" w:ascii="宋体" w:hAnsi="宋体"/>
                <w:b/>
                <w:bCs/>
                <w:szCs w:val="21"/>
              </w:rPr>
              <w:t>条款内容</w:t>
            </w:r>
          </w:p>
        </w:tc>
        <w:tc>
          <w:tcPr>
            <w:tcW w:w="6237" w:type="dxa"/>
            <w:vAlign w:val="center"/>
          </w:tcPr>
          <w:p>
            <w:pPr>
              <w:adjustRightInd w:val="0"/>
              <w:snapToGrid w:val="0"/>
              <w:spacing w:line="360" w:lineRule="auto"/>
              <w:jc w:val="center"/>
              <w:rPr>
                <w:rFonts w:ascii="宋体" w:hAnsi="宋体"/>
                <w:b/>
                <w:bCs/>
                <w:szCs w:val="21"/>
              </w:rPr>
            </w:pPr>
            <w:r>
              <w:rPr>
                <w:rFonts w:hint="eastAsia" w:ascii="宋体" w:hAnsi="宋体"/>
                <w:b/>
                <w:bCs/>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1902" w:type="dxa"/>
            <w:gridSpan w:val="2"/>
            <w:vAlign w:val="center"/>
          </w:tcPr>
          <w:p>
            <w:pPr>
              <w:adjustRightInd w:val="0"/>
              <w:snapToGrid w:val="0"/>
              <w:spacing w:line="360" w:lineRule="auto"/>
              <w:ind w:firstLine="420" w:firstLineChars="200"/>
              <w:rPr>
                <w:rFonts w:ascii="宋体" w:hAnsi="宋体"/>
                <w:szCs w:val="21"/>
                <w:highlight w:val="none"/>
              </w:rPr>
            </w:pPr>
            <w:r>
              <w:rPr>
                <w:rFonts w:hint="eastAsia" w:ascii="宋体" w:hAnsi="宋体"/>
                <w:szCs w:val="21"/>
                <w:highlight w:val="none"/>
              </w:rPr>
              <w:t>2.2.1</w:t>
            </w:r>
          </w:p>
        </w:tc>
        <w:tc>
          <w:tcPr>
            <w:tcW w:w="1495" w:type="dxa"/>
            <w:vAlign w:val="center"/>
          </w:tcPr>
          <w:p>
            <w:pPr>
              <w:adjustRightInd w:val="0"/>
              <w:snapToGrid w:val="0"/>
              <w:spacing w:line="360" w:lineRule="auto"/>
              <w:jc w:val="center"/>
              <w:rPr>
                <w:rFonts w:ascii="宋体" w:hAnsi="宋体"/>
                <w:szCs w:val="21"/>
                <w:highlight w:val="none"/>
              </w:rPr>
            </w:pPr>
            <w:r>
              <w:rPr>
                <w:rFonts w:hint="eastAsia" w:ascii="宋体" w:hAnsi="宋体"/>
                <w:szCs w:val="21"/>
                <w:highlight w:val="none"/>
              </w:rPr>
              <w:t>分值构成</w:t>
            </w:r>
          </w:p>
          <w:p>
            <w:pPr>
              <w:adjustRightInd w:val="0"/>
              <w:snapToGrid w:val="0"/>
              <w:spacing w:line="360" w:lineRule="auto"/>
              <w:jc w:val="center"/>
              <w:rPr>
                <w:rFonts w:ascii="宋体" w:hAnsi="宋体"/>
                <w:szCs w:val="21"/>
                <w:highlight w:val="none"/>
              </w:rPr>
            </w:pPr>
            <w:r>
              <w:rPr>
                <w:rFonts w:hint="eastAsia" w:ascii="宋体" w:hAnsi="宋体"/>
                <w:szCs w:val="21"/>
                <w:highlight w:val="none"/>
              </w:rPr>
              <w:t>(总分100分)</w:t>
            </w:r>
          </w:p>
        </w:tc>
        <w:tc>
          <w:tcPr>
            <w:tcW w:w="6237" w:type="dxa"/>
            <w:vAlign w:val="center"/>
          </w:tcPr>
          <w:p>
            <w:pPr>
              <w:adjustRightInd w:val="0"/>
              <w:snapToGrid w:val="0"/>
              <w:spacing w:line="360" w:lineRule="auto"/>
              <w:rPr>
                <w:rFonts w:ascii="宋体" w:hAnsi="宋体"/>
                <w:szCs w:val="21"/>
                <w:highlight w:val="none"/>
              </w:rPr>
            </w:pPr>
            <w:r>
              <w:rPr>
                <w:rFonts w:hint="eastAsia" w:ascii="宋体" w:hAnsi="宋体"/>
                <w:szCs w:val="21"/>
                <w:highlight w:val="none"/>
              </w:rPr>
              <w:t>报价得分:（1</w:t>
            </w:r>
            <w:r>
              <w:rPr>
                <w:rFonts w:ascii="宋体" w:hAnsi="宋体"/>
                <w:szCs w:val="21"/>
                <w:highlight w:val="none"/>
              </w:rPr>
              <w:t>0</w:t>
            </w:r>
            <w:r>
              <w:rPr>
                <w:rFonts w:hint="eastAsia" w:ascii="宋体" w:hAnsi="宋体"/>
                <w:szCs w:val="21"/>
                <w:highlight w:val="none"/>
              </w:rPr>
              <w:t>分）</w:t>
            </w:r>
          </w:p>
          <w:p>
            <w:pPr>
              <w:adjustRightInd w:val="0"/>
              <w:snapToGrid w:val="0"/>
              <w:spacing w:line="360" w:lineRule="auto"/>
              <w:rPr>
                <w:rFonts w:ascii="宋体" w:hAnsi="宋体"/>
                <w:szCs w:val="21"/>
                <w:highlight w:val="none"/>
              </w:rPr>
            </w:pPr>
            <w:r>
              <w:rPr>
                <w:rFonts w:hint="eastAsia" w:ascii="宋体" w:hAnsi="宋体"/>
                <w:szCs w:val="21"/>
                <w:highlight w:val="none"/>
              </w:rPr>
              <w:t>技术部分：（</w:t>
            </w:r>
            <w:r>
              <w:rPr>
                <w:rFonts w:ascii="宋体" w:hAnsi="宋体"/>
                <w:szCs w:val="21"/>
                <w:highlight w:val="none"/>
              </w:rPr>
              <w:t>50</w:t>
            </w:r>
            <w:r>
              <w:rPr>
                <w:rFonts w:hint="eastAsia" w:ascii="宋体" w:hAnsi="宋体"/>
                <w:szCs w:val="21"/>
                <w:highlight w:val="none"/>
              </w:rPr>
              <w:t>分）</w:t>
            </w:r>
          </w:p>
          <w:p>
            <w:pPr>
              <w:adjustRightInd w:val="0"/>
              <w:snapToGrid w:val="0"/>
              <w:spacing w:line="360" w:lineRule="auto"/>
              <w:rPr>
                <w:rFonts w:ascii="宋体" w:hAnsi="宋体"/>
                <w:szCs w:val="21"/>
                <w:highlight w:val="none"/>
              </w:rPr>
            </w:pPr>
            <w:r>
              <w:rPr>
                <w:rFonts w:hint="eastAsia" w:ascii="宋体" w:hAnsi="宋体"/>
                <w:szCs w:val="21"/>
                <w:highlight w:val="none"/>
              </w:rPr>
              <w:t>商务部分：（</w:t>
            </w:r>
            <w:r>
              <w:rPr>
                <w:rFonts w:ascii="宋体" w:hAnsi="宋体"/>
                <w:szCs w:val="21"/>
                <w:highlight w:val="none"/>
              </w:rPr>
              <w:t>40</w:t>
            </w:r>
            <w:r>
              <w:rPr>
                <w:rFonts w:hint="eastAsia" w:ascii="宋体" w:hAnsi="宋体"/>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902" w:type="dxa"/>
            <w:gridSpan w:val="2"/>
            <w:vAlign w:val="center"/>
          </w:tcPr>
          <w:p>
            <w:pPr>
              <w:adjustRightInd w:val="0"/>
              <w:snapToGrid w:val="0"/>
              <w:spacing w:line="360" w:lineRule="auto"/>
              <w:jc w:val="center"/>
              <w:rPr>
                <w:rFonts w:ascii="宋体" w:hAnsi="宋体"/>
                <w:b/>
                <w:bCs/>
                <w:szCs w:val="21"/>
              </w:rPr>
            </w:pPr>
            <w:r>
              <w:rPr>
                <w:rFonts w:hint="eastAsia" w:ascii="宋体" w:hAnsi="宋体"/>
                <w:b/>
                <w:bCs/>
                <w:szCs w:val="21"/>
              </w:rPr>
              <w:t>条款号</w:t>
            </w:r>
          </w:p>
        </w:tc>
        <w:tc>
          <w:tcPr>
            <w:tcW w:w="1495" w:type="dxa"/>
            <w:vAlign w:val="center"/>
          </w:tcPr>
          <w:p>
            <w:pPr>
              <w:adjustRightInd w:val="0"/>
              <w:snapToGrid w:val="0"/>
              <w:spacing w:line="360" w:lineRule="auto"/>
              <w:jc w:val="center"/>
              <w:rPr>
                <w:rFonts w:ascii="宋体" w:hAnsi="宋体"/>
                <w:b/>
                <w:bCs/>
                <w:szCs w:val="21"/>
              </w:rPr>
            </w:pPr>
            <w:r>
              <w:rPr>
                <w:rFonts w:hint="eastAsia" w:ascii="宋体" w:hAnsi="宋体"/>
                <w:b/>
                <w:bCs/>
                <w:szCs w:val="21"/>
              </w:rPr>
              <w:t>评分因素</w:t>
            </w:r>
          </w:p>
        </w:tc>
        <w:tc>
          <w:tcPr>
            <w:tcW w:w="6237" w:type="dxa"/>
            <w:vAlign w:val="center"/>
          </w:tcPr>
          <w:p>
            <w:pPr>
              <w:adjustRightInd w:val="0"/>
              <w:snapToGrid w:val="0"/>
              <w:spacing w:line="360" w:lineRule="auto"/>
              <w:jc w:val="center"/>
              <w:rPr>
                <w:rFonts w:ascii="宋体" w:hAnsi="宋体"/>
                <w:b/>
                <w:bCs/>
                <w:szCs w:val="21"/>
              </w:rPr>
            </w:pPr>
            <w:r>
              <w:rPr>
                <w:rFonts w:hint="eastAsia"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6" w:type="dxa"/>
            <w:vAlign w:val="center"/>
          </w:tcPr>
          <w:p>
            <w:pPr>
              <w:adjustRightInd w:val="0"/>
              <w:snapToGrid w:val="0"/>
              <w:spacing w:line="360" w:lineRule="auto"/>
              <w:rPr>
                <w:rFonts w:ascii="宋体" w:hAnsi="宋体"/>
                <w:szCs w:val="21"/>
              </w:rPr>
            </w:pPr>
            <w:r>
              <w:rPr>
                <w:rFonts w:hint="eastAsia" w:ascii="宋体" w:hAnsi="宋体"/>
                <w:szCs w:val="21"/>
              </w:rPr>
              <w:t>2.2.2（1）</w:t>
            </w:r>
          </w:p>
        </w:tc>
        <w:tc>
          <w:tcPr>
            <w:tcW w:w="1056" w:type="dxa"/>
            <w:vAlign w:val="center"/>
          </w:tcPr>
          <w:p>
            <w:pPr>
              <w:adjustRightInd w:val="0"/>
              <w:snapToGrid w:val="0"/>
              <w:spacing w:line="360" w:lineRule="auto"/>
              <w:jc w:val="center"/>
              <w:rPr>
                <w:rFonts w:ascii="宋体" w:hAnsi="宋体"/>
                <w:szCs w:val="21"/>
              </w:rPr>
            </w:pPr>
            <w:r>
              <w:rPr>
                <w:rFonts w:hint="eastAsia" w:ascii="宋体" w:hAnsi="宋体"/>
                <w:szCs w:val="21"/>
              </w:rPr>
              <w:t>报价</w:t>
            </w:r>
          </w:p>
          <w:p>
            <w:pPr>
              <w:adjustRightInd w:val="0"/>
              <w:snapToGrid w:val="0"/>
              <w:spacing w:line="360" w:lineRule="auto"/>
              <w:jc w:val="center"/>
              <w:rPr>
                <w:rFonts w:ascii="宋体" w:hAnsi="宋体"/>
                <w:szCs w:val="21"/>
              </w:rPr>
            </w:pPr>
            <w:r>
              <w:rPr>
                <w:rFonts w:hint="eastAsia" w:ascii="宋体" w:hAnsi="宋体"/>
                <w:szCs w:val="21"/>
              </w:rPr>
              <w:t>得分</w:t>
            </w:r>
          </w:p>
          <w:p>
            <w:pPr>
              <w:adjustRightInd w:val="0"/>
              <w:snapToGrid w:val="0"/>
              <w:spacing w:line="360" w:lineRule="auto"/>
              <w:jc w:val="center"/>
              <w:rPr>
                <w:rFonts w:ascii="宋体" w:hAnsi="宋体"/>
                <w:szCs w:val="21"/>
              </w:rPr>
            </w:pPr>
            <w:r>
              <w:rPr>
                <w:rFonts w:hint="eastAsia" w:ascii="宋体" w:hAnsi="宋体"/>
                <w:szCs w:val="21"/>
              </w:rPr>
              <w:t>（1</w:t>
            </w:r>
            <w:r>
              <w:rPr>
                <w:rFonts w:ascii="宋体" w:hAnsi="宋体"/>
                <w:szCs w:val="21"/>
              </w:rPr>
              <w:t>0</w:t>
            </w:r>
            <w:r>
              <w:rPr>
                <w:rFonts w:hint="eastAsia" w:ascii="宋体" w:hAnsi="宋体"/>
                <w:szCs w:val="21"/>
              </w:rPr>
              <w:t>分）</w:t>
            </w:r>
          </w:p>
        </w:tc>
        <w:tc>
          <w:tcPr>
            <w:tcW w:w="1495" w:type="dxa"/>
            <w:vAlign w:val="center"/>
          </w:tcPr>
          <w:p>
            <w:pPr>
              <w:adjustRightInd w:val="0"/>
              <w:snapToGrid w:val="0"/>
              <w:spacing w:line="360" w:lineRule="auto"/>
              <w:jc w:val="center"/>
              <w:rPr>
                <w:rFonts w:ascii="宋体" w:hAnsi="宋体"/>
                <w:szCs w:val="21"/>
              </w:rPr>
            </w:pPr>
            <w:r>
              <w:rPr>
                <w:rFonts w:hint="eastAsia" w:ascii="宋体" w:hAnsi="宋体"/>
                <w:szCs w:val="21"/>
              </w:rPr>
              <w:t>投标报价</w:t>
            </w:r>
          </w:p>
          <w:p>
            <w:pPr>
              <w:adjustRightInd w:val="0"/>
              <w:snapToGrid w:val="0"/>
              <w:spacing w:line="360" w:lineRule="auto"/>
              <w:jc w:val="center"/>
              <w:rPr>
                <w:rFonts w:ascii="宋体" w:hAnsi="宋体"/>
                <w:szCs w:val="21"/>
              </w:rPr>
            </w:pPr>
            <w:r>
              <w:rPr>
                <w:rFonts w:hint="eastAsia" w:ascii="宋体" w:hAnsi="宋体"/>
                <w:szCs w:val="21"/>
              </w:rPr>
              <w:t>评分标准</w:t>
            </w:r>
          </w:p>
        </w:tc>
        <w:tc>
          <w:tcPr>
            <w:tcW w:w="6237" w:type="dxa"/>
            <w:vAlign w:val="center"/>
          </w:tcPr>
          <w:p>
            <w:pPr>
              <w:spacing w:line="276" w:lineRule="auto"/>
              <w:ind w:firstLine="420" w:firstLineChars="200"/>
              <w:jc w:val="left"/>
              <w:rPr>
                <w:rFonts w:ascii="宋体" w:hAnsi="宋体" w:cs="宋体"/>
                <w:szCs w:val="21"/>
              </w:rPr>
            </w:pPr>
            <w:r>
              <w:rPr>
                <w:rFonts w:hint="eastAsia" w:ascii="宋体" w:hAnsi="宋体" w:cs="宋体"/>
                <w:szCs w:val="21"/>
              </w:rPr>
              <w:t>价格分采用低价优先法计算，即通过资格性和符合性审查且投标价格最低的投标报价（有效投标报价）为评标基准价，其价格得分为满分</w:t>
            </w:r>
            <w:r>
              <w:rPr>
                <w:rFonts w:ascii="宋体" w:hAnsi="宋体" w:cs="宋体"/>
                <w:szCs w:val="21"/>
              </w:rPr>
              <w:t>10</w:t>
            </w:r>
            <w:r>
              <w:rPr>
                <w:rFonts w:hint="eastAsia" w:ascii="宋体" w:hAnsi="宋体" w:cs="宋体"/>
                <w:szCs w:val="21"/>
              </w:rPr>
              <w:t>分。其他投标人的价格分统一按照下列公式计算：</w:t>
            </w:r>
          </w:p>
          <w:p>
            <w:pPr>
              <w:spacing w:line="400" w:lineRule="exact"/>
              <w:ind w:firstLine="420" w:firstLineChars="200"/>
              <w:rPr>
                <w:rFonts w:ascii="宋体" w:hAnsi="宋体" w:cs="宋体"/>
                <w:szCs w:val="21"/>
              </w:rPr>
            </w:pPr>
            <w:r>
              <w:rPr>
                <w:rFonts w:hint="eastAsia" w:ascii="宋体" w:hAnsi="宋体" w:cs="宋体"/>
                <w:szCs w:val="21"/>
              </w:rPr>
              <w:t>投标报价得分=（评标基准价／投标报价）×</w:t>
            </w:r>
            <w:r>
              <w:rPr>
                <w:rFonts w:ascii="宋体" w:hAnsi="宋体" w:cs="宋体"/>
                <w:szCs w:val="21"/>
              </w:rPr>
              <w:t>10</w:t>
            </w:r>
          </w:p>
          <w:p>
            <w:pPr>
              <w:spacing w:line="276" w:lineRule="auto"/>
              <w:jc w:val="left"/>
              <w:rPr>
                <w:rFonts w:ascii="宋体" w:hAnsi="宋体"/>
                <w:szCs w:val="21"/>
              </w:rPr>
            </w:pPr>
            <w:r>
              <w:rPr>
                <w:rFonts w:hint="eastAsia" w:ascii="宋体" w:hAnsi="宋体" w:cs="宋体"/>
                <w:szCs w:val="21"/>
              </w:rPr>
              <w:t>注：1、价格得分保留小数点后两位。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jc w:val="center"/>
        </w:trPr>
        <w:tc>
          <w:tcPr>
            <w:tcW w:w="846" w:type="dxa"/>
            <w:vMerge w:val="restart"/>
            <w:vAlign w:val="center"/>
          </w:tcPr>
          <w:p>
            <w:pPr>
              <w:adjustRightInd w:val="0"/>
              <w:snapToGrid w:val="0"/>
              <w:spacing w:line="360" w:lineRule="auto"/>
              <w:rPr>
                <w:rFonts w:ascii="宋体" w:hAnsi="宋体"/>
                <w:szCs w:val="21"/>
                <w:highlight w:val="none"/>
              </w:rPr>
            </w:pPr>
            <w:r>
              <w:rPr>
                <w:rFonts w:hint="eastAsia" w:ascii="宋体" w:hAnsi="宋体"/>
                <w:szCs w:val="21"/>
                <w:highlight w:val="none"/>
              </w:rPr>
              <w:t>2.2.2（2）</w:t>
            </w:r>
          </w:p>
        </w:tc>
        <w:tc>
          <w:tcPr>
            <w:tcW w:w="1056" w:type="dxa"/>
            <w:vMerge w:val="restart"/>
            <w:vAlign w:val="center"/>
          </w:tcPr>
          <w:p>
            <w:pPr>
              <w:adjustRightInd w:val="0"/>
              <w:snapToGrid w:val="0"/>
              <w:spacing w:line="360" w:lineRule="auto"/>
              <w:jc w:val="center"/>
              <w:rPr>
                <w:rFonts w:ascii="宋体" w:hAnsi="宋体"/>
                <w:szCs w:val="21"/>
                <w:highlight w:val="none"/>
              </w:rPr>
            </w:pPr>
            <w:r>
              <w:rPr>
                <w:rFonts w:hint="eastAsia" w:ascii="宋体" w:hAnsi="宋体"/>
                <w:szCs w:val="21"/>
                <w:highlight w:val="none"/>
              </w:rPr>
              <w:t>技术部分（50分）</w:t>
            </w:r>
          </w:p>
        </w:tc>
        <w:tc>
          <w:tcPr>
            <w:tcW w:w="1495" w:type="dxa"/>
            <w:vAlign w:val="center"/>
          </w:tcPr>
          <w:p>
            <w:pPr>
              <w:adjustRightInd w:val="0"/>
              <w:snapToGrid w:val="0"/>
              <w:spacing w:line="360" w:lineRule="auto"/>
              <w:jc w:val="center"/>
              <w:rPr>
                <w:rFonts w:ascii="宋体" w:hAnsi="宋体"/>
                <w:szCs w:val="21"/>
                <w:highlight w:val="none"/>
              </w:rPr>
            </w:pPr>
            <w:r>
              <w:rPr>
                <w:rFonts w:hint="eastAsia" w:ascii="宋体" w:hAnsi="宋体"/>
                <w:szCs w:val="21"/>
                <w:highlight w:val="none"/>
              </w:rPr>
              <w:t>对项目的整体理解</w:t>
            </w:r>
            <w:r>
              <w:rPr>
                <w:rFonts w:ascii="宋体" w:hAnsi="宋体"/>
                <w:szCs w:val="21"/>
                <w:highlight w:val="none"/>
              </w:rPr>
              <w:t>（5分）</w:t>
            </w:r>
          </w:p>
        </w:tc>
        <w:tc>
          <w:tcPr>
            <w:tcW w:w="6237" w:type="dxa"/>
            <w:vAlign w:val="center"/>
          </w:tcPr>
          <w:p>
            <w:pPr>
              <w:adjustRightInd w:val="0"/>
              <w:snapToGrid w:val="0"/>
              <w:spacing w:line="360" w:lineRule="auto"/>
              <w:rPr>
                <w:rFonts w:ascii="宋体" w:hAnsi="宋体"/>
                <w:szCs w:val="21"/>
                <w:highlight w:val="none"/>
              </w:rPr>
            </w:pPr>
            <w:r>
              <w:rPr>
                <w:rFonts w:hint="eastAsia" w:ascii="宋体" w:hAnsi="宋体"/>
                <w:szCs w:val="21"/>
                <w:highlight w:val="none"/>
              </w:rPr>
              <w:t>投标人对本项目政策及需求的理解优秀的得4-5分；</w:t>
            </w:r>
          </w:p>
          <w:p>
            <w:pPr>
              <w:adjustRightInd w:val="0"/>
              <w:snapToGrid w:val="0"/>
              <w:spacing w:line="360" w:lineRule="auto"/>
              <w:rPr>
                <w:rFonts w:ascii="宋体" w:hAnsi="宋体"/>
                <w:szCs w:val="21"/>
                <w:highlight w:val="none"/>
              </w:rPr>
            </w:pPr>
            <w:r>
              <w:rPr>
                <w:rFonts w:hint="eastAsia" w:ascii="宋体" w:hAnsi="宋体"/>
                <w:szCs w:val="21"/>
                <w:highlight w:val="none"/>
              </w:rPr>
              <w:t>投标人对本项目政策及需求的理解良好的得2-3分；</w:t>
            </w:r>
          </w:p>
          <w:p>
            <w:pPr>
              <w:pStyle w:val="2"/>
              <w:spacing w:line="360" w:lineRule="auto"/>
              <w:jc w:val="left"/>
              <w:rPr>
                <w:rFonts w:ascii="宋体" w:eastAsia="宋体" w:cs="宋体"/>
                <w:sz w:val="21"/>
                <w:szCs w:val="21"/>
                <w:highlight w:val="none"/>
              </w:rPr>
            </w:pPr>
            <w:r>
              <w:rPr>
                <w:rFonts w:hint="eastAsia"/>
                <w:szCs w:val="21"/>
                <w:highlight w:val="none"/>
              </w:rPr>
              <w:t>投标人对本项目政策及需求的理解一般的得0-1分。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4"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highlight w:val="none"/>
              </w:rPr>
            </w:pPr>
          </w:p>
        </w:tc>
        <w:tc>
          <w:tcPr>
            <w:tcW w:w="1056" w:type="dxa"/>
            <w:vMerge w:val="continue"/>
            <w:vAlign w:val="center"/>
          </w:tcPr>
          <w:p>
            <w:pPr>
              <w:adjustRightInd w:val="0"/>
              <w:snapToGrid w:val="0"/>
              <w:spacing w:line="360" w:lineRule="auto"/>
              <w:ind w:firstLine="420" w:firstLineChars="200"/>
              <w:jc w:val="center"/>
              <w:rPr>
                <w:rFonts w:ascii="宋体" w:hAnsi="宋体"/>
                <w:szCs w:val="21"/>
                <w:highlight w:val="none"/>
              </w:rPr>
            </w:pPr>
          </w:p>
        </w:tc>
        <w:tc>
          <w:tcPr>
            <w:tcW w:w="1495" w:type="dxa"/>
            <w:vAlign w:val="center"/>
          </w:tcPr>
          <w:p>
            <w:pPr>
              <w:adjustRightInd w:val="0"/>
              <w:snapToGrid w:val="0"/>
              <w:spacing w:line="360" w:lineRule="auto"/>
              <w:jc w:val="center"/>
              <w:rPr>
                <w:rFonts w:ascii="宋体" w:hAnsi="宋体"/>
                <w:szCs w:val="21"/>
                <w:highlight w:val="none"/>
              </w:rPr>
            </w:pPr>
            <w:r>
              <w:rPr>
                <w:rFonts w:hint="eastAsia" w:ascii="宋体" w:hAnsi="宋体"/>
                <w:spacing w:val="8"/>
                <w:szCs w:val="21"/>
                <w:highlight w:val="none"/>
              </w:rPr>
              <w:t>技术方案编制</w:t>
            </w:r>
            <w:r>
              <w:rPr>
                <w:rFonts w:ascii="宋体" w:hAnsi="宋体"/>
                <w:spacing w:val="8"/>
                <w:szCs w:val="21"/>
                <w:highlight w:val="none"/>
              </w:rPr>
              <w:t>(</w:t>
            </w:r>
            <w:r>
              <w:rPr>
                <w:rFonts w:hint="eastAsia" w:ascii="宋体" w:hAnsi="宋体"/>
                <w:spacing w:val="8"/>
                <w:szCs w:val="21"/>
                <w:highlight w:val="none"/>
              </w:rPr>
              <w:t>7</w:t>
            </w:r>
            <w:r>
              <w:rPr>
                <w:rFonts w:ascii="宋体" w:hAnsi="宋体"/>
                <w:spacing w:val="8"/>
                <w:szCs w:val="21"/>
                <w:highlight w:val="none"/>
              </w:rPr>
              <w:t>分)</w:t>
            </w:r>
          </w:p>
        </w:tc>
        <w:tc>
          <w:tcPr>
            <w:tcW w:w="6237" w:type="dxa"/>
            <w:vAlign w:val="center"/>
          </w:tcPr>
          <w:p>
            <w:pPr>
              <w:adjustRightInd w:val="0"/>
              <w:snapToGrid w:val="0"/>
              <w:spacing w:line="360" w:lineRule="auto"/>
              <w:rPr>
                <w:rFonts w:ascii="宋体" w:hAnsi="宋体"/>
                <w:szCs w:val="21"/>
                <w:highlight w:val="none"/>
              </w:rPr>
            </w:pPr>
            <w:r>
              <w:rPr>
                <w:rFonts w:hint="eastAsia" w:ascii="宋体" w:hAnsi="宋体"/>
                <w:szCs w:val="21"/>
                <w:highlight w:val="none"/>
              </w:rPr>
              <w:t>投标人整体技术方案编制、技术路线工序完整、针对性强、技术先进的，得5-7分；</w:t>
            </w:r>
          </w:p>
          <w:p>
            <w:pPr>
              <w:adjustRightInd w:val="0"/>
              <w:snapToGrid w:val="0"/>
              <w:spacing w:line="360" w:lineRule="auto"/>
              <w:rPr>
                <w:rFonts w:ascii="宋体" w:hAnsi="宋体"/>
                <w:szCs w:val="21"/>
                <w:highlight w:val="none"/>
              </w:rPr>
            </w:pPr>
            <w:r>
              <w:rPr>
                <w:rFonts w:hint="eastAsia" w:ascii="宋体" w:hAnsi="宋体"/>
                <w:szCs w:val="21"/>
                <w:highlight w:val="none"/>
              </w:rPr>
              <w:t>投标人整体技术方案编制、技术路线工序相对完整、针对性较强、技术良好的，得3-4分；</w:t>
            </w:r>
          </w:p>
          <w:p>
            <w:pPr>
              <w:adjustRightInd w:val="0"/>
              <w:snapToGrid w:val="0"/>
              <w:spacing w:line="360" w:lineRule="auto"/>
              <w:rPr>
                <w:szCs w:val="21"/>
                <w:highlight w:val="none"/>
              </w:rPr>
            </w:pPr>
            <w:r>
              <w:rPr>
                <w:rFonts w:hint="eastAsia" w:ascii="宋体" w:hAnsi="宋体"/>
                <w:szCs w:val="21"/>
                <w:highlight w:val="none"/>
              </w:rPr>
              <w:t>投标人整体技术方案编制、技术路线工序不完整、不具有针对性、技术一般的，得0-2分；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highlight w:val="none"/>
              </w:rPr>
            </w:pPr>
          </w:p>
        </w:tc>
        <w:tc>
          <w:tcPr>
            <w:tcW w:w="1056" w:type="dxa"/>
            <w:vMerge w:val="continue"/>
            <w:vAlign w:val="center"/>
          </w:tcPr>
          <w:p>
            <w:pPr>
              <w:adjustRightInd w:val="0"/>
              <w:snapToGrid w:val="0"/>
              <w:spacing w:line="360" w:lineRule="auto"/>
              <w:ind w:firstLine="420" w:firstLineChars="200"/>
              <w:rPr>
                <w:rFonts w:ascii="宋体" w:hAnsi="宋体"/>
                <w:szCs w:val="21"/>
                <w:highlight w:val="none"/>
              </w:rPr>
            </w:pPr>
          </w:p>
        </w:tc>
        <w:tc>
          <w:tcPr>
            <w:tcW w:w="1495" w:type="dxa"/>
            <w:vAlign w:val="center"/>
          </w:tcPr>
          <w:p>
            <w:pPr>
              <w:spacing w:before="128" w:line="281" w:lineRule="auto"/>
              <w:ind w:right="110"/>
              <w:jc w:val="center"/>
              <w:rPr>
                <w:rFonts w:ascii="宋体" w:hAnsi="宋体"/>
                <w:szCs w:val="21"/>
                <w:highlight w:val="none"/>
              </w:rPr>
            </w:pPr>
            <w:r>
              <w:rPr>
                <w:rFonts w:hint="eastAsia" w:ascii="宋体" w:hAnsi="宋体"/>
                <w:szCs w:val="21"/>
                <w:highlight w:val="none"/>
              </w:rPr>
              <w:t>重、难点工作分析</w:t>
            </w:r>
            <w:r>
              <w:rPr>
                <w:rFonts w:ascii="宋体" w:hAnsi="宋体"/>
                <w:szCs w:val="21"/>
                <w:highlight w:val="none"/>
              </w:rPr>
              <w:t xml:space="preserve"> (</w:t>
            </w:r>
            <w:r>
              <w:rPr>
                <w:rFonts w:hint="eastAsia" w:ascii="宋体" w:hAnsi="宋体"/>
                <w:szCs w:val="21"/>
                <w:highlight w:val="none"/>
              </w:rPr>
              <w:t>8</w:t>
            </w:r>
            <w:r>
              <w:rPr>
                <w:rFonts w:ascii="宋体" w:hAnsi="宋体"/>
                <w:szCs w:val="21"/>
                <w:highlight w:val="none"/>
              </w:rPr>
              <w:t>分)</w:t>
            </w:r>
          </w:p>
        </w:tc>
        <w:tc>
          <w:tcPr>
            <w:tcW w:w="6237" w:type="dxa"/>
          </w:tcPr>
          <w:p>
            <w:pPr>
              <w:adjustRightInd w:val="0"/>
              <w:snapToGrid w:val="0"/>
              <w:spacing w:line="360" w:lineRule="auto"/>
              <w:rPr>
                <w:rFonts w:ascii="宋体" w:hAnsi="宋体"/>
                <w:szCs w:val="21"/>
                <w:highlight w:val="none"/>
              </w:rPr>
            </w:pPr>
            <w:r>
              <w:rPr>
                <w:rFonts w:hint="eastAsia" w:ascii="宋体" w:hAnsi="宋体"/>
                <w:szCs w:val="21"/>
                <w:highlight w:val="none"/>
              </w:rPr>
              <w:t>投标人对本项目重点工作理解透彻、难点分析准确，对本项目重点工作应对举措合理有效、符合实际优秀的，得6-8分。</w:t>
            </w:r>
          </w:p>
          <w:p>
            <w:pPr>
              <w:pStyle w:val="2"/>
              <w:spacing w:line="360" w:lineRule="auto"/>
              <w:jc w:val="left"/>
              <w:rPr>
                <w:szCs w:val="21"/>
                <w:highlight w:val="none"/>
              </w:rPr>
            </w:pPr>
            <w:r>
              <w:rPr>
                <w:rFonts w:hint="eastAsia"/>
                <w:szCs w:val="21"/>
                <w:highlight w:val="none"/>
              </w:rPr>
              <w:t>投标人对本项目重点工作理解较透彻、难点分析相对准确，对本项目重点工作应对举措良好的，得3-5分。</w:t>
            </w:r>
          </w:p>
          <w:p>
            <w:pPr>
              <w:pStyle w:val="63"/>
              <w:tabs>
                <w:tab w:val="left" w:pos="-200"/>
                <w:tab w:val="left" w:pos="0"/>
                <w:tab w:val="clear" w:pos="810"/>
                <w:tab w:val="clear" w:pos="907"/>
              </w:tabs>
              <w:spacing w:line="360" w:lineRule="auto"/>
              <w:ind w:left="7" w:hanging="7"/>
              <w:jc w:val="left"/>
              <w:rPr>
                <w:szCs w:val="21"/>
                <w:highlight w:val="none"/>
                <w:lang w:eastAsia="zh-CN"/>
              </w:rPr>
            </w:pPr>
            <w:r>
              <w:rPr>
                <w:rFonts w:hint="eastAsia" w:ascii="宋体" w:eastAsia="宋体" w:cs="宋体"/>
                <w:sz w:val="21"/>
                <w:szCs w:val="21"/>
                <w:highlight w:val="none"/>
                <w:lang w:eastAsia="zh-CN"/>
              </w:rPr>
              <w:t>投标人对本项目重点工作理解、难点分析一般，对本项目重点工作应对举措一般的，得0-2分。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Align w:val="center"/>
          </w:tcPr>
          <w:p>
            <w:pPr>
              <w:spacing w:line="360" w:lineRule="auto"/>
              <w:ind w:right="110"/>
              <w:jc w:val="center"/>
              <w:rPr>
                <w:rFonts w:ascii="宋体" w:hAnsi="宋体"/>
                <w:szCs w:val="21"/>
              </w:rPr>
            </w:pPr>
            <w:r>
              <w:rPr>
                <w:rFonts w:hint="eastAsia" w:ascii="宋体" w:hAnsi="宋体"/>
                <w:szCs w:val="21"/>
              </w:rPr>
              <w:t>项目主要人员岗位职责（6分）</w:t>
            </w:r>
          </w:p>
        </w:tc>
        <w:tc>
          <w:tcPr>
            <w:tcW w:w="6237" w:type="dxa"/>
          </w:tcPr>
          <w:p>
            <w:pPr>
              <w:spacing w:line="360" w:lineRule="auto"/>
              <w:ind w:right="104"/>
              <w:rPr>
                <w:rFonts w:ascii="宋体" w:hAnsi="宋体"/>
                <w:szCs w:val="21"/>
              </w:rPr>
            </w:pPr>
            <w:r>
              <w:rPr>
                <w:rFonts w:hint="eastAsia" w:ascii="宋体" w:hAnsi="宋体"/>
                <w:szCs w:val="21"/>
              </w:rPr>
              <w:t>项目主要人员岗位职责划分全面明确、合理可行优秀的，得5-6分。</w:t>
            </w:r>
          </w:p>
          <w:p>
            <w:pPr>
              <w:spacing w:line="360" w:lineRule="auto"/>
              <w:ind w:right="104"/>
              <w:rPr>
                <w:rFonts w:ascii="宋体" w:hAnsi="宋体"/>
                <w:szCs w:val="21"/>
              </w:rPr>
            </w:pPr>
            <w:r>
              <w:rPr>
                <w:rFonts w:hint="eastAsia" w:ascii="宋体" w:hAnsi="宋体"/>
                <w:szCs w:val="21"/>
              </w:rPr>
              <w:t>项目主要人员岗位职责划分相对明确、合理可行良好的，得3-4分。</w:t>
            </w:r>
          </w:p>
          <w:p>
            <w:pPr>
              <w:spacing w:line="360" w:lineRule="auto"/>
              <w:ind w:right="104"/>
              <w:rPr>
                <w:szCs w:val="21"/>
              </w:rPr>
            </w:pPr>
            <w:r>
              <w:rPr>
                <w:rFonts w:hint="eastAsia" w:ascii="宋体" w:hAnsi="宋体"/>
                <w:szCs w:val="21"/>
              </w:rPr>
              <w:t>项目主要人员岗位职责划分基本全面、基本合理的，得0-2分。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Align w:val="center"/>
          </w:tcPr>
          <w:p>
            <w:pPr>
              <w:spacing w:line="360" w:lineRule="auto"/>
              <w:ind w:right="110"/>
              <w:jc w:val="center"/>
              <w:rPr>
                <w:rFonts w:ascii="宋体" w:hAnsi="宋体"/>
                <w:szCs w:val="21"/>
              </w:rPr>
            </w:pPr>
            <w:r>
              <w:rPr>
                <w:rFonts w:hint="eastAsia" w:ascii="宋体" w:hAnsi="宋体"/>
                <w:szCs w:val="21"/>
              </w:rPr>
              <w:t>工期进度安排</w:t>
            </w:r>
          </w:p>
          <w:p>
            <w:pPr>
              <w:spacing w:line="360" w:lineRule="auto"/>
              <w:ind w:right="110"/>
              <w:jc w:val="center"/>
              <w:rPr>
                <w:rFonts w:ascii="宋体" w:hAnsi="宋体"/>
                <w:szCs w:val="21"/>
              </w:rPr>
            </w:pPr>
            <w:r>
              <w:rPr>
                <w:rFonts w:ascii="宋体" w:hAnsi="宋体"/>
                <w:szCs w:val="21"/>
              </w:rPr>
              <w:t>（</w:t>
            </w:r>
            <w:r>
              <w:rPr>
                <w:rFonts w:hint="eastAsia" w:ascii="宋体" w:hAnsi="宋体"/>
                <w:szCs w:val="21"/>
              </w:rPr>
              <w:t>6</w:t>
            </w:r>
            <w:r>
              <w:rPr>
                <w:rFonts w:ascii="宋体" w:hAnsi="宋体"/>
                <w:szCs w:val="21"/>
              </w:rPr>
              <w:t>分）</w:t>
            </w:r>
          </w:p>
        </w:tc>
        <w:tc>
          <w:tcPr>
            <w:tcW w:w="6237" w:type="dxa"/>
          </w:tcPr>
          <w:p>
            <w:pPr>
              <w:spacing w:line="360" w:lineRule="auto"/>
              <w:ind w:right="104"/>
              <w:rPr>
                <w:rFonts w:ascii="宋体" w:hAnsi="宋体"/>
                <w:szCs w:val="21"/>
              </w:rPr>
            </w:pPr>
            <w:r>
              <w:rPr>
                <w:rFonts w:hint="eastAsia" w:ascii="宋体" w:hAnsi="宋体"/>
                <w:szCs w:val="21"/>
              </w:rPr>
              <w:t>投标人对本项目工期进度计划、施工中进度编排合理，保障措施优秀的，得4-6分。</w:t>
            </w:r>
          </w:p>
          <w:p>
            <w:pPr>
              <w:spacing w:line="360" w:lineRule="auto"/>
              <w:ind w:right="104"/>
              <w:rPr>
                <w:rFonts w:ascii="宋体" w:hAnsi="宋体"/>
                <w:szCs w:val="21"/>
              </w:rPr>
            </w:pPr>
            <w:r>
              <w:rPr>
                <w:rFonts w:hint="eastAsia" w:ascii="宋体" w:hAnsi="宋体"/>
                <w:szCs w:val="21"/>
              </w:rPr>
              <w:t>投标人对本项目工期进度计划、施工中进度编排较合理，保障措施良好的，得2-3分。</w:t>
            </w:r>
          </w:p>
          <w:p>
            <w:pPr>
              <w:spacing w:line="360" w:lineRule="auto"/>
              <w:ind w:right="104"/>
              <w:rPr>
                <w:szCs w:val="21"/>
              </w:rPr>
            </w:pPr>
            <w:r>
              <w:rPr>
                <w:rFonts w:hint="eastAsia" w:ascii="宋体" w:hAnsi="宋体"/>
                <w:szCs w:val="21"/>
              </w:rPr>
              <w:t>投标人对本项目工期进度计划、施工中进度编排一般，保障措施一般的，得0-1分。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Align w:val="center"/>
          </w:tcPr>
          <w:p>
            <w:pPr>
              <w:spacing w:line="360" w:lineRule="auto"/>
              <w:jc w:val="center"/>
              <w:rPr>
                <w:rFonts w:ascii="宋体" w:hAnsi="宋体"/>
                <w:szCs w:val="21"/>
              </w:rPr>
            </w:pPr>
            <w:r>
              <w:rPr>
                <w:rFonts w:hint="eastAsia" w:ascii="宋体" w:hAnsi="宋体"/>
                <w:szCs w:val="21"/>
              </w:rPr>
              <w:t>质量控制措施</w:t>
            </w:r>
          </w:p>
          <w:p>
            <w:pPr>
              <w:spacing w:line="360" w:lineRule="auto"/>
              <w:jc w:val="center"/>
              <w:rPr>
                <w:rFonts w:ascii="宋体" w:hAnsi="宋体"/>
                <w:szCs w:val="21"/>
              </w:rPr>
            </w:pPr>
            <w:r>
              <w:rPr>
                <w:rFonts w:ascii="宋体" w:hAnsi="宋体"/>
                <w:szCs w:val="21"/>
              </w:rPr>
              <w:t>（</w:t>
            </w:r>
            <w:r>
              <w:rPr>
                <w:rFonts w:hint="eastAsia" w:ascii="宋体" w:hAnsi="宋体"/>
                <w:szCs w:val="21"/>
              </w:rPr>
              <w:t>6分</w:t>
            </w:r>
            <w:r>
              <w:rPr>
                <w:rFonts w:ascii="宋体" w:hAnsi="宋体"/>
                <w:szCs w:val="21"/>
              </w:rPr>
              <w:t>）</w:t>
            </w:r>
          </w:p>
        </w:tc>
        <w:tc>
          <w:tcPr>
            <w:tcW w:w="6237" w:type="dxa"/>
          </w:tcPr>
          <w:p>
            <w:pPr>
              <w:spacing w:line="360" w:lineRule="auto"/>
              <w:ind w:right="104"/>
              <w:rPr>
                <w:rFonts w:ascii="宋体" w:hAnsi="宋体"/>
                <w:szCs w:val="21"/>
              </w:rPr>
            </w:pPr>
            <w:r>
              <w:rPr>
                <w:rFonts w:hint="eastAsia" w:ascii="宋体" w:hAnsi="宋体"/>
                <w:szCs w:val="21"/>
              </w:rPr>
              <w:t>确保项目服务质量的技术组织措施优秀的得5-6分；</w:t>
            </w:r>
          </w:p>
          <w:p>
            <w:pPr>
              <w:spacing w:line="360" w:lineRule="auto"/>
              <w:ind w:right="104"/>
              <w:rPr>
                <w:rFonts w:ascii="宋体" w:hAnsi="宋体"/>
                <w:szCs w:val="21"/>
              </w:rPr>
            </w:pPr>
            <w:r>
              <w:rPr>
                <w:rFonts w:hint="eastAsia" w:ascii="宋体" w:hAnsi="宋体"/>
                <w:szCs w:val="21"/>
              </w:rPr>
              <w:t>确保项目服务质量的技术组织措施良好的得3-4分；</w:t>
            </w:r>
          </w:p>
          <w:p>
            <w:pPr>
              <w:spacing w:line="360" w:lineRule="auto"/>
              <w:ind w:right="104"/>
              <w:rPr>
                <w:szCs w:val="21"/>
              </w:rPr>
            </w:pPr>
            <w:r>
              <w:rPr>
                <w:rFonts w:hint="eastAsia" w:ascii="宋体" w:hAnsi="宋体"/>
                <w:szCs w:val="21"/>
              </w:rPr>
              <w:t>确保项目服务质量的技术组织措施一般的得0-2分；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Align w:val="center"/>
          </w:tcPr>
          <w:p>
            <w:pPr>
              <w:spacing w:line="360" w:lineRule="auto"/>
              <w:ind w:right="110"/>
              <w:jc w:val="center"/>
              <w:rPr>
                <w:rFonts w:ascii="宋体" w:hAnsi="宋体"/>
                <w:szCs w:val="21"/>
              </w:rPr>
            </w:pPr>
            <w:r>
              <w:rPr>
                <w:rFonts w:hint="eastAsia" w:ascii="宋体" w:hAnsi="宋体"/>
                <w:szCs w:val="21"/>
              </w:rPr>
              <w:t>保密措施</w:t>
            </w:r>
            <w:r>
              <w:rPr>
                <w:rFonts w:ascii="宋体" w:hAnsi="宋体"/>
                <w:szCs w:val="21"/>
              </w:rPr>
              <w:t>（</w:t>
            </w:r>
            <w:r>
              <w:rPr>
                <w:rFonts w:hint="eastAsia" w:ascii="宋体" w:hAnsi="宋体"/>
                <w:szCs w:val="21"/>
              </w:rPr>
              <w:t>6</w:t>
            </w:r>
            <w:r>
              <w:rPr>
                <w:rFonts w:ascii="宋体" w:hAnsi="宋体"/>
                <w:szCs w:val="21"/>
              </w:rPr>
              <w:t>分）</w:t>
            </w:r>
          </w:p>
        </w:tc>
        <w:tc>
          <w:tcPr>
            <w:tcW w:w="6237" w:type="dxa"/>
          </w:tcPr>
          <w:p>
            <w:pPr>
              <w:adjustRightInd w:val="0"/>
              <w:snapToGrid w:val="0"/>
              <w:spacing w:line="360" w:lineRule="auto"/>
              <w:rPr>
                <w:rFonts w:ascii="宋体" w:hAnsi="宋体"/>
                <w:szCs w:val="21"/>
              </w:rPr>
            </w:pPr>
            <w:r>
              <w:rPr>
                <w:rFonts w:hint="eastAsia" w:ascii="宋体" w:hAnsi="宋体"/>
                <w:szCs w:val="21"/>
              </w:rPr>
              <w:t>保密措施科学合理、内容详尽、针对性及可操作性优秀的得5-6分；</w:t>
            </w:r>
          </w:p>
          <w:p>
            <w:pPr>
              <w:adjustRightInd w:val="0"/>
              <w:snapToGrid w:val="0"/>
              <w:spacing w:line="360" w:lineRule="auto"/>
              <w:rPr>
                <w:rFonts w:ascii="宋体" w:hAnsi="宋体"/>
                <w:szCs w:val="21"/>
              </w:rPr>
            </w:pPr>
            <w:r>
              <w:rPr>
                <w:rFonts w:hint="eastAsia" w:ascii="宋体" w:hAnsi="宋体"/>
                <w:szCs w:val="21"/>
              </w:rPr>
              <w:t>保密措施较科学合理、内容较详尽、针对性及可操作性较良好的得3-4分；</w:t>
            </w:r>
          </w:p>
          <w:p>
            <w:pPr>
              <w:adjustRightInd w:val="0"/>
              <w:snapToGrid w:val="0"/>
              <w:spacing w:line="360" w:lineRule="auto"/>
              <w:rPr>
                <w:rFonts w:ascii="宋体" w:hAnsi="宋体"/>
                <w:szCs w:val="21"/>
              </w:rPr>
            </w:pPr>
            <w:r>
              <w:rPr>
                <w:rFonts w:hint="eastAsia" w:ascii="宋体" w:hAnsi="宋体"/>
                <w:szCs w:val="21"/>
              </w:rPr>
              <w:t>保密措施基本科学合理、内容基本详尽、针对性及可操作性一般的得0-2分；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Align w:val="center"/>
          </w:tcPr>
          <w:p>
            <w:pPr>
              <w:spacing w:line="360" w:lineRule="auto"/>
              <w:ind w:right="110"/>
              <w:jc w:val="center"/>
              <w:rPr>
                <w:rFonts w:ascii="宋体" w:hAnsi="宋体"/>
                <w:szCs w:val="21"/>
              </w:rPr>
            </w:pPr>
            <w:r>
              <w:rPr>
                <w:rFonts w:hint="eastAsia" w:ascii="宋体" w:hAnsi="宋体"/>
                <w:szCs w:val="21"/>
              </w:rPr>
              <w:t>售后服务方案</w:t>
            </w:r>
          </w:p>
          <w:p>
            <w:pPr>
              <w:spacing w:line="360" w:lineRule="auto"/>
              <w:ind w:right="110"/>
              <w:jc w:val="center"/>
              <w:rPr>
                <w:rFonts w:ascii="宋体" w:hAnsi="宋体"/>
                <w:szCs w:val="21"/>
              </w:rPr>
            </w:pPr>
            <w:r>
              <w:rPr>
                <w:rFonts w:ascii="宋体" w:hAnsi="宋体"/>
                <w:szCs w:val="21"/>
              </w:rPr>
              <w:t>（</w:t>
            </w:r>
            <w:r>
              <w:rPr>
                <w:rFonts w:hint="eastAsia" w:ascii="宋体" w:hAnsi="宋体"/>
                <w:szCs w:val="21"/>
              </w:rPr>
              <w:t>6</w:t>
            </w:r>
            <w:r>
              <w:rPr>
                <w:rFonts w:ascii="宋体" w:hAnsi="宋体"/>
                <w:szCs w:val="21"/>
              </w:rPr>
              <w:t>分）</w:t>
            </w:r>
          </w:p>
        </w:tc>
        <w:tc>
          <w:tcPr>
            <w:tcW w:w="6237" w:type="dxa"/>
          </w:tcPr>
          <w:p>
            <w:pPr>
              <w:adjustRightInd w:val="0"/>
              <w:snapToGrid w:val="0"/>
              <w:spacing w:line="360" w:lineRule="auto"/>
              <w:rPr>
                <w:rFonts w:ascii="宋体" w:hAnsi="宋体"/>
                <w:szCs w:val="21"/>
              </w:rPr>
            </w:pPr>
            <w:r>
              <w:rPr>
                <w:rFonts w:hint="eastAsia" w:ascii="宋体" w:hAnsi="宋体"/>
                <w:szCs w:val="21"/>
              </w:rPr>
              <w:t>售后服务方案全面、措施完善、服务响应程度优秀的得5-6分；</w:t>
            </w:r>
          </w:p>
          <w:p>
            <w:pPr>
              <w:adjustRightInd w:val="0"/>
              <w:snapToGrid w:val="0"/>
              <w:spacing w:line="360" w:lineRule="auto"/>
              <w:rPr>
                <w:rFonts w:ascii="宋体" w:hAnsi="宋体"/>
                <w:szCs w:val="21"/>
              </w:rPr>
            </w:pPr>
            <w:r>
              <w:rPr>
                <w:rFonts w:hint="eastAsia" w:ascii="宋体" w:hAnsi="宋体"/>
                <w:szCs w:val="21"/>
              </w:rPr>
              <w:t>售后服务方案较全面，措施较完善，服务响应程度良好的得3-4分；</w:t>
            </w:r>
          </w:p>
          <w:p>
            <w:pPr>
              <w:adjustRightInd w:val="0"/>
              <w:snapToGrid w:val="0"/>
              <w:spacing w:line="360" w:lineRule="auto"/>
              <w:rPr>
                <w:rFonts w:ascii="宋体" w:hAnsi="宋体"/>
                <w:szCs w:val="21"/>
              </w:rPr>
            </w:pPr>
            <w:r>
              <w:rPr>
                <w:rFonts w:hint="eastAsia" w:ascii="宋体" w:hAnsi="宋体"/>
                <w:szCs w:val="21"/>
              </w:rPr>
              <w:t>售后服务方案不全面，措施不完善，服务响应程度一般的得0-2分；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jc w:val="center"/>
        </w:trPr>
        <w:tc>
          <w:tcPr>
            <w:tcW w:w="846" w:type="dxa"/>
            <w:vMerge w:val="restart"/>
            <w:vAlign w:val="center"/>
          </w:tcPr>
          <w:p>
            <w:pPr>
              <w:adjustRightInd w:val="0"/>
              <w:snapToGrid w:val="0"/>
              <w:spacing w:line="360" w:lineRule="auto"/>
              <w:rPr>
                <w:rFonts w:ascii="宋体" w:hAnsi="宋体"/>
                <w:szCs w:val="21"/>
              </w:rPr>
            </w:pPr>
            <w:r>
              <w:rPr>
                <w:rFonts w:hint="eastAsia" w:ascii="宋体" w:hAnsi="宋体"/>
                <w:szCs w:val="21"/>
              </w:rPr>
              <w:t>2.2.2（3）</w:t>
            </w:r>
          </w:p>
        </w:tc>
        <w:tc>
          <w:tcPr>
            <w:tcW w:w="1056" w:type="dxa"/>
            <w:vMerge w:val="restart"/>
            <w:vAlign w:val="center"/>
          </w:tcPr>
          <w:p>
            <w:pPr>
              <w:adjustRightInd w:val="0"/>
              <w:snapToGrid w:val="0"/>
              <w:spacing w:line="360" w:lineRule="auto"/>
              <w:jc w:val="center"/>
              <w:rPr>
                <w:rFonts w:ascii="宋体" w:hAnsi="宋体"/>
                <w:szCs w:val="21"/>
              </w:rPr>
            </w:pPr>
            <w:r>
              <w:rPr>
                <w:rFonts w:hint="eastAsia" w:ascii="宋体" w:hAnsi="宋体"/>
                <w:szCs w:val="21"/>
              </w:rPr>
              <w:t>商务</w:t>
            </w:r>
          </w:p>
          <w:p>
            <w:pPr>
              <w:adjustRightInd w:val="0"/>
              <w:snapToGrid w:val="0"/>
              <w:spacing w:line="360" w:lineRule="auto"/>
              <w:jc w:val="center"/>
              <w:rPr>
                <w:rFonts w:ascii="宋体" w:hAnsi="宋体"/>
                <w:szCs w:val="21"/>
              </w:rPr>
            </w:pPr>
            <w:r>
              <w:rPr>
                <w:rFonts w:hint="eastAsia" w:ascii="宋体" w:hAnsi="宋体"/>
                <w:szCs w:val="21"/>
              </w:rPr>
              <w:t>部分</w:t>
            </w:r>
          </w:p>
          <w:p>
            <w:pPr>
              <w:adjustRightInd w:val="0"/>
              <w:snapToGrid w:val="0"/>
              <w:spacing w:line="360" w:lineRule="auto"/>
              <w:jc w:val="center"/>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0分）</w:t>
            </w:r>
          </w:p>
          <w:p>
            <w:pPr>
              <w:adjustRightInd w:val="0"/>
              <w:snapToGrid w:val="0"/>
              <w:spacing w:line="360" w:lineRule="auto"/>
              <w:ind w:firstLine="420" w:firstLineChars="200"/>
              <w:rPr>
                <w:rFonts w:ascii="宋体" w:hAnsi="宋体"/>
                <w:szCs w:val="21"/>
              </w:rPr>
            </w:pPr>
          </w:p>
        </w:tc>
        <w:tc>
          <w:tcPr>
            <w:tcW w:w="1495" w:type="dxa"/>
            <w:vMerge w:val="restart"/>
            <w:vAlign w:val="center"/>
          </w:tcPr>
          <w:p>
            <w:pPr>
              <w:spacing w:before="75" w:line="227" w:lineRule="auto"/>
              <w:jc w:val="center"/>
              <w:rPr>
                <w:rFonts w:ascii="宋体" w:hAnsi="宋体"/>
                <w:spacing w:val="4"/>
                <w:szCs w:val="21"/>
              </w:rPr>
            </w:pPr>
            <w:r>
              <w:rPr>
                <w:rFonts w:ascii="宋体" w:hAnsi="宋体"/>
                <w:spacing w:val="9"/>
                <w:szCs w:val="21"/>
              </w:rPr>
              <w:t>拟</w:t>
            </w:r>
            <w:r>
              <w:rPr>
                <w:rFonts w:ascii="宋体" w:hAnsi="宋体"/>
                <w:spacing w:val="8"/>
                <w:szCs w:val="21"/>
              </w:rPr>
              <w:t>投入本项</w:t>
            </w:r>
            <w:r>
              <w:rPr>
                <w:rFonts w:ascii="宋体" w:hAnsi="宋体"/>
                <w:spacing w:val="7"/>
                <w:szCs w:val="21"/>
              </w:rPr>
              <w:t>目的人</w:t>
            </w:r>
            <w:r>
              <w:rPr>
                <w:rFonts w:ascii="宋体" w:hAnsi="宋体"/>
                <w:spacing w:val="5"/>
                <w:szCs w:val="21"/>
              </w:rPr>
              <w:t>员</w:t>
            </w:r>
            <w:r>
              <w:rPr>
                <w:rFonts w:ascii="宋体" w:hAnsi="宋体"/>
                <w:spacing w:val="4"/>
                <w:szCs w:val="21"/>
              </w:rPr>
              <w:t>配备</w:t>
            </w:r>
          </w:p>
          <w:p>
            <w:pPr>
              <w:spacing w:before="75" w:line="227" w:lineRule="auto"/>
              <w:jc w:val="center"/>
              <w:rPr>
                <w:rFonts w:ascii="宋体" w:hAnsi="宋体"/>
                <w:szCs w:val="21"/>
              </w:rPr>
            </w:pPr>
            <w:r>
              <w:rPr>
                <w:rFonts w:ascii="宋体" w:hAnsi="宋体"/>
                <w:spacing w:val="12"/>
                <w:szCs w:val="21"/>
              </w:rPr>
              <w:t>(</w:t>
            </w:r>
            <w:r>
              <w:rPr>
                <w:rFonts w:hint="eastAsia" w:ascii="宋体" w:hAnsi="宋体"/>
                <w:spacing w:val="12"/>
                <w:szCs w:val="21"/>
              </w:rPr>
              <w:t>10</w:t>
            </w:r>
            <w:r>
              <w:rPr>
                <w:rFonts w:ascii="宋体" w:hAnsi="宋体"/>
                <w:spacing w:val="12"/>
                <w:szCs w:val="21"/>
              </w:rPr>
              <w:t>分</w:t>
            </w:r>
            <w:r>
              <w:rPr>
                <w:rFonts w:ascii="宋体" w:hAnsi="宋体"/>
                <w:spacing w:val="11"/>
                <w:szCs w:val="21"/>
              </w:rPr>
              <w:t>)</w:t>
            </w:r>
          </w:p>
        </w:tc>
        <w:tc>
          <w:tcPr>
            <w:tcW w:w="6237" w:type="dxa"/>
            <w:vAlign w:val="center"/>
          </w:tcPr>
          <w:p>
            <w:pPr>
              <w:adjustRightInd w:val="0"/>
              <w:snapToGrid w:val="0"/>
              <w:spacing w:line="360" w:lineRule="auto"/>
              <w:rPr>
                <w:rFonts w:ascii="宋体" w:hAnsi="宋体"/>
                <w:szCs w:val="21"/>
              </w:rPr>
            </w:pPr>
            <w:r>
              <w:rPr>
                <w:rFonts w:ascii="宋体" w:hAnsi="宋体"/>
                <w:szCs w:val="21"/>
              </w:rPr>
              <w:t>项目团队人员中 (不含项目负责人) 具有测绘相关专业</w:t>
            </w:r>
            <w:r>
              <w:rPr>
                <w:rFonts w:hint="eastAsia" w:ascii="宋体" w:hAnsi="宋体"/>
                <w:szCs w:val="21"/>
              </w:rPr>
              <w:t>高级</w:t>
            </w:r>
            <w:r>
              <w:rPr>
                <w:rFonts w:ascii="宋体" w:hAnsi="宋体"/>
                <w:szCs w:val="21"/>
              </w:rPr>
              <w:t>工程师职称的，每提供一个得</w:t>
            </w:r>
            <w:r>
              <w:rPr>
                <w:rFonts w:hint="eastAsia" w:ascii="宋体" w:hAnsi="宋体"/>
                <w:szCs w:val="21"/>
              </w:rPr>
              <w:t>2</w:t>
            </w:r>
            <w:r>
              <w:rPr>
                <w:rFonts w:ascii="宋体" w:hAnsi="宋体"/>
                <w:szCs w:val="21"/>
              </w:rPr>
              <w:t>分，</w:t>
            </w:r>
            <w:r>
              <w:rPr>
                <w:rFonts w:hint="eastAsia" w:ascii="宋体" w:hAnsi="宋体"/>
                <w:szCs w:val="21"/>
              </w:rPr>
              <w:t>最多得4</w:t>
            </w:r>
            <w:r>
              <w:rPr>
                <w:rFonts w:ascii="宋体" w:hAnsi="宋体"/>
                <w:szCs w:val="21"/>
              </w:rPr>
              <w:t>分，(投标文件内附</w:t>
            </w:r>
            <w:r>
              <w:rPr>
                <w:rFonts w:hint="eastAsia" w:ascii="宋体" w:hAnsi="宋体"/>
                <w:szCs w:val="21"/>
              </w:rPr>
              <w:t>职称证扫描件及近六个月任意1个月社保缴纳证明</w:t>
            </w:r>
            <w:r>
              <w:rPr>
                <w:rFonts w:ascii="宋体" w:hAnsi="宋体"/>
                <w:szCs w:val="21"/>
              </w:rPr>
              <w:t>)</w:t>
            </w:r>
            <w:r>
              <w:rPr>
                <w:rFonts w:hint="eastAsia" w:ascii="宋体" w:hAnsi="宋体"/>
                <w:szCs w:val="21"/>
              </w:rPr>
              <w:t>。</w:t>
            </w:r>
            <w:r>
              <w:rPr>
                <w:rFonts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Merge w:val="continue"/>
            <w:vAlign w:val="center"/>
          </w:tcPr>
          <w:p>
            <w:pPr>
              <w:adjustRightInd w:val="0"/>
              <w:snapToGrid w:val="0"/>
              <w:spacing w:line="360" w:lineRule="auto"/>
              <w:jc w:val="center"/>
              <w:rPr>
                <w:rFonts w:ascii="宋体" w:hAnsi="宋体"/>
                <w:szCs w:val="21"/>
              </w:rPr>
            </w:pPr>
          </w:p>
        </w:tc>
        <w:tc>
          <w:tcPr>
            <w:tcW w:w="6237" w:type="dxa"/>
            <w:vAlign w:val="center"/>
          </w:tcPr>
          <w:p>
            <w:pPr>
              <w:adjustRightInd w:val="0"/>
              <w:snapToGrid w:val="0"/>
              <w:spacing w:line="360" w:lineRule="auto"/>
              <w:rPr>
                <w:rFonts w:ascii="宋体" w:hAnsi="宋体"/>
                <w:szCs w:val="21"/>
              </w:rPr>
            </w:pPr>
            <w:r>
              <w:rPr>
                <w:rFonts w:ascii="宋体" w:hAnsi="宋体"/>
                <w:szCs w:val="21"/>
              </w:rPr>
              <w:t>项目团队人员中 (不含项目负责人) 具有测绘相关专业工程师</w:t>
            </w:r>
            <w:r>
              <w:rPr>
                <w:rFonts w:hint="eastAsia" w:ascii="宋体" w:hAnsi="宋体"/>
                <w:szCs w:val="21"/>
              </w:rPr>
              <w:t>中级</w:t>
            </w:r>
            <w:r>
              <w:rPr>
                <w:rFonts w:ascii="宋体" w:hAnsi="宋体"/>
                <w:szCs w:val="21"/>
              </w:rPr>
              <w:t>职称的，每提供一个得</w:t>
            </w:r>
            <w:r>
              <w:rPr>
                <w:rFonts w:hint="eastAsia" w:ascii="宋体" w:hAnsi="宋体"/>
                <w:szCs w:val="21"/>
              </w:rPr>
              <w:t>0.5</w:t>
            </w:r>
            <w:r>
              <w:rPr>
                <w:rFonts w:ascii="宋体" w:hAnsi="宋体"/>
                <w:szCs w:val="21"/>
              </w:rPr>
              <w:t>分，</w:t>
            </w:r>
            <w:r>
              <w:rPr>
                <w:rFonts w:hint="eastAsia" w:ascii="宋体" w:hAnsi="宋体"/>
                <w:szCs w:val="21"/>
              </w:rPr>
              <w:t>最多得3</w:t>
            </w:r>
            <w:r>
              <w:rPr>
                <w:rFonts w:ascii="宋体" w:hAnsi="宋体"/>
                <w:szCs w:val="21"/>
              </w:rPr>
              <w:t>分，(投标文件内附</w:t>
            </w:r>
            <w:r>
              <w:rPr>
                <w:rFonts w:hint="eastAsia" w:ascii="宋体" w:hAnsi="宋体"/>
                <w:szCs w:val="21"/>
              </w:rPr>
              <w:t>职称证扫描件及近六个月任意1个月社保缴纳证明</w:t>
            </w:r>
            <w:r>
              <w:rPr>
                <w:rFonts w:ascii="宋体" w:hAnsi="宋体"/>
                <w:szCs w:val="21"/>
              </w:rPr>
              <w:t>)</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Merge w:val="continue"/>
            <w:vAlign w:val="center"/>
          </w:tcPr>
          <w:p>
            <w:pPr>
              <w:adjustRightInd w:val="0"/>
              <w:snapToGrid w:val="0"/>
              <w:spacing w:line="360" w:lineRule="auto"/>
              <w:jc w:val="center"/>
              <w:rPr>
                <w:rFonts w:ascii="宋体" w:hAnsi="宋体"/>
                <w:szCs w:val="21"/>
              </w:rPr>
            </w:pPr>
          </w:p>
        </w:tc>
        <w:tc>
          <w:tcPr>
            <w:tcW w:w="6237" w:type="dxa"/>
            <w:vAlign w:val="center"/>
          </w:tcPr>
          <w:p>
            <w:pPr>
              <w:adjustRightInd w:val="0"/>
              <w:snapToGrid w:val="0"/>
              <w:spacing w:line="360" w:lineRule="auto"/>
              <w:rPr>
                <w:rFonts w:ascii="宋体" w:hAnsi="宋体"/>
                <w:szCs w:val="21"/>
              </w:rPr>
            </w:pPr>
            <w:r>
              <w:rPr>
                <w:rFonts w:ascii="宋体" w:hAnsi="宋体"/>
                <w:szCs w:val="21"/>
              </w:rPr>
              <w:t xml:space="preserve">项目团队人员中 (不含项目负责人) </w:t>
            </w:r>
            <w:r>
              <w:rPr>
                <w:rFonts w:hint="eastAsia" w:ascii="宋体" w:hAnsi="宋体"/>
                <w:szCs w:val="21"/>
              </w:rPr>
              <w:t>具有测绘地理信息安全保密证书或</w:t>
            </w:r>
            <w:r>
              <w:rPr>
                <w:rFonts w:hint="eastAsia"/>
                <w:szCs w:val="21"/>
                <w:lang w:bidi="ar"/>
              </w:rPr>
              <w:t>地理信息安全保密培训合格证明</w:t>
            </w:r>
            <w:r>
              <w:rPr>
                <w:rFonts w:hint="eastAsia" w:ascii="宋体" w:hAnsi="宋体"/>
                <w:szCs w:val="21"/>
              </w:rPr>
              <w:t xml:space="preserve">的，每提供一个得 </w:t>
            </w:r>
            <w:r>
              <w:rPr>
                <w:rFonts w:ascii="宋体" w:hAnsi="宋体"/>
                <w:szCs w:val="21"/>
              </w:rPr>
              <w:t>1</w:t>
            </w:r>
            <w:r>
              <w:rPr>
                <w:rFonts w:hint="eastAsia" w:ascii="宋体" w:hAnsi="宋体"/>
                <w:szCs w:val="21"/>
              </w:rPr>
              <w:t>分，最多得</w:t>
            </w:r>
            <w:r>
              <w:rPr>
                <w:rFonts w:ascii="宋体" w:hAnsi="宋体"/>
                <w:szCs w:val="21"/>
              </w:rPr>
              <w:t>3分</w:t>
            </w:r>
            <w:r>
              <w:rPr>
                <w:rFonts w:hint="eastAsia" w:ascii="宋体" w:hAnsi="宋体"/>
                <w:szCs w:val="21"/>
              </w:rPr>
              <w:t>，</w:t>
            </w:r>
            <w:r>
              <w:rPr>
                <w:rFonts w:ascii="宋体" w:hAnsi="宋体"/>
                <w:szCs w:val="21"/>
              </w:rPr>
              <w:t>(投标文件内附</w:t>
            </w:r>
            <w:r>
              <w:rPr>
                <w:rFonts w:hint="eastAsia" w:ascii="宋体" w:hAnsi="宋体"/>
                <w:szCs w:val="21"/>
              </w:rPr>
              <w:t>证书扫描件及近六个月任意1个月社保缴纳证明</w:t>
            </w:r>
            <w:r>
              <w:rPr>
                <w:rFonts w:ascii="宋体" w:hAnsi="宋体"/>
                <w:szCs w:val="21"/>
              </w:rPr>
              <w:t>)</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Merge w:val="restart"/>
          </w:tcPr>
          <w:p>
            <w:pPr>
              <w:spacing w:line="360" w:lineRule="auto"/>
              <w:ind w:right="108"/>
              <w:jc w:val="center"/>
              <w:rPr>
                <w:rFonts w:ascii="宋体" w:hAnsi="宋体"/>
                <w:spacing w:val="7"/>
                <w:szCs w:val="21"/>
              </w:rPr>
            </w:pPr>
            <w:r>
              <w:rPr>
                <w:rFonts w:ascii="宋体" w:hAnsi="宋体"/>
                <w:spacing w:val="8"/>
                <w:szCs w:val="21"/>
              </w:rPr>
              <w:t>企</w:t>
            </w:r>
            <w:r>
              <w:rPr>
                <w:rFonts w:ascii="宋体" w:hAnsi="宋体"/>
                <w:spacing w:val="7"/>
                <w:szCs w:val="21"/>
              </w:rPr>
              <w:t>业业绩</w:t>
            </w:r>
          </w:p>
          <w:p>
            <w:pPr>
              <w:spacing w:line="360" w:lineRule="auto"/>
              <w:ind w:right="108"/>
              <w:jc w:val="center"/>
              <w:rPr>
                <w:rFonts w:ascii="宋体" w:hAnsi="宋体"/>
                <w:szCs w:val="21"/>
              </w:rPr>
            </w:pPr>
            <w:r>
              <w:rPr>
                <w:rFonts w:ascii="宋体" w:hAnsi="宋体"/>
                <w:spacing w:val="14"/>
                <w:szCs w:val="21"/>
              </w:rPr>
              <w:t>(</w:t>
            </w:r>
            <w:r>
              <w:rPr>
                <w:rFonts w:ascii="宋体" w:hAnsi="宋体"/>
                <w:spacing w:val="13"/>
                <w:szCs w:val="21"/>
              </w:rPr>
              <w:t>1</w:t>
            </w:r>
            <w:r>
              <w:rPr>
                <w:rFonts w:hint="eastAsia" w:ascii="宋体" w:hAnsi="宋体"/>
                <w:spacing w:val="13"/>
                <w:szCs w:val="21"/>
                <w:lang w:val="en-US" w:eastAsia="zh-CN"/>
              </w:rPr>
              <w:t>2</w:t>
            </w:r>
            <w:r>
              <w:rPr>
                <w:rFonts w:ascii="宋体" w:hAnsi="宋体"/>
                <w:spacing w:val="13"/>
                <w:szCs w:val="21"/>
              </w:rPr>
              <w:t>分)</w:t>
            </w:r>
          </w:p>
        </w:tc>
        <w:tc>
          <w:tcPr>
            <w:tcW w:w="6237" w:type="dxa"/>
          </w:tcPr>
          <w:p>
            <w:pPr>
              <w:spacing w:before="128" w:line="281" w:lineRule="auto"/>
              <w:ind w:right="104"/>
              <w:rPr>
                <w:rFonts w:ascii="宋体" w:hAnsi="宋体"/>
                <w:szCs w:val="21"/>
              </w:rPr>
            </w:pPr>
            <w:r>
              <w:rPr>
                <w:rFonts w:ascii="宋体" w:hAnsi="宋体"/>
                <w:szCs w:val="21"/>
              </w:rPr>
              <w:t>2019年1月</w:t>
            </w:r>
            <w:r>
              <w:rPr>
                <w:rFonts w:hint="eastAsia" w:ascii="宋体" w:hAnsi="宋体"/>
                <w:szCs w:val="21"/>
              </w:rPr>
              <w:t>1日</w:t>
            </w:r>
            <w:r>
              <w:rPr>
                <w:rFonts w:ascii="宋体" w:hAnsi="宋体"/>
                <w:szCs w:val="21"/>
              </w:rPr>
              <w:t>至今类似项目业绩，</w:t>
            </w:r>
            <w:r>
              <w:rPr>
                <w:rFonts w:hint="eastAsia" w:ascii="宋体" w:hAnsi="宋体"/>
                <w:szCs w:val="21"/>
              </w:rPr>
              <w:t>每提供1个得</w:t>
            </w:r>
            <w:r>
              <w:rPr>
                <w:rFonts w:ascii="宋体" w:hAnsi="宋体"/>
                <w:szCs w:val="21"/>
              </w:rPr>
              <w:t>2</w:t>
            </w:r>
            <w:r>
              <w:rPr>
                <w:rFonts w:hint="eastAsia" w:ascii="宋体" w:hAnsi="宋体"/>
                <w:szCs w:val="21"/>
              </w:rPr>
              <w:t>分，最多得</w:t>
            </w:r>
            <w:r>
              <w:rPr>
                <w:rFonts w:ascii="宋体" w:hAnsi="宋体"/>
                <w:szCs w:val="21"/>
              </w:rPr>
              <w:t>1</w:t>
            </w:r>
            <w:r>
              <w:rPr>
                <w:rFonts w:hint="eastAsia" w:ascii="宋体" w:hAnsi="宋体"/>
                <w:szCs w:val="21"/>
                <w:lang w:val="en-US" w:eastAsia="zh-CN"/>
              </w:rPr>
              <w:t>2</w:t>
            </w:r>
            <w:r>
              <w:rPr>
                <w:rFonts w:hint="eastAsia" w:ascii="宋体" w:hAnsi="宋体"/>
                <w:szCs w:val="21"/>
              </w:rPr>
              <w:t>分。</w:t>
            </w:r>
          </w:p>
          <w:p>
            <w:pPr>
              <w:spacing w:before="128" w:line="281" w:lineRule="auto"/>
              <w:ind w:right="104"/>
              <w:rPr>
                <w:rFonts w:ascii="宋体" w:hAnsi="宋体"/>
                <w:szCs w:val="21"/>
              </w:rPr>
            </w:pPr>
            <w:r>
              <w:rPr>
                <w:rFonts w:ascii="宋体" w:hAnsi="宋体"/>
                <w:szCs w:val="21"/>
              </w:rPr>
              <w:t>投标文件内附合同扫描件</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Merge w:val="restart"/>
            <w:vAlign w:val="center"/>
          </w:tcPr>
          <w:p>
            <w:pPr>
              <w:adjustRightInd w:val="0"/>
              <w:snapToGrid w:val="0"/>
              <w:spacing w:line="360" w:lineRule="auto"/>
              <w:jc w:val="center"/>
              <w:rPr>
                <w:rFonts w:ascii="宋体" w:hAnsi="宋体"/>
                <w:szCs w:val="21"/>
              </w:rPr>
            </w:pPr>
            <w:r>
              <w:rPr>
                <w:rFonts w:hint="eastAsia" w:ascii="宋体" w:hAnsi="宋体"/>
                <w:szCs w:val="21"/>
              </w:rPr>
              <w:t>企业荣誉</w:t>
            </w:r>
          </w:p>
          <w:p>
            <w:pPr>
              <w:adjustRightInd w:val="0"/>
              <w:snapToGrid w:val="0"/>
              <w:spacing w:line="360" w:lineRule="auto"/>
              <w:jc w:val="center"/>
              <w:rPr>
                <w:rFonts w:ascii="宋体" w:hAnsi="宋体"/>
                <w:szCs w:val="21"/>
              </w:rPr>
            </w:pPr>
            <w:r>
              <w:rPr>
                <w:rFonts w:hint="eastAsia" w:ascii="宋体" w:hAnsi="宋体"/>
                <w:szCs w:val="21"/>
              </w:rPr>
              <w:t xml:space="preserve"> (</w:t>
            </w:r>
            <w:r>
              <w:rPr>
                <w:rFonts w:hint="eastAsia" w:ascii="宋体" w:hAnsi="宋体"/>
                <w:szCs w:val="21"/>
                <w:lang w:val="en-US" w:eastAsia="zh-CN"/>
              </w:rPr>
              <w:t>9</w:t>
            </w:r>
            <w:r>
              <w:rPr>
                <w:rFonts w:hint="eastAsia" w:ascii="宋体" w:hAnsi="宋体"/>
                <w:szCs w:val="21"/>
              </w:rPr>
              <w:t>分)</w:t>
            </w:r>
          </w:p>
        </w:tc>
        <w:tc>
          <w:tcPr>
            <w:tcW w:w="6237" w:type="dxa"/>
            <w:vAlign w:val="center"/>
          </w:tcPr>
          <w:p>
            <w:pPr>
              <w:pStyle w:val="65"/>
            </w:pPr>
            <w:r>
              <w:rPr>
                <w:rFonts w:hint="eastAsia" w:ascii="宋体" w:hAnsi="宋体"/>
              </w:rPr>
              <w:t>投标人自2020年以来具有省级及以上优质测绘工程奖获奖证书的，每提供1个得1分，具有市级优质测绘工程奖获奖证书的，每提供1个得0.5分，本项最多得</w:t>
            </w:r>
            <w:r>
              <w:rPr>
                <w:rFonts w:ascii="宋体" w:hAnsi="宋体"/>
              </w:rPr>
              <w:t>3</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Merge w:val="continue"/>
            <w:vAlign w:val="center"/>
          </w:tcPr>
          <w:p>
            <w:pPr>
              <w:adjustRightInd w:val="0"/>
              <w:snapToGrid w:val="0"/>
              <w:spacing w:line="360" w:lineRule="auto"/>
              <w:jc w:val="center"/>
              <w:rPr>
                <w:rFonts w:ascii="宋体" w:hAnsi="宋体"/>
                <w:szCs w:val="21"/>
                <w:highlight w:val="none"/>
              </w:rPr>
            </w:pPr>
          </w:p>
        </w:tc>
        <w:tc>
          <w:tcPr>
            <w:tcW w:w="6237" w:type="dxa"/>
            <w:vAlign w:val="center"/>
          </w:tcPr>
          <w:p>
            <w:pPr>
              <w:adjustRightInd w:val="0"/>
              <w:snapToGrid w:val="0"/>
              <w:spacing w:line="360" w:lineRule="auto"/>
              <w:rPr>
                <w:rFonts w:ascii="宋体" w:hAnsi="宋体"/>
                <w:szCs w:val="21"/>
                <w:highlight w:val="none"/>
              </w:rPr>
            </w:pPr>
            <w:r>
              <w:rPr>
                <w:rFonts w:hint="eastAsia" w:ascii="宋体" w:hAnsi="宋体"/>
                <w:szCs w:val="21"/>
                <w:highlight w:val="none"/>
              </w:rPr>
              <w:t>投标人具有环境管理体系、质量管理体系、职业健康安全管理体系认证证书、且在有效期内的，每提供一项得1分，最多得</w:t>
            </w:r>
            <w:r>
              <w:rPr>
                <w:rFonts w:hint="eastAsia" w:ascii="宋体" w:hAnsi="宋体"/>
                <w:szCs w:val="21"/>
                <w:highlight w:val="none"/>
                <w:lang w:val="en-US" w:eastAsia="zh-CN"/>
              </w:rPr>
              <w:t>3</w:t>
            </w:r>
            <w:r>
              <w:rPr>
                <w:rFonts w:hint="eastAsia" w:ascii="宋体" w:hAnsi="宋体"/>
                <w:szCs w:val="21"/>
                <w:highlight w:val="none"/>
              </w:rPr>
              <w:t xml:space="preserve">分，不提供不得分。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Merge w:val="continue"/>
            <w:vAlign w:val="center"/>
          </w:tcPr>
          <w:p>
            <w:pPr>
              <w:adjustRightInd w:val="0"/>
              <w:snapToGrid w:val="0"/>
              <w:spacing w:line="360" w:lineRule="auto"/>
              <w:jc w:val="center"/>
              <w:rPr>
                <w:rFonts w:ascii="宋体" w:hAnsi="宋体"/>
                <w:szCs w:val="21"/>
              </w:rPr>
            </w:pPr>
          </w:p>
        </w:tc>
        <w:tc>
          <w:tcPr>
            <w:tcW w:w="6237" w:type="dxa"/>
            <w:vAlign w:val="center"/>
          </w:tcPr>
          <w:p>
            <w:pPr>
              <w:pStyle w:val="65"/>
            </w:pPr>
            <w:r>
              <w:rPr>
                <w:rFonts w:hint="eastAsia" w:ascii="宋体" w:hAnsi="宋体"/>
              </w:rPr>
              <w:t>投标人具有有效期内的企业信用等级证书AAA级得3分，AA级得2分，A级得1分；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846" w:type="dxa"/>
            <w:vMerge w:val="continue"/>
            <w:vAlign w:val="center"/>
          </w:tcPr>
          <w:p>
            <w:pPr>
              <w:adjustRightInd w:val="0"/>
              <w:snapToGrid w:val="0"/>
              <w:spacing w:line="360" w:lineRule="auto"/>
              <w:ind w:firstLine="420" w:firstLineChars="200"/>
              <w:rPr>
                <w:rFonts w:ascii="宋体" w:hAnsi="宋体"/>
                <w:szCs w:val="21"/>
              </w:rPr>
            </w:pPr>
          </w:p>
        </w:tc>
        <w:tc>
          <w:tcPr>
            <w:tcW w:w="1056" w:type="dxa"/>
            <w:vMerge w:val="continue"/>
            <w:vAlign w:val="center"/>
          </w:tcPr>
          <w:p>
            <w:pPr>
              <w:adjustRightInd w:val="0"/>
              <w:snapToGrid w:val="0"/>
              <w:spacing w:line="360" w:lineRule="auto"/>
              <w:ind w:firstLine="420" w:firstLineChars="200"/>
              <w:rPr>
                <w:rFonts w:ascii="宋体" w:hAnsi="宋体"/>
                <w:szCs w:val="21"/>
              </w:rPr>
            </w:pPr>
          </w:p>
        </w:tc>
        <w:tc>
          <w:tcPr>
            <w:tcW w:w="1495" w:type="dxa"/>
            <w:vAlign w:val="center"/>
          </w:tcPr>
          <w:p>
            <w:pPr>
              <w:adjustRightInd w:val="0"/>
              <w:snapToGrid w:val="0"/>
              <w:spacing w:line="360" w:lineRule="auto"/>
              <w:jc w:val="center"/>
              <w:rPr>
                <w:rFonts w:ascii="宋体" w:hAnsi="宋体"/>
                <w:szCs w:val="21"/>
                <w:highlight w:val="none"/>
              </w:rPr>
            </w:pPr>
            <w:r>
              <w:rPr>
                <w:rFonts w:hint="eastAsia" w:ascii="宋体" w:hAnsi="宋体"/>
                <w:szCs w:val="21"/>
                <w:highlight w:val="none"/>
              </w:rPr>
              <w:t>服务承诺</w:t>
            </w:r>
          </w:p>
          <w:p>
            <w:pPr>
              <w:adjustRightInd w:val="0"/>
              <w:snapToGrid w:val="0"/>
              <w:spacing w:line="360" w:lineRule="auto"/>
              <w:jc w:val="center"/>
              <w:rPr>
                <w:rFonts w:ascii="等线" w:hAnsi="等线"/>
                <w:szCs w:val="21"/>
                <w:highlight w:val="none"/>
              </w:rPr>
            </w:pPr>
            <w:r>
              <w:rPr>
                <w:rFonts w:hint="eastAsia" w:ascii="宋体" w:hAnsi="宋体"/>
                <w:szCs w:val="21"/>
                <w:highlight w:val="none"/>
              </w:rPr>
              <w:t>（</w:t>
            </w:r>
            <w:r>
              <w:rPr>
                <w:rFonts w:hint="eastAsia" w:ascii="宋体" w:hAnsi="宋体"/>
                <w:szCs w:val="21"/>
                <w:highlight w:val="none"/>
                <w:lang w:val="en-US" w:eastAsia="zh-CN"/>
              </w:rPr>
              <w:t>9</w:t>
            </w:r>
            <w:r>
              <w:rPr>
                <w:rFonts w:hint="eastAsia" w:ascii="宋体" w:hAnsi="宋体"/>
                <w:szCs w:val="21"/>
                <w:highlight w:val="none"/>
              </w:rPr>
              <w:t>分）</w:t>
            </w:r>
          </w:p>
        </w:tc>
        <w:tc>
          <w:tcPr>
            <w:tcW w:w="6237" w:type="dxa"/>
            <w:vAlign w:val="center"/>
          </w:tcPr>
          <w:p>
            <w:pPr>
              <w:pStyle w:val="65"/>
              <w:rPr>
                <w:rFonts w:ascii="宋体" w:hAnsi="宋体"/>
                <w:color w:val="000000"/>
                <w:highlight w:val="none"/>
              </w:rPr>
            </w:pPr>
            <w:r>
              <w:rPr>
                <w:rFonts w:hint="eastAsia" w:ascii="宋体" w:hAnsi="宋体"/>
              </w:rPr>
              <w:t>根据投标人相关承诺内容包括但不限于工作质量、工作成果、误期赔偿等方面，比较各投标人承诺内容的实质性、可行性等，优秀的得</w:t>
            </w:r>
            <w:r>
              <w:rPr>
                <w:rFonts w:hint="eastAsia" w:ascii="宋体" w:hAnsi="宋体"/>
                <w:lang w:val="en-US" w:eastAsia="zh-CN"/>
              </w:rPr>
              <w:t>6-9</w:t>
            </w:r>
            <w:r>
              <w:rPr>
                <w:rFonts w:hint="eastAsia" w:ascii="宋体" w:hAnsi="宋体"/>
              </w:rPr>
              <w:t>分，良好的得3</w:t>
            </w:r>
            <w:r>
              <w:rPr>
                <w:rFonts w:hint="eastAsia" w:ascii="宋体" w:hAnsi="宋体"/>
                <w:lang w:val="en-US" w:eastAsia="zh-CN"/>
              </w:rPr>
              <w:t>-5</w:t>
            </w:r>
            <w:r>
              <w:rPr>
                <w:rFonts w:hint="eastAsia" w:ascii="宋体" w:hAnsi="宋体"/>
              </w:rPr>
              <w:t>分，一般的得</w:t>
            </w:r>
            <w:r>
              <w:rPr>
                <w:rFonts w:hint="eastAsia" w:ascii="宋体" w:hAnsi="宋体"/>
                <w:lang w:val="en-US" w:eastAsia="zh-CN"/>
              </w:rPr>
              <w:t>0-2</w:t>
            </w:r>
            <w:r>
              <w:rPr>
                <w:rFonts w:hint="eastAsia" w:ascii="宋体" w:hAnsi="宋体"/>
              </w:rPr>
              <w:t>分。</w:t>
            </w:r>
          </w:p>
        </w:tc>
      </w:tr>
    </w:tbl>
    <w:p>
      <w:pPr>
        <w:pStyle w:val="37"/>
        <w:numPr>
          <w:ilvl w:val="0"/>
          <w:numId w:val="0"/>
        </w:numPr>
        <w:tabs>
          <w:tab w:val="clear" w:pos="432"/>
        </w:tabs>
        <w:jc w:val="both"/>
      </w:pPr>
    </w:p>
    <w:p>
      <w:pPr>
        <w:pStyle w:val="38"/>
        <w:ind w:firstLine="480"/>
        <w:rPr>
          <w:rFonts w:cs="宋体"/>
          <w:bCs/>
          <w:kern w:val="0"/>
          <w:sz w:val="24"/>
          <w:szCs w:val="24"/>
        </w:rPr>
      </w:pPr>
    </w:p>
    <w:p>
      <w:pPr>
        <w:pStyle w:val="38"/>
        <w:ind w:firstLine="480"/>
        <w:rPr>
          <w:rFonts w:cs="宋体"/>
          <w:bCs/>
          <w:kern w:val="0"/>
          <w:sz w:val="24"/>
          <w:szCs w:val="24"/>
        </w:rPr>
      </w:pPr>
    </w:p>
    <w:p>
      <w:pPr>
        <w:pStyle w:val="38"/>
        <w:ind w:firstLine="480"/>
        <w:rPr>
          <w:rFonts w:cs="宋体"/>
          <w:bCs/>
          <w:kern w:val="0"/>
          <w:sz w:val="24"/>
          <w:szCs w:val="24"/>
        </w:rPr>
      </w:pPr>
    </w:p>
    <w:p>
      <w:pPr>
        <w:pStyle w:val="38"/>
        <w:ind w:firstLine="0" w:firstLineChars="0"/>
        <w:rPr>
          <w:rFonts w:cs="宋体"/>
          <w:bCs/>
          <w:kern w:val="0"/>
          <w:sz w:val="24"/>
          <w:szCs w:val="24"/>
        </w:rPr>
      </w:pPr>
    </w:p>
    <w:p>
      <w:pPr>
        <w:pStyle w:val="38"/>
        <w:ind w:firstLine="0" w:firstLineChars="0"/>
        <w:rPr>
          <w:rFonts w:cs="宋体"/>
          <w:bCs/>
          <w:kern w:val="0"/>
          <w:sz w:val="24"/>
          <w:szCs w:val="24"/>
        </w:rPr>
      </w:pPr>
    </w:p>
    <w:p>
      <w:pPr>
        <w:pStyle w:val="38"/>
        <w:ind w:firstLine="0" w:firstLineChars="0"/>
        <w:rPr>
          <w:rFonts w:cs="宋体"/>
          <w:bCs/>
          <w:kern w:val="0"/>
          <w:sz w:val="24"/>
          <w:szCs w:val="24"/>
        </w:rPr>
      </w:pPr>
    </w:p>
    <w:bookmarkEnd w:id="245"/>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47" w:name="_Toc19403"/>
      <w:bookmarkStart w:id="248" w:name="_Toc21064"/>
      <w:bookmarkStart w:id="249" w:name="_Toc454147538"/>
      <w:bookmarkStart w:id="250" w:name="_Toc465502579"/>
      <w:bookmarkStart w:id="251" w:name="_Toc466017207"/>
      <w:bookmarkStart w:id="252" w:name="_Toc31084"/>
      <w:bookmarkStart w:id="253" w:name="_Toc403122541"/>
      <w:bookmarkStart w:id="254" w:name="_Toc426369531"/>
      <w:r>
        <w:rPr>
          <w:rFonts w:hint="eastAsia" w:ascii="宋体" w:hAnsi="宋体" w:cs="仿宋_GB2312"/>
          <w:b/>
          <w:sz w:val="28"/>
          <w:szCs w:val="28"/>
        </w:rPr>
        <w:t xml:space="preserve"> </w:t>
      </w:r>
      <w:bookmarkStart w:id="255" w:name="_Toc6843"/>
      <w:bookmarkStart w:id="256" w:name="_Toc19346"/>
      <w:r>
        <w:rPr>
          <w:rFonts w:hint="eastAsia" w:ascii="宋体" w:hAnsi="宋体" w:cs="仿宋_GB2312"/>
          <w:b/>
          <w:sz w:val="28"/>
          <w:szCs w:val="28"/>
        </w:rPr>
        <w:t>评标准则和评标方法</w:t>
      </w:r>
      <w:bookmarkEnd w:id="247"/>
      <w:bookmarkEnd w:id="248"/>
      <w:bookmarkEnd w:id="249"/>
      <w:bookmarkEnd w:id="250"/>
      <w:bookmarkEnd w:id="251"/>
      <w:bookmarkEnd w:id="255"/>
      <w:bookmarkEnd w:id="256"/>
    </w:p>
    <w:p>
      <w:pPr>
        <w:adjustRightInd w:val="0"/>
        <w:snapToGrid w:val="0"/>
        <w:spacing w:line="560" w:lineRule="exact"/>
        <w:rPr>
          <w:szCs w:val="21"/>
        </w:rPr>
      </w:pPr>
      <w:r>
        <w:rPr>
          <w:rFonts w:hint="eastAsia"/>
          <w:szCs w:val="21"/>
        </w:rPr>
        <w:t>1.1 评标过程将遵循“公平、公正、科学、择优”的原则进行。</w:t>
      </w:r>
    </w:p>
    <w:p>
      <w:pPr>
        <w:adjustRightInd w:val="0"/>
        <w:snapToGrid w:val="0"/>
        <w:spacing w:line="560" w:lineRule="exact"/>
        <w:rPr>
          <w:szCs w:val="21"/>
        </w:rPr>
      </w:pPr>
      <w:r>
        <w:rPr>
          <w:rFonts w:hint="eastAsia"/>
          <w:szCs w:val="21"/>
        </w:rPr>
        <w:t>1.2 评标将严格按照招标文件的要求和条件进行。</w:t>
      </w:r>
    </w:p>
    <w:p>
      <w:pPr>
        <w:adjustRightInd w:val="0"/>
        <w:snapToGrid w:val="0"/>
        <w:spacing w:line="560" w:lineRule="exact"/>
        <w:rPr>
          <w:szCs w:val="21"/>
        </w:rPr>
      </w:pPr>
      <w:r>
        <w:rPr>
          <w:rFonts w:hint="eastAsia"/>
          <w:szCs w:val="21"/>
        </w:rPr>
        <w:t>1.3 本次评标采用综合评分法。</w:t>
      </w:r>
    </w:p>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57" w:name="_Toc465502580"/>
      <w:bookmarkStart w:id="258" w:name="_Toc454147539"/>
      <w:bookmarkStart w:id="259" w:name="_Toc466017208"/>
      <w:bookmarkStart w:id="260" w:name="_Toc13195"/>
      <w:bookmarkStart w:id="261" w:name="_Toc15449"/>
      <w:bookmarkStart w:id="262" w:name="_Toc7951"/>
      <w:bookmarkStart w:id="263" w:name="_Toc4593"/>
      <w:r>
        <w:rPr>
          <w:rFonts w:hint="eastAsia" w:ascii="宋体" w:hAnsi="宋体" w:cs="仿宋_GB2312"/>
          <w:b/>
          <w:sz w:val="28"/>
          <w:szCs w:val="28"/>
        </w:rPr>
        <w:t>评审标准</w:t>
      </w:r>
      <w:bookmarkEnd w:id="257"/>
      <w:bookmarkEnd w:id="258"/>
      <w:bookmarkEnd w:id="259"/>
      <w:bookmarkEnd w:id="260"/>
      <w:bookmarkEnd w:id="261"/>
      <w:bookmarkEnd w:id="262"/>
      <w:bookmarkEnd w:id="263"/>
    </w:p>
    <w:p>
      <w:pPr>
        <w:adjustRightInd w:val="0"/>
        <w:snapToGrid w:val="0"/>
        <w:spacing w:line="560" w:lineRule="exact"/>
        <w:rPr>
          <w:szCs w:val="21"/>
        </w:rPr>
      </w:pPr>
      <w:r>
        <w:rPr>
          <w:rFonts w:hint="eastAsia"/>
          <w:szCs w:val="21"/>
        </w:rPr>
        <w:t>2.1 资格评审标准：详见《评分办法前附表》中资格评审标准。</w:t>
      </w:r>
    </w:p>
    <w:p>
      <w:pPr>
        <w:adjustRightInd w:val="0"/>
        <w:snapToGrid w:val="0"/>
        <w:spacing w:line="560" w:lineRule="exact"/>
        <w:rPr>
          <w:szCs w:val="21"/>
        </w:rPr>
      </w:pPr>
      <w:r>
        <w:rPr>
          <w:rFonts w:hint="eastAsia"/>
          <w:szCs w:val="21"/>
        </w:rPr>
        <w:t>2.2 评分标准：详见《评分办法前附表》报价部分、技术部分、商务部分评审因素。</w:t>
      </w:r>
    </w:p>
    <w:p>
      <w:pPr>
        <w:numPr>
          <w:ilvl w:val="0"/>
          <w:numId w:val="7"/>
        </w:numPr>
        <w:tabs>
          <w:tab w:val="left" w:pos="170"/>
          <w:tab w:val="left" w:pos="303"/>
          <w:tab w:val="left" w:pos="420"/>
        </w:tabs>
        <w:adjustRightInd w:val="0"/>
        <w:snapToGrid w:val="0"/>
        <w:spacing w:line="560" w:lineRule="exact"/>
        <w:ind w:left="0" w:firstLine="0"/>
        <w:outlineLvl w:val="1"/>
        <w:rPr>
          <w:rFonts w:ascii="宋体" w:hAnsi="宋体" w:cs="仿宋_GB2312"/>
          <w:b/>
          <w:sz w:val="28"/>
          <w:szCs w:val="28"/>
        </w:rPr>
      </w:pPr>
      <w:bookmarkStart w:id="264" w:name="_Toc28348"/>
      <w:bookmarkStart w:id="265" w:name="_Toc19609"/>
      <w:bookmarkStart w:id="266" w:name="_Toc11065"/>
      <w:r>
        <w:rPr>
          <w:rFonts w:hint="eastAsia" w:ascii="宋体" w:hAnsi="宋体" w:cs="仿宋_GB2312"/>
          <w:b/>
          <w:sz w:val="28"/>
          <w:szCs w:val="28"/>
        </w:rPr>
        <w:t>评标程序</w:t>
      </w:r>
      <w:bookmarkEnd w:id="264"/>
      <w:bookmarkEnd w:id="265"/>
      <w:bookmarkEnd w:id="266"/>
    </w:p>
    <w:p>
      <w:pPr>
        <w:adjustRightInd w:val="0"/>
        <w:snapToGrid w:val="0"/>
        <w:spacing w:line="560" w:lineRule="exact"/>
        <w:rPr>
          <w:b/>
          <w:bCs/>
          <w:sz w:val="24"/>
        </w:rPr>
      </w:pPr>
      <w:r>
        <w:rPr>
          <w:rFonts w:hint="eastAsia"/>
          <w:b/>
          <w:bCs/>
          <w:sz w:val="24"/>
        </w:rPr>
        <w:t>3.1初步评审</w:t>
      </w:r>
    </w:p>
    <w:p>
      <w:pPr>
        <w:adjustRightInd w:val="0"/>
        <w:snapToGrid w:val="0"/>
        <w:spacing w:line="560" w:lineRule="exact"/>
        <w:rPr>
          <w:lang w:val="zh-CN"/>
        </w:rPr>
      </w:pPr>
      <w:r>
        <w:rPr>
          <w:rFonts w:hint="eastAsia" w:ascii="Times New Roman" w:hAnsi="Times New Roman"/>
          <w:szCs w:val="21"/>
        </w:rPr>
        <w:t xml:space="preserve">3.11 </w:t>
      </w:r>
      <w:r>
        <w:rPr>
          <w:rFonts w:hint="eastAsia" w:ascii="Times New Roman" w:hAnsi="Times New Roman"/>
          <w:szCs w:val="21"/>
          <w:lang w:val="zh-CN"/>
        </w:rPr>
        <w:t>采购人或代理机构可以要求投标人提交第二章“投标人须知”规定的有关证明。采购人或代理机构依据本章第2.1款规定的标准对投标文件进行资格评审。有一项</w:t>
      </w:r>
      <w:r>
        <w:rPr>
          <w:rFonts w:hint="eastAsia"/>
          <w:lang w:val="zh-CN"/>
        </w:rPr>
        <w:t>不符合资格评审标准的，作无效投标处理。</w:t>
      </w:r>
    </w:p>
    <w:p>
      <w:pPr>
        <w:adjustRightInd w:val="0"/>
        <w:snapToGrid w:val="0"/>
        <w:spacing w:line="560" w:lineRule="exact"/>
        <w:rPr>
          <w:lang w:val="zh-CN"/>
        </w:rPr>
      </w:pPr>
      <w:r>
        <w:rPr>
          <w:rFonts w:hint="eastAsia"/>
        </w:rPr>
        <w:t xml:space="preserve">3.12 </w:t>
      </w:r>
      <w:r>
        <w:rPr>
          <w:rFonts w:hint="eastAsia"/>
          <w:lang w:val="zh-CN"/>
        </w:rPr>
        <w:t>投标文件属下列情况之一的，应当在资格性、符合性检查时按照无效投标处理：</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未按照招标文件规定要求签署、盖章的；</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不具备招标文件中规定资格要求的；</w:t>
      </w:r>
    </w:p>
    <w:p>
      <w:pPr>
        <w:numPr>
          <w:ilvl w:val="0"/>
          <w:numId w:val="8"/>
        </w:numPr>
        <w:autoSpaceDE w:val="0"/>
        <w:autoSpaceDN w:val="0"/>
        <w:adjustRightInd w:val="0"/>
        <w:snapToGrid w:val="0"/>
        <w:spacing w:line="560" w:lineRule="exact"/>
        <w:jc w:val="left"/>
        <w:rPr>
          <w:rFonts w:ascii="宋体" w:hAnsi="宋体" w:cs="宋体"/>
        </w:rPr>
      </w:pPr>
      <w:r>
        <w:rPr>
          <w:rFonts w:hint="eastAsia" w:ascii="宋体" w:hAnsi="宋体" w:cs="宋体"/>
        </w:rPr>
        <w:t>不符合法律、法规和招标文件中规定的其他实质性要求的。</w:t>
      </w:r>
    </w:p>
    <w:p>
      <w:pPr>
        <w:adjustRightInd w:val="0"/>
        <w:snapToGrid w:val="0"/>
        <w:spacing w:line="560" w:lineRule="exact"/>
        <w:rPr>
          <w:lang w:val="zh-CN"/>
        </w:rPr>
      </w:pPr>
      <w:r>
        <w:rPr>
          <w:rFonts w:hint="eastAsia"/>
        </w:rPr>
        <w:t xml:space="preserve">3.13 </w:t>
      </w:r>
      <w:r>
        <w:rPr>
          <w:rFonts w:hint="eastAsia"/>
          <w:lang w:val="zh-CN"/>
        </w:rPr>
        <w:t>投标报价有算数错误的，评标委员会按以下原则对投标报价进行修正，修正的价格经投标人书面确认后具有约束力。投标人不接受修正价格的，其投标作无效投标处理。</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投标文件中的大写金额与小写金额不一致的，以大写金额为准；</w:t>
      </w:r>
    </w:p>
    <w:p>
      <w:pPr>
        <w:numPr>
          <w:ilvl w:val="0"/>
          <w:numId w:val="9"/>
        </w:numPr>
        <w:autoSpaceDE w:val="0"/>
        <w:autoSpaceDN w:val="0"/>
        <w:adjustRightInd w:val="0"/>
        <w:snapToGrid w:val="0"/>
        <w:spacing w:line="560" w:lineRule="exact"/>
        <w:jc w:val="left"/>
        <w:rPr>
          <w:rFonts w:ascii="宋体" w:hAnsi="宋体" w:cs="宋体"/>
        </w:rPr>
      </w:pPr>
      <w:r>
        <w:rPr>
          <w:rFonts w:hint="eastAsia" w:ascii="宋体" w:hAnsi="宋体" w:cs="宋体"/>
        </w:rPr>
        <w:t>投标文件中开标一览表内容与投标文件中明细表内容不一致的，以开标一览表为准。</w:t>
      </w:r>
    </w:p>
    <w:p>
      <w:pPr>
        <w:adjustRightInd w:val="0"/>
        <w:snapToGrid w:val="0"/>
        <w:spacing w:line="560" w:lineRule="exact"/>
        <w:rPr>
          <w:b/>
          <w:bCs/>
          <w:sz w:val="24"/>
        </w:rPr>
      </w:pPr>
      <w:r>
        <w:rPr>
          <w:rFonts w:hint="eastAsia"/>
          <w:b/>
          <w:bCs/>
          <w:sz w:val="24"/>
        </w:rPr>
        <w:t>3.2 详细评审</w:t>
      </w:r>
    </w:p>
    <w:p>
      <w:pPr>
        <w:adjustRightInd w:val="0"/>
        <w:snapToGrid w:val="0"/>
        <w:spacing w:line="560" w:lineRule="exact"/>
        <w:rPr>
          <w:lang w:val="zh-CN"/>
        </w:rPr>
      </w:pPr>
      <w:r>
        <w:rPr>
          <w:rFonts w:hint="eastAsia"/>
        </w:rPr>
        <w:t xml:space="preserve">3.2.1 </w:t>
      </w:r>
      <w:r>
        <w:rPr>
          <w:rFonts w:hint="eastAsia"/>
          <w:lang w:val="zh-CN"/>
        </w:rPr>
        <w:t>评标委员会按本章</w:t>
      </w:r>
      <w:r>
        <w:rPr>
          <w:rFonts w:hint="eastAsia"/>
        </w:rPr>
        <w:t>的</w:t>
      </w:r>
      <w:r>
        <w:rPr>
          <w:rFonts w:hint="eastAsia"/>
          <w:lang w:val="zh-CN"/>
        </w:rPr>
        <w:t>评分标准进行打分，并计算出综合评审得分。</w:t>
      </w:r>
    </w:p>
    <w:p>
      <w:pPr>
        <w:adjustRightInd w:val="0"/>
        <w:snapToGrid w:val="0"/>
        <w:spacing w:line="560" w:lineRule="exact"/>
        <w:rPr>
          <w:lang w:val="zh-CN"/>
        </w:rPr>
      </w:pPr>
      <w:r>
        <w:rPr>
          <w:rFonts w:hint="eastAsia"/>
        </w:rPr>
        <w:t xml:space="preserve">3.2.2 </w:t>
      </w:r>
      <w:r>
        <w:rPr>
          <w:rFonts w:hint="eastAsia"/>
          <w:lang w:val="zh-CN"/>
        </w:rPr>
        <w:t>评标委员会发现投标人的投标总报价</w:t>
      </w:r>
      <w:r>
        <w:rPr>
          <w:rFonts w:hint="eastAsia"/>
        </w:rPr>
        <w:t>高</w:t>
      </w:r>
      <w:r>
        <w:rPr>
          <w:rFonts w:hint="eastAsia"/>
          <w:lang w:val="zh-CN"/>
        </w:rPr>
        <w:t>于</w:t>
      </w:r>
      <w:r>
        <w:rPr>
          <w:rFonts w:hint="eastAsia"/>
        </w:rPr>
        <w:t>招标文件规定的控制价</w:t>
      </w:r>
      <w:r>
        <w:rPr>
          <w:rFonts w:hint="eastAsia"/>
          <w:lang w:val="zh-CN"/>
        </w:rPr>
        <w:t>，评标委员会应按无效投标处理。</w:t>
      </w:r>
    </w:p>
    <w:p>
      <w:pPr>
        <w:adjustRightInd w:val="0"/>
        <w:snapToGrid w:val="0"/>
        <w:spacing w:line="560" w:lineRule="exact"/>
        <w:rPr>
          <w:b/>
          <w:bCs/>
          <w:sz w:val="24"/>
        </w:rPr>
      </w:pPr>
      <w:r>
        <w:rPr>
          <w:rFonts w:hint="eastAsia"/>
          <w:b/>
          <w:bCs/>
          <w:sz w:val="24"/>
        </w:rPr>
        <w:t>3.3 投标文件的澄清和补正</w:t>
      </w:r>
    </w:p>
    <w:p>
      <w:pPr>
        <w:adjustRightInd w:val="0"/>
        <w:snapToGrid w:val="0"/>
        <w:spacing w:line="560" w:lineRule="exact"/>
        <w:rPr>
          <w:lang w:val="zh-CN"/>
        </w:rPr>
      </w:pPr>
      <w:r>
        <w:rPr>
          <w:rFonts w:hint="eastAsia"/>
        </w:rPr>
        <w:t xml:space="preserve">3.3.1 </w:t>
      </w:r>
      <w:r>
        <w:rPr>
          <w:rFonts w:hint="eastAsia"/>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lang w:val="zh-CN"/>
        </w:rPr>
      </w:pPr>
      <w:r>
        <w:rPr>
          <w:rFonts w:hint="eastAsia"/>
        </w:rPr>
        <w:t xml:space="preserve">3.3.2 </w:t>
      </w:r>
      <w:r>
        <w:rPr>
          <w:rFonts w:hint="eastAsia"/>
          <w:lang w:val="zh-CN"/>
        </w:rPr>
        <w:t>澄清、说明和补正不得改变投标文件的实质性内容（算术性错误修正的除外）。投标人的书面澄清、说明和补正属于投标文件的组成部分。</w:t>
      </w:r>
    </w:p>
    <w:p>
      <w:pPr>
        <w:adjustRightInd w:val="0"/>
        <w:snapToGrid w:val="0"/>
        <w:spacing w:line="560" w:lineRule="exact"/>
        <w:rPr>
          <w:b/>
          <w:bCs/>
          <w:sz w:val="24"/>
        </w:rPr>
      </w:pPr>
      <w:r>
        <w:rPr>
          <w:rFonts w:hint="eastAsia"/>
          <w:b/>
          <w:bCs/>
          <w:sz w:val="24"/>
        </w:rPr>
        <w:t>3.4 评标结果</w:t>
      </w:r>
    </w:p>
    <w:p>
      <w:pPr>
        <w:adjustRightInd w:val="0"/>
        <w:snapToGrid w:val="0"/>
        <w:spacing w:line="560" w:lineRule="exact"/>
      </w:pPr>
      <w:r>
        <w:rPr>
          <w:rFonts w:hint="eastAsia"/>
        </w:rPr>
        <w:t xml:space="preserve">3.4.1 </w:t>
      </w:r>
      <w:r>
        <w:rPr>
          <w:rFonts w:hint="eastAsia"/>
          <w:lang w:val="zh-CN"/>
        </w:rPr>
        <w:t>投标人得分=</w:t>
      </w:r>
      <w:r>
        <w:t>投标报价得分+技术部分得分+商务部分得分。</w:t>
      </w:r>
    </w:p>
    <w:p>
      <w:pPr>
        <w:adjustRightInd w:val="0"/>
        <w:snapToGrid w:val="0"/>
        <w:spacing w:line="560" w:lineRule="exact"/>
        <w:rPr>
          <w:lang w:val="zh-CN"/>
        </w:rPr>
      </w:pPr>
      <w:r>
        <w:rPr>
          <w:rFonts w:hint="eastAsia"/>
        </w:rPr>
        <w:t>3.4.2</w:t>
      </w:r>
      <w:r>
        <w:rPr>
          <w:rFonts w:hint="eastAsia"/>
          <w:lang w:val="zh-CN"/>
        </w:rPr>
        <w:t>投标人最终得分为评标委员会完成评审后所有评分的算术平均值，作为该投标人最终得分。</w:t>
      </w:r>
    </w:p>
    <w:p>
      <w:pPr>
        <w:adjustRightInd w:val="0"/>
        <w:snapToGrid w:val="0"/>
        <w:spacing w:line="560" w:lineRule="exact"/>
        <w:rPr>
          <w:lang w:val="zh-CN"/>
        </w:rPr>
      </w:pPr>
      <w:r>
        <w:rPr>
          <w:rFonts w:hint="eastAsia"/>
        </w:rPr>
        <w:t xml:space="preserve">3.4.3 </w:t>
      </w:r>
      <w:r>
        <w:rPr>
          <w:rFonts w:hint="eastAsia"/>
          <w:lang w:val="zh-CN"/>
        </w:rPr>
        <w:t>投标人最终得分相同的，投标报价</w:t>
      </w:r>
      <w:r>
        <w:rPr>
          <w:rFonts w:hint="eastAsia"/>
        </w:rPr>
        <w:t>低</w:t>
      </w:r>
      <w:r>
        <w:rPr>
          <w:rFonts w:hint="eastAsia"/>
          <w:lang w:val="zh-CN"/>
        </w:rPr>
        <w:t>的优先，</w:t>
      </w:r>
      <w:r>
        <w:rPr>
          <w:rFonts w:hint="eastAsia"/>
        </w:rPr>
        <w:t>投标报价也相同的以技术得分高的优先，技术得分也相同的由采购人自行确定</w:t>
      </w:r>
      <w:r>
        <w:rPr>
          <w:rFonts w:hint="eastAsia"/>
          <w:lang w:val="zh-CN"/>
        </w:rPr>
        <w:t>。</w:t>
      </w:r>
    </w:p>
    <w:p>
      <w:pPr>
        <w:adjustRightInd w:val="0"/>
        <w:snapToGrid w:val="0"/>
        <w:spacing w:line="560" w:lineRule="exact"/>
        <w:rPr>
          <w:lang w:val="zh-CN"/>
        </w:rPr>
      </w:pPr>
      <w:r>
        <w:rPr>
          <w:rFonts w:hint="eastAsia"/>
        </w:rPr>
        <w:t xml:space="preserve">3.4.4 </w:t>
      </w:r>
      <w:r>
        <w:rPr>
          <w:rFonts w:hint="eastAsia"/>
          <w:lang w:val="zh-CN"/>
        </w:rPr>
        <w:t>计分过程中按四舍五入的法则，最终结果取至小数点后两位。</w:t>
      </w:r>
    </w:p>
    <w:p>
      <w:pPr>
        <w:adjustRightInd w:val="0"/>
        <w:snapToGrid w:val="0"/>
        <w:spacing w:line="560" w:lineRule="exact"/>
        <w:rPr>
          <w:lang w:val="zh-CN"/>
        </w:rPr>
      </w:pPr>
      <w:r>
        <w:rPr>
          <w:rFonts w:hint="eastAsia"/>
        </w:rPr>
        <w:t xml:space="preserve">3.4.5 </w:t>
      </w:r>
      <w:r>
        <w:rPr>
          <w:rFonts w:hint="eastAsia"/>
          <w:lang w:val="zh-CN"/>
        </w:rPr>
        <w:t>评标委员会按照得分由高到低的顺序推荐</w:t>
      </w:r>
      <w:r>
        <w:rPr>
          <w:rFonts w:hint="eastAsia"/>
        </w:rPr>
        <w:t>1-3名</w:t>
      </w:r>
      <w:r>
        <w:rPr>
          <w:rFonts w:hint="eastAsia"/>
          <w:lang w:val="zh-CN"/>
        </w:rPr>
        <w:t>中标候选人。</w:t>
      </w:r>
    </w:p>
    <w:p>
      <w:pPr>
        <w:adjustRightInd w:val="0"/>
        <w:snapToGrid w:val="0"/>
        <w:spacing w:line="560" w:lineRule="exact"/>
        <w:rPr>
          <w:lang w:val="zh-CN"/>
        </w:rPr>
      </w:pPr>
      <w:r>
        <w:rPr>
          <w:rFonts w:hint="eastAsia"/>
        </w:rPr>
        <w:t xml:space="preserve">3.4.6 </w:t>
      </w:r>
      <w:r>
        <w:rPr>
          <w:rFonts w:hint="eastAsia"/>
          <w:lang w:val="zh-CN"/>
        </w:rPr>
        <w:t>评标委员会完成评标后，应当向采购人提交书面评标报告。</w:t>
      </w:r>
    </w:p>
    <w:p>
      <w:pPr>
        <w:adjustRightInd w:val="0"/>
        <w:snapToGrid w:val="0"/>
        <w:spacing w:line="560" w:lineRule="exact"/>
        <w:rPr>
          <w:b/>
          <w:bCs/>
          <w:sz w:val="24"/>
          <w:lang w:val="zh-CN"/>
        </w:rPr>
      </w:pPr>
      <w:r>
        <w:rPr>
          <w:rFonts w:hint="eastAsia"/>
          <w:b/>
          <w:bCs/>
          <w:sz w:val="24"/>
        </w:rPr>
        <w:t xml:space="preserve">3.5 </w:t>
      </w:r>
      <w:r>
        <w:rPr>
          <w:rFonts w:hint="eastAsia"/>
          <w:b/>
          <w:bCs/>
          <w:sz w:val="24"/>
          <w:lang w:val="zh-CN"/>
        </w:rPr>
        <w:t>顺延中标人或重新招标</w:t>
      </w:r>
    </w:p>
    <w:p>
      <w:pPr>
        <w:adjustRightInd w:val="0"/>
        <w:snapToGrid w:val="0"/>
        <w:spacing w:line="560" w:lineRule="exact"/>
        <w:rPr>
          <w:lang w:val="zh-CN"/>
        </w:rPr>
      </w:pPr>
      <w:r>
        <w:rPr>
          <w:rFonts w:hint="eastAsia"/>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sz w:val="24"/>
        </w:rPr>
      </w:pPr>
      <w:bookmarkStart w:id="267" w:name="_Toc19590"/>
      <w:bookmarkStart w:id="268" w:name="_Toc7468"/>
      <w:bookmarkStart w:id="269" w:name="_Toc11630"/>
      <w:bookmarkStart w:id="270" w:name="_Toc54"/>
      <w:bookmarkStart w:id="271" w:name="_Toc28863"/>
      <w:bookmarkStart w:id="272" w:name="_Toc16293"/>
      <w:bookmarkStart w:id="273" w:name="_Toc17922"/>
      <w:r>
        <w:rPr>
          <w:rFonts w:hint="eastAsia"/>
          <w:b/>
          <w:bCs/>
          <w:sz w:val="24"/>
        </w:rPr>
        <w:t>3.6 保密及其他注意事项</w:t>
      </w:r>
      <w:bookmarkEnd w:id="267"/>
      <w:bookmarkEnd w:id="268"/>
      <w:bookmarkEnd w:id="269"/>
      <w:bookmarkEnd w:id="270"/>
      <w:bookmarkEnd w:id="271"/>
      <w:bookmarkEnd w:id="272"/>
      <w:bookmarkEnd w:id="273"/>
    </w:p>
    <w:p>
      <w:pPr>
        <w:adjustRightInd w:val="0"/>
        <w:snapToGrid w:val="0"/>
        <w:spacing w:line="560" w:lineRule="exact"/>
        <w:rPr>
          <w:lang w:val="zh-CN"/>
        </w:rPr>
      </w:pPr>
      <w:r>
        <w:rPr>
          <w:rFonts w:hint="eastAsia"/>
        </w:rPr>
        <w:t xml:space="preserve">3.6.1 </w:t>
      </w:r>
      <w:r>
        <w:rPr>
          <w:rFonts w:hint="eastAsia"/>
          <w:lang w:val="zh-CN"/>
        </w:rPr>
        <w:t>在评标期间，投标企业不得向评标委员会成员询问评标情况，不得进行旨在影响中标结果的活动。</w:t>
      </w:r>
    </w:p>
    <w:p>
      <w:pPr>
        <w:adjustRightInd w:val="0"/>
        <w:snapToGrid w:val="0"/>
        <w:spacing w:line="560" w:lineRule="exact"/>
        <w:rPr>
          <w:lang w:val="zh-CN"/>
        </w:rPr>
      </w:pPr>
      <w:r>
        <w:rPr>
          <w:rFonts w:hint="eastAsia"/>
        </w:rPr>
        <w:t xml:space="preserve">3.6.2 </w:t>
      </w:r>
      <w:r>
        <w:rPr>
          <w:rFonts w:hint="eastAsia"/>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sz w:val="44"/>
          <w:szCs w:val="44"/>
        </w:rPr>
      </w:pPr>
      <w:r>
        <w:rPr>
          <w:rFonts w:hint="eastAsia"/>
        </w:rPr>
        <w:t>3.6.3</w:t>
      </w:r>
      <w:r>
        <w:rPr>
          <w:rFonts w:hint="eastAsia"/>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szCs w:val="28"/>
        </w:rPr>
      </w:pPr>
      <w:r>
        <w:rPr>
          <w:rFonts w:hint="eastAsia" w:asciiTheme="minorEastAsia" w:hAnsiTheme="minorEastAsia" w:eastAsiaTheme="minorEastAsia" w:cstheme="minorEastAsia"/>
          <w:bCs/>
          <w:kern w:val="0"/>
          <w:szCs w:val="21"/>
        </w:rPr>
        <w:br w:type="page"/>
      </w:r>
    </w:p>
    <w:p>
      <w:pPr>
        <w:pStyle w:val="21"/>
        <w:numPr>
          <w:ilvl w:val="0"/>
          <w:numId w:val="5"/>
        </w:numPr>
        <w:spacing w:line="600" w:lineRule="exact"/>
        <w:ind w:right="-63" w:rightChars="-30"/>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 xml:space="preserve"> </w:t>
      </w:r>
      <w:bookmarkStart w:id="274" w:name="_Toc9424"/>
      <w:r>
        <w:rPr>
          <w:rFonts w:hint="eastAsia" w:asciiTheme="minorEastAsia" w:hAnsiTheme="minorEastAsia" w:eastAsiaTheme="minorEastAsia" w:cstheme="minorEastAsia"/>
          <w:sz w:val="36"/>
          <w:szCs w:val="36"/>
        </w:rPr>
        <w:t>合同</w:t>
      </w:r>
      <w:bookmarkEnd w:id="252"/>
      <w:bookmarkEnd w:id="253"/>
      <w:bookmarkEnd w:id="254"/>
      <w:bookmarkEnd w:id="274"/>
      <w:r>
        <w:rPr>
          <w:rFonts w:hint="eastAsia" w:asciiTheme="minorEastAsia" w:hAnsiTheme="minorEastAsia" w:eastAsiaTheme="minorEastAsia" w:cstheme="minorEastAsia"/>
          <w:sz w:val="36"/>
          <w:szCs w:val="36"/>
          <w:lang w:val="en-US" w:eastAsia="zh-CN"/>
        </w:rPr>
        <w:t>的主要条款</w:t>
      </w:r>
    </w:p>
    <w:p>
      <w:pPr>
        <w:pStyle w:val="37"/>
        <w:numPr>
          <w:ilvl w:val="0"/>
          <w:numId w:val="0"/>
        </w:numPr>
        <w:tabs>
          <w:tab w:val="clear" w:pos="432"/>
        </w:tabs>
        <w:jc w:val="both"/>
      </w:pPr>
    </w:p>
    <w:p>
      <w:pPr>
        <w:jc w:val="center"/>
      </w:pPr>
      <w:r>
        <w:rPr>
          <w:rFonts w:hint="eastAsia"/>
          <w:b/>
          <w:bCs/>
          <w:sz w:val="28"/>
          <w:szCs w:val="28"/>
        </w:rPr>
        <w:t>（仅供参考）</w:t>
      </w:r>
    </w:p>
    <w:p>
      <w:pPr>
        <w:adjustRightInd w:val="0"/>
        <w:spacing w:line="360" w:lineRule="auto"/>
        <w:textAlignment w:val="baseline"/>
        <w:rPr>
          <w:rFonts w:ascii="宋体" w:hAnsi="宋体" w:cs="宋体"/>
          <w:sz w:val="24"/>
        </w:rPr>
      </w:pP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甲方：（采购单位）</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乙方：（供应商 ）</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甲、乙双方持采购人、采购代理公司签发的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采购项目中标通知书，根据采购文件、投标文件文件的内容，并经双方协商一致，达成以下合同条款：</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一、本合同所指服务为招标文件、投标文件中的服务内容及要求，合同总价款为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二、乙方提供的服务达到乙方投标文件及澄清中的技术标准。（售后服务要求按采购文件及投标文件相应条款制订）</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三、服务内容、时间、地点、方式、验收：</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乙方应于2022年 月 日前按甲方要求在</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达到验收条件。所产生的费用由乙方负责。由甲方组织相关人员进行验收。</w:t>
      </w:r>
    </w:p>
    <w:p>
      <w:pPr>
        <w:numPr>
          <w:ilvl w:val="0"/>
          <w:numId w:val="10"/>
        </w:numPr>
        <w:adjustRightInd w:val="0"/>
        <w:spacing w:line="360" w:lineRule="auto"/>
        <w:ind w:firstLine="480"/>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付款方式：完成全县集体土地内外业核实调查，完成原有集体土地所有权确权登记成果全面更新，支付合同金额的40%；通过质检、完成数据汇交、工程完工并通过验收后，支付至合同金额的80%；服务期满后支付剩余20%合同金额。</w:t>
      </w:r>
    </w:p>
    <w:p>
      <w:pPr>
        <w:numPr>
          <w:ilvl w:val="0"/>
          <w:numId w:val="10"/>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违约责任：甲方无正当理由拒付款的，向乙方偿付拒收拒付款总额的__10%__违约金。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乙方所提供的服务不符合合同规定，甲方有权拒决，乙方应负责更改至符合采购人要求支付的全部实际费用。</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乙方不能交付按要求提供服务的，乙方向甲方支付未交付部分款总额__10%违约金。</w:t>
      </w:r>
    </w:p>
    <w:p>
      <w:pPr>
        <w:adjustRightInd w:val="0"/>
        <w:spacing w:line="360" w:lineRule="auto"/>
        <w:ind w:firstLine="210" w:firstLineChars="1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六、因货物的质量问题发生争议，由甲方所在地市级技术监督单位进行质量鉴定。</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七、甲乙双方应严格遵守投标要求和供应商须知，如有违反，按投标要求和供应商须知规定予以处理。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八、采购文件及其修改补充、投标文件及其修改补充澄清均为本合同的组成部分。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十、合同生效及其它：</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甲方：</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地址：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                   法定代表人：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委托代理人：                   委托代理人：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电话：</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开户银行：</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银行账号：</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银行账号：</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签约时间：                     签约地点：</w:t>
      </w:r>
    </w:p>
    <w:p>
      <w:pPr>
        <w:adjustRightInd w:val="0"/>
        <w:spacing w:line="360" w:lineRule="auto"/>
        <w:ind w:firstLine="422" w:firstLineChars="200"/>
        <w:textAlignment w:val="baseline"/>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重要提示：以上合同文本作为签订合同的重要依据，涉及付款方式、供应商名称等实质性内容不得变更。</w:t>
      </w:r>
    </w:p>
    <w:p>
      <w:pPr>
        <w:pStyle w:val="10"/>
        <w:jc w:val="center"/>
        <w:outlineLvl w:val="0"/>
        <w:rPr>
          <w:rFonts w:asciiTheme="minorEastAsia" w:hAnsiTheme="minorEastAsia" w:eastAsiaTheme="minorEastAsia" w:cstheme="minorEastAsia"/>
          <w:b/>
          <w:bCs/>
          <w:sz w:val="21"/>
          <w:szCs w:val="21"/>
        </w:rPr>
      </w:pPr>
    </w:p>
    <w:p>
      <w:pPr>
        <w:pStyle w:val="10"/>
        <w:outlineLvl w:val="0"/>
        <w:rPr>
          <w:b/>
          <w:bCs/>
          <w:sz w:val="32"/>
          <w:szCs w:val="32"/>
        </w:rPr>
      </w:pPr>
      <w:bookmarkStart w:id="275" w:name="_Toc12807"/>
    </w:p>
    <w:p>
      <w:pPr>
        <w:pStyle w:val="10"/>
        <w:jc w:val="center"/>
        <w:outlineLvl w:val="0"/>
        <w:rPr>
          <w:rFonts w:hint="eastAsia"/>
          <w:b/>
          <w:bCs/>
          <w:sz w:val="32"/>
          <w:szCs w:val="32"/>
          <w:highlight w:val="red"/>
        </w:rPr>
      </w:pPr>
      <w:bookmarkStart w:id="276" w:name="_Toc18602"/>
    </w:p>
    <w:p>
      <w:pPr>
        <w:pStyle w:val="10"/>
        <w:jc w:val="center"/>
        <w:outlineLvl w:val="0"/>
        <w:rPr>
          <w:rFonts w:hint="eastAsia"/>
          <w:b/>
          <w:bCs/>
          <w:sz w:val="32"/>
          <w:szCs w:val="32"/>
          <w:highlight w:val="red"/>
        </w:rPr>
      </w:pPr>
    </w:p>
    <w:p>
      <w:pPr>
        <w:pStyle w:val="10"/>
        <w:jc w:val="center"/>
        <w:outlineLvl w:val="0"/>
        <w:rPr>
          <w:rFonts w:hint="eastAsia"/>
          <w:b/>
          <w:bCs/>
          <w:sz w:val="32"/>
          <w:szCs w:val="32"/>
          <w:highlight w:val="red"/>
        </w:rPr>
      </w:pPr>
    </w:p>
    <w:p>
      <w:pPr>
        <w:pStyle w:val="10"/>
        <w:jc w:val="center"/>
        <w:outlineLvl w:val="0"/>
        <w:rPr>
          <w:rFonts w:hint="eastAsia"/>
          <w:b/>
          <w:bCs/>
          <w:sz w:val="32"/>
          <w:szCs w:val="32"/>
          <w:highlight w:val="red"/>
        </w:rPr>
      </w:pPr>
    </w:p>
    <w:p>
      <w:pPr>
        <w:pStyle w:val="10"/>
        <w:jc w:val="center"/>
        <w:outlineLvl w:val="0"/>
        <w:rPr>
          <w:rFonts w:hint="eastAsia"/>
          <w:b/>
          <w:bCs/>
          <w:sz w:val="32"/>
          <w:szCs w:val="32"/>
          <w:highlight w:val="red"/>
        </w:rPr>
      </w:pPr>
    </w:p>
    <w:p>
      <w:pPr>
        <w:pStyle w:val="10"/>
        <w:jc w:val="center"/>
        <w:outlineLvl w:val="0"/>
        <w:rPr>
          <w:rFonts w:hint="eastAsia"/>
          <w:b/>
          <w:bCs/>
          <w:sz w:val="32"/>
          <w:szCs w:val="32"/>
          <w:highlight w:val="red"/>
        </w:rPr>
      </w:pPr>
    </w:p>
    <w:p>
      <w:pPr>
        <w:pStyle w:val="10"/>
        <w:jc w:val="center"/>
        <w:outlineLvl w:val="0"/>
        <w:rPr>
          <w:rFonts w:hint="eastAsia"/>
          <w:b/>
          <w:bCs/>
          <w:sz w:val="32"/>
          <w:szCs w:val="32"/>
          <w:highlight w:val="red"/>
        </w:rPr>
      </w:pPr>
    </w:p>
    <w:p>
      <w:pPr>
        <w:pStyle w:val="10"/>
        <w:jc w:val="center"/>
        <w:outlineLvl w:val="0"/>
        <w:rPr>
          <w:rFonts w:hint="eastAsia"/>
          <w:b/>
          <w:bCs/>
          <w:sz w:val="32"/>
          <w:szCs w:val="32"/>
          <w:highlight w:val="red"/>
        </w:rPr>
      </w:pPr>
    </w:p>
    <w:p>
      <w:pPr>
        <w:pStyle w:val="10"/>
        <w:jc w:val="center"/>
        <w:outlineLvl w:val="0"/>
        <w:rPr>
          <w:rFonts w:hint="eastAsia"/>
          <w:b/>
          <w:bCs/>
          <w:sz w:val="32"/>
          <w:szCs w:val="32"/>
          <w:highlight w:val="red"/>
        </w:rPr>
      </w:pPr>
    </w:p>
    <w:p>
      <w:pPr>
        <w:pStyle w:val="10"/>
        <w:jc w:val="center"/>
        <w:outlineLvl w:val="0"/>
        <w:rPr>
          <w:rFonts w:hint="eastAsia"/>
          <w:b/>
          <w:bCs/>
          <w:sz w:val="32"/>
          <w:szCs w:val="32"/>
          <w:highlight w:val="red"/>
        </w:rPr>
      </w:pPr>
    </w:p>
    <w:p>
      <w:pPr>
        <w:pStyle w:val="10"/>
        <w:jc w:val="center"/>
        <w:outlineLvl w:val="0"/>
        <w:rPr>
          <w:sz w:val="32"/>
          <w:szCs w:val="32"/>
          <w:highlight w:val="none"/>
        </w:rPr>
      </w:pPr>
      <w:r>
        <w:rPr>
          <w:rFonts w:hint="eastAsia"/>
          <w:b/>
          <w:bCs/>
          <w:sz w:val="32"/>
          <w:szCs w:val="32"/>
          <w:highlight w:val="none"/>
        </w:rPr>
        <w:t>第五章服务内容及</w:t>
      </w:r>
      <w:bookmarkEnd w:id="276"/>
      <w:r>
        <w:rPr>
          <w:rFonts w:hint="eastAsia"/>
          <w:b/>
          <w:bCs/>
          <w:sz w:val="32"/>
          <w:szCs w:val="32"/>
          <w:highlight w:val="none"/>
        </w:rPr>
        <w:t>要求</w:t>
      </w:r>
      <w:bookmarkEnd w:id="275"/>
      <w:bookmarkStart w:id="277" w:name="_Toc18577"/>
      <w:bookmarkStart w:id="278" w:name="_Toc403122572"/>
      <w:bookmarkStart w:id="279" w:name="_Toc426369533"/>
      <w:bookmarkStart w:id="280" w:name="_Toc7906"/>
    </w:p>
    <w:p>
      <w:pPr>
        <w:widowControl/>
        <w:spacing w:line="56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一、项目概况</w:t>
      </w:r>
    </w:p>
    <w:p>
      <w:pPr>
        <w:spacing w:line="560" w:lineRule="exact"/>
        <w:ind w:firstLine="560" w:firstLineChars="200"/>
        <w:rPr>
          <w:rFonts w:ascii="仿宋_GB2312" w:eastAsia="仿宋_GB2312"/>
          <w:color w:val="auto"/>
          <w:sz w:val="28"/>
          <w:szCs w:val="28"/>
        </w:rPr>
      </w:pPr>
      <w:r>
        <w:rPr>
          <w:rFonts w:hint="eastAsia" w:ascii="仿宋_GB2312" w:eastAsia="仿宋_GB2312"/>
          <w:color w:val="auto"/>
          <w:sz w:val="28"/>
          <w:szCs w:val="28"/>
        </w:rPr>
        <w:t>根据自然资源部《关于加快集体土地所有权确权登记成果更新汇交的通知》（自然资发〔2022〕19号）、河南省自然资源厅《关于印发&lt;河南省集体土地所有权确权登记成果更新汇交工作方案&gt;的通知》（豫自然资办发〔2022〕7号）文件精神。开展博爱县全县范围内集体土地的核实调查，对原有集体土地所有权确权登记成果进行全面完善更新并质检汇交，将更新成果纳入不动产登记数据库，集中办理相应的登记业务，保证成果的准确性与现实性。成果应用于土地征收、土地开发利用、执法督查、提升土地管理水平、促进农业农村发展、维护农村土地利益、集体经营性建设用地入市等方面（具体要求详见招标文件）。</w:t>
      </w:r>
    </w:p>
    <w:p>
      <w:pPr>
        <w:widowControl/>
        <w:spacing w:line="560" w:lineRule="exact"/>
        <w:ind w:firstLine="562" w:firstLineChars="200"/>
        <w:rPr>
          <w:rFonts w:ascii="仿宋" w:hAnsi="仿宋" w:eastAsia="仿宋" w:cs="仿宋"/>
          <w:b/>
          <w:bCs/>
          <w:color w:val="auto"/>
          <w:sz w:val="28"/>
          <w:szCs w:val="28"/>
        </w:rPr>
      </w:pPr>
      <w:r>
        <w:rPr>
          <w:rFonts w:hint="eastAsia" w:ascii="仿宋" w:hAnsi="仿宋" w:eastAsia="仿宋" w:cs="仿宋"/>
          <w:b/>
          <w:bCs/>
          <w:color w:val="auto"/>
          <w:sz w:val="28"/>
          <w:szCs w:val="28"/>
        </w:rPr>
        <w:t>二、服务要求</w:t>
      </w:r>
    </w:p>
    <w:p>
      <w:pPr>
        <w:widowControl/>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（一）工作内容</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在集体土地所有权确权登记成果的基础上对全县集体土地进行调查测绘，完善集体土地所有权确权登记成果，严格按照有关文件要求分类开展成果整理入库、更新、汇交等工作。</w:t>
      </w:r>
    </w:p>
    <w:p>
      <w:pPr>
        <w:pStyle w:val="2"/>
        <w:ind w:firstLine="560" w:firstLineChars="200"/>
        <w:rPr>
          <w:rFonts w:ascii="仿宋" w:hAnsi="仿宋" w:eastAsia="仿宋" w:cs="仿宋"/>
          <w:sz w:val="28"/>
          <w:szCs w:val="28"/>
        </w:rPr>
      </w:pPr>
      <w:r>
        <w:rPr>
          <w:rFonts w:hint="eastAsia" w:ascii="仿宋" w:hAnsi="仿宋" w:eastAsia="仿宋" w:cs="仿宋"/>
          <w:sz w:val="28"/>
          <w:szCs w:val="28"/>
        </w:rPr>
        <w:t>1、在集体土地所有权确权登记成果的基础上对全县集体土地进行调查测绘、登记。完善检查整改已有的集体土地所有权确权登记成果数据库，按照《不动产登记数据库标准》的规定，严格依据法定登记资料补录登记信息，整理完善集体土地所有权确权登记成果，完成数据标准及内容的整合转换，建立集体土地所有权登记成果不动产登记数据库；</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2、依据土地征收、集体互换调整、撤销合并、行政区划调整等资料分类对发生变化的宗地进行调整，更新完善集体土地所有权数据库。</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3、对原有不符合登记发证条件的宗地进行重新调查，争议解除的补充完善调查资料进行登记；争议难以解决的，设立争议宗地，无争议部分土地纳入登记范围。</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4、将整理完成的集体土地所有权数据库装入不动产登记信息管理基础平台。依托相关法律法规对集体土地所有权宗地办理相应的登记业务并向上级自然资源部门汇交集体土地所有权登记成果，</w:t>
      </w:r>
      <w:r>
        <w:rPr>
          <w:rFonts w:hint="eastAsia" w:ascii="仿宋" w:hAnsi="仿宋" w:eastAsia="仿宋" w:cs="仿宋"/>
          <w:color w:val="auto"/>
          <w:sz w:val="28"/>
          <w:szCs w:val="28"/>
        </w:rPr>
        <w:t>提供后期数据存储</w:t>
      </w:r>
      <w:r>
        <w:rPr>
          <w:rFonts w:hint="eastAsia" w:ascii="仿宋" w:hAnsi="仿宋" w:eastAsia="仿宋" w:cs="仿宋"/>
          <w:color w:val="auto"/>
          <w:sz w:val="28"/>
          <w:szCs w:val="28"/>
          <w:lang w:val="en-US" w:eastAsia="zh-CN"/>
        </w:rPr>
        <w:t>及</w:t>
      </w:r>
      <w:r>
        <w:rPr>
          <w:rFonts w:hint="eastAsia" w:ascii="仿宋" w:hAnsi="仿宋" w:eastAsia="仿宋" w:cs="仿宋"/>
          <w:color w:val="auto"/>
          <w:sz w:val="28"/>
          <w:szCs w:val="28"/>
        </w:rPr>
        <w:t>更新</w:t>
      </w:r>
      <w:r>
        <w:rPr>
          <w:rFonts w:hint="eastAsia" w:ascii="仿宋" w:hAnsi="仿宋" w:eastAsia="仿宋" w:cs="仿宋"/>
          <w:color w:val="auto"/>
          <w:sz w:val="28"/>
          <w:szCs w:val="28"/>
          <w:lang w:val="en-US" w:eastAsia="zh-CN"/>
        </w:rPr>
        <w:t>的</w:t>
      </w:r>
      <w:r>
        <w:rPr>
          <w:rFonts w:hint="eastAsia" w:ascii="仿宋" w:hAnsi="仿宋" w:eastAsia="仿宋" w:cs="仿宋"/>
          <w:color w:val="auto"/>
          <w:sz w:val="28"/>
          <w:szCs w:val="28"/>
        </w:rPr>
        <w:t>设备。</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5、探索“日常+定期”模式，做好集体土地所有权确权登记成果更新，保持成果现势性，强化集体土地所有权确权登记成果在项目用地报批、集体土地征收、国有建设用地供应、集体经营性建设用地入市等相关业务中的应用。</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（二）数学基础</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1、坐标系统：2000国家大地坐标系；</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2、高程基准：1985国家高程基准；</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（三）工作要求</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1、熟悉博爱县本级不动产登记平台和权籍数据库管理系统；</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2、确保更新后的集体土地所有权成果符合省市县不动产权籍调查数据库的要求；</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3、协助不动产中心完成成果更新后的登记发证工作；</w:t>
      </w:r>
    </w:p>
    <w:p>
      <w:pPr>
        <w:widowControl/>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4、负责全市成果的质检和汇交工作。</w:t>
      </w:r>
    </w:p>
    <w:p>
      <w:pPr>
        <w:spacing w:line="560" w:lineRule="exact"/>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w:t>
      </w:r>
      <w:r>
        <w:rPr>
          <w:rFonts w:hint="eastAsia" w:ascii="仿宋" w:hAnsi="仿宋" w:eastAsia="仿宋" w:cs="仿宋"/>
          <w:b/>
          <w:sz w:val="28"/>
          <w:szCs w:val="28"/>
        </w:rPr>
        <w:t>商务要求</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1、服务期限： </w:t>
      </w:r>
      <w:r>
        <w:rPr>
          <w:rFonts w:hint="eastAsia" w:ascii="仿宋" w:hAnsi="仿宋" w:eastAsia="仿宋" w:cs="仿宋"/>
          <w:sz w:val="28"/>
          <w:szCs w:val="28"/>
          <w:lang w:val="en-US" w:eastAsia="zh-CN"/>
        </w:rPr>
        <w:t>根据项目进展情况双方协商确定</w:t>
      </w:r>
      <w:r>
        <w:rPr>
          <w:rFonts w:hint="eastAsia" w:ascii="仿宋" w:hAnsi="仿宋" w:eastAsia="仿宋" w:cs="仿宋"/>
          <w:sz w:val="28"/>
          <w:szCs w:val="28"/>
        </w:rPr>
        <w:t>。</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2、付款方式：依照合同内容。</w:t>
      </w:r>
    </w:p>
    <w:p>
      <w:pPr>
        <w:spacing w:line="560" w:lineRule="exact"/>
        <w:ind w:firstLine="560" w:firstLineChars="200"/>
        <w:rPr>
          <w:rFonts w:ascii="仿宋" w:hAnsi="仿宋" w:eastAsia="仿宋" w:cs="仿宋"/>
          <w:sz w:val="28"/>
          <w:szCs w:val="28"/>
        </w:rPr>
      </w:pPr>
      <w:r>
        <w:rPr>
          <w:rFonts w:hint="eastAsia" w:ascii="仿宋" w:hAnsi="仿宋" w:eastAsia="仿宋" w:cs="仿宋"/>
          <w:sz w:val="28"/>
          <w:szCs w:val="28"/>
        </w:rPr>
        <w:t>3、售后服务：成果检验及应用期内的免费服务。</w:t>
      </w:r>
    </w:p>
    <w:p>
      <w:pPr>
        <w:pStyle w:val="2"/>
        <w:rPr>
          <w:rFonts w:asciiTheme="minorEastAsia" w:hAnsiTheme="minorEastAsia" w:eastAsiaTheme="minorEastAsia" w:cstheme="minorEastAsia"/>
          <w:sz w:val="24"/>
        </w:rPr>
      </w:pPr>
    </w:p>
    <w:p>
      <w:pPr>
        <w:pStyle w:val="38"/>
        <w:ind w:firstLine="420"/>
      </w:pPr>
    </w:p>
    <w:p>
      <w:pPr>
        <w:pStyle w:val="4"/>
        <w:spacing w:before="0" w:after="0" w:line="360" w:lineRule="auto"/>
        <w:ind w:firstLine="643" w:firstLineChars="200"/>
        <w:rPr>
          <w:rFonts w:hint="eastAsia"/>
          <w:sz w:val="32"/>
          <w:szCs w:val="32"/>
        </w:rPr>
      </w:pPr>
    </w:p>
    <w:p>
      <w:pPr>
        <w:rPr>
          <w:rFonts w:hint="eastAsia"/>
          <w:sz w:val="32"/>
          <w:szCs w:val="32"/>
        </w:rPr>
      </w:pPr>
    </w:p>
    <w:p>
      <w:pPr>
        <w:pStyle w:val="2"/>
        <w:rPr>
          <w:rFonts w:hint="eastAsia"/>
        </w:rPr>
      </w:pPr>
    </w:p>
    <w:p>
      <w:pPr>
        <w:pStyle w:val="4"/>
        <w:spacing w:before="0" w:after="0" w:line="360" w:lineRule="auto"/>
        <w:ind w:firstLine="643" w:firstLineChars="200"/>
        <w:rPr>
          <w:sz w:val="32"/>
          <w:szCs w:val="32"/>
        </w:rPr>
      </w:pPr>
      <w:r>
        <w:rPr>
          <w:rFonts w:hint="eastAsia"/>
          <w:sz w:val="32"/>
          <w:szCs w:val="32"/>
        </w:rPr>
        <w:t>第六章 质疑与投诉</w:t>
      </w:r>
      <w:bookmarkEnd w:id="277"/>
      <w:r>
        <w:rPr>
          <w:rFonts w:hint="eastAsia"/>
          <w:sz w:val="32"/>
          <w:szCs w:val="32"/>
        </w:rPr>
        <w:t xml:space="preserve"> </w:t>
      </w:r>
    </w:p>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一、质疑与答复</w:t>
      </w:r>
    </w:p>
    <w:p>
      <w:pPr>
        <w:pStyle w:val="22"/>
        <w:spacing w:line="360" w:lineRule="auto"/>
        <w:ind w:firstLine="480" w:firstLineChars="200"/>
        <w:rPr>
          <w:rFonts w:hint="default" w:ascii="宋体" w:hAnsi="宋体" w:eastAsia="宋体" w:cs="宋体"/>
          <w:sz w:val="24"/>
        </w:rPr>
      </w:pPr>
      <w:r>
        <w:rPr>
          <w:rFonts w:ascii="宋体" w:hAnsi="宋体" w:eastAsia="宋体" w:cs="宋体"/>
          <w:sz w:val="24"/>
        </w:rPr>
        <w:t>1. 参与政府采购活动的投标人认为采购文件、采购过程、中标或者成交结果使自己的权益受到损害的，可以在知道或者应知其权益受到损害之日起7个工作日内，以书面形式向采购人、采购代理机构提出质疑。</w:t>
      </w:r>
    </w:p>
    <w:p>
      <w:pPr>
        <w:pStyle w:val="23"/>
        <w:spacing w:line="360" w:lineRule="auto"/>
        <w:ind w:firstLine="480"/>
        <w:rPr>
          <w:rFonts w:ascii="宋体" w:hAnsi="宋体" w:cs="宋体"/>
          <w:sz w:val="24"/>
        </w:rPr>
      </w:pPr>
      <w:r>
        <w:rPr>
          <w:rFonts w:hint="eastAsia" w:ascii="宋体" w:hAnsi="宋体" w:cs="宋体"/>
          <w:sz w:val="24"/>
        </w:rPr>
        <w:t>2. 投标人提出质疑应当提交质疑函和必要的证明材料。政府采购投标人质疑函范本下载地址：</w:t>
      </w:r>
    </w:p>
    <w:p>
      <w:pPr>
        <w:pStyle w:val="23"/>
        <w:spacing w:line="360" w:lineRule="auto"/>
        <w:ind w:left="420" w:leftChars="200" w:firstLine="0" w:firstLineChars="0"/>
        <w:rPr>
          <w:rFonts w:ascii="宋体" w:hAnsi="宋体" w:cs="宋体"/>
          <w:sz w:val="24"/>
        </w:rPr>
      </w:pPr>
      <w:r>
        <w:fldChar w:fldCharType="begin"/>
      </w:r>
      <w:r>
        <w:instrText xml:space="preserve"> HYPERLINK "http://download.ccgp.gov.cn/2018/zhiyihanfanben.zip；" </w:instrText>
      </w:r>
      <w:r>
        <w:fldChar w:fldCharType="separate"/>
      </w:r>
      <w:r>
        <w:rPr>
          <w:rStyle w:val="32"/>
          <w:rFonts w:hint="eastAsia" w:ascii="宋体" w:hAnsi="宋体" w:cs="宋体"/>
          <w:color w:val="auto"/>
          <w:sz w:val="24"/>
        </w:rPr>
        <w:t>http://download.ccgp.gov.cn/2018/zhiyihanfanben.zip；</w:t>
      </w:r>
      <w:r>
        <w:rPr>
          <w:rStyle w:val="32"/>
          <w:rFonts w:hint="eastAsia" w:ascii="宋体" w:hAnsi="宋体" w:cs="宋体"/>
          <w:color w:val="auto"/>
          <w:sz w:val="24"/>
        </w:rPr>
        <w:fldChar w:fldCharType="end"/>
      </w:r>
    </w:p>
    <w:p>
      <w:pPr>
        <w:numPr>
          <w:ilvl w:val="0"/>
          <w:numId w:val="11"/>
        </w:numPr>
        <w:spacing w:line="360" w:lineRule="auto"/>
        <w:ind w:firstLine="480" w:firstLineChars="200"/>
        <w:rPr>
          <w:rFonts w:ascii="宋体" w:hAnsi="宋体" w:cs="宋体"/>
          <w:sz w:val="24"/>
        </w:rPr>
      </w:pPr>
      <w:r>
        <w:rPr>
          <w:rFonts w:hint="eastAsia" w:ascii="宋体" w:hAnsi="宋体" w:cs="宋体"/>
          <w:sz w:val="24"/>
        </w:rPr>
        <w:t>采购人、采购代理机构不得拒收质疑投标人在法定质疑期内发出的质疑函，应当在收到质疑函后7个工作日内作出答复，并以书面形式通知质疑投标人和其他有关投标人。</w:t>
      </w:r>
    </w:p>
    <w:p>
      <w:pPr>
        <w:numPr>
          <w:ilvl w:val="0"/>
          <w:numId w:val="11"/>
        </w:numPr>
        <w:spacing w:line="360" w:lineRule="auto"/>
        <w:ind w:firstLine="480" w:firstLineChars="200"/>
        <w:rPr>
          <w:rFonts w:ascii="宋体" w:hAnsi="宋体" w:cs="宋体"/>
          <w:sz w:val="24"/>
        </w:rPr>
      </w:pPr>
      <w:r>
        <w:rPr>
          <w:rFonts w:hint="eastAsia" w:ascii="宋体" w:hAnsi="宋体" w:cs="宋体"/>
          <w:sz w:val="24"/>
        </w:rPr>
        <w:t>投标人提出质疑应当提交质疑函和必要的证明材料。质疑函应当包括下列内容：</w:t>
      </w:r>
    </w:p>
    <w:p>
      <w:pPr>
        <w:numPr>
          <w:ilvl w:val="1"/>
          <w:numId w:val="11"/>
        </w:numPr>
        <w:spacing w:line="360" w:lineRule="auto"/>
        <w:ind w:left="420" w:leftChars="200"/>
        <w:rPr>
          <w:rFonts w:ascii="宋体" w:hAnsi="宋体" w:cs="宋体"/>
          <w:sz w:val="24"/>
        </w:rPr>
      </w:pPr>
      <w:r>
        <w:rPr>
          <w:rFonts w:hint="eastAsia" w:ascii="宋体" w:hAnsi="宋体" w:cs="宋体"/>
          <w:sz w:val="24"/>
        </w:rPr>
        <w:t>投标人的姓名或者名称、地址、邮编、联系人及联系电话；</w:t>
      </w:r>
    </w:p>
    <w:p>
      <w:pPr>
        <w:numPr>
          <w:ilvl w:val="1"/>
          <w:numId w:val="11"/>
        </w:numPr>
        <w:spacing w:line="360" w:lineRule="auto"/>
        <w:ind w:left="420" w:leftChars="200"/>
        <w:rPr>
          <w:rFonts w:ascii="宋体" w:hAnsi="宋体" w:cs="宋体"/>
          <w:sz w:val="24"/>
        </w:rPr>
      </w:pPr>
      <w:r>
        <w:rPr>
          <w:rFonts w:hint="eastAsia" w:ascii="宋体" w:hAnsi="宋体" w:cs="宋体"/>
          <w:sz w:val="24"/>
        </w:rPr>
        <w:t>质疑项目的名称、编号；</w:t>
      </w:r>
    </w:p>
    <w:p>
      <w:pPr>
        <w:numPr>
          <w:ilvl w:val="1"/>
          <w:numId w:val="11"/>
        </w:numPr>
        <w:spacing w:line="360" w:lineRule="auto"/>
        <w:ind w:left="420" w:leftChars="200"/>
        <w:rPr>
          <w:rFonts w:ascii="宋体" w:hAnsi="宋体" w:cs="宋体"/>
          <w:sz w:val="24"/>
        </w:rPr>
      </w:pPr>
      <w:r>
        <w:rPr>
          <w:rFonts w:hint="eastAsia" w:ascii="宋体" w:hAnsi="宋体" w:cs="宋体"/>
          <w:sz w:val="24"/>
        </w:rPr>
        <w:t>具体、明确的质疑事项和与质疑事项相关的请求；</w:t>
      </w:r>
    </w:p>
    <w:p>
      <w:pPr>
        <w:numPr>
          <w:ilvl w:val="1"/>
          <w:numId w:val="11"/>
        </w:numPr>
        <w:spacing w:line="360" w:lineRule="auto"/>
        <w:ind w:left="420" w:leftChars="200"/>
        <w:rPr>
          <w:rFonts w:ascii="宋体" w:hAnsi="宋体" w:cs="宋体"/>
          <w:sz w:val="24"/>
        </w:rPr>
      </w:pPr>
      <w:r>
        <w:rPr>
          <w:rFonts w:hint="eastAsia" w:ascii="宋体" w:hAnsi="宋体" w:cs="宋体"/>
          <w:sz w:val="24"/>
        </w:rPr>
        <w:t>事实依据；</w:t>
      </w:r>
    </w:p>
    <w:p>
      <w:pPr>
        <w:numPr>
          <w:ilvl w:val="1"/>
          <w:numId w:val="11"/>
        </w:numPr>
        <w:spacing w:line="360" w:lineRule="auto"/>
        <w:ind w:left="420" w:leftChars="200"/>
        <w:rPr>
          <w:rFonts w:ascii="宋体" w:hAnsi="宋体" w:cs="宋体"/>
          <w:sz w:val="24"/>
        </w:rPr>
      </w:pPr>
      <w:r>
        <w:rPr>
          <w:rFonts w:hint="eastAsia" w:ascii="宋体" w:hAnsi="宋体" w:cs="宋体"/>
          <w:sz w:val="24"/>
        </w:rPr>
        <w:t>必要的法律依据；</w:t>
      </w:r>
    </w:p>
    <w:p>
      <w:pPr>
        <w:numPr>
          <w:ilvl w:val="1"/>
          <w:numId w:val="11"/>
        </w:numPr>
        <w:spacing w:line="360" w:lineRule="auto"/>
        <w:ind w:left="420" w:leftChars="200"/>
        <w:rPr>
          <w:rFonts w:ascii="宋体" w:hAnsi="宋体" w:cs="宋体"/>
          <w:sz w:val="24"/>
        </w:rPr>
      </w:pPr>
      <w:r>
        <w:rPr>
          <w:rFonts w:hint="eastAsia" w:ascii="宋体" w:hAnsi="宋体" w:cs="宋体"/>
          <w:sz w:val="24"/>
        </w:rPr>
        <w:t>提出质疑的日期；</w:t>
      </w:r>
    </w:p>
    <w:p>
      <w:pPr>
        <w:numPr>
          <w:ilvl w:val="1"/>
          <w:numId w:val="11"/>
        </w:numPr>
        <w:spacing w:line="360" w:lineRule="auto"/>
        <w:ind w:left="420" w:leftChars="200"/>
        <w:rPr>
          <w:rFonts w:ascii="宋体" w:hAnsi="宋体" w:cs="宋体"/>
          <w:sz w:val="24"/>
        </w:rPr>
      </w:pPr>
      <w:r>
        <w:rPr>
          <w:rFonts w:hint="eastAsia" w:ascii="宋体" w:hAnsi="宋体" w:cs="宋体"/>
          <w:sz w:val="24"/>
        </w:rPr>
        <w:t>获取招标文件的凭证；</w:t>
      </w:r>
    </w:p>
    <w:p>
      <w:pPr>
        <w:numPr>
          <w:ilvl w:val="1"/>
          <w:numId w:val="11"/>
        </w:numPr>
        <w:spacing w:line="360" w:lineRule="auto"/>
        <w:ind w:left="420" w:leftChars="200"/>
        <w:rPr>
          <w:rFonts w:ascii="宋体" w:hAnsi="宋体" w:cs="宋体"/>
          <w:sz w:val="24"/>
        </w:rPr>
      </w:pPr>
      <w:r>
        <w:rPr>
          <w:rFonts w:hint="eastAsia" w:ascii="宋体" w:hAnsi="宋体" w:cs="宋体"/>
          <w:sz w:val="24"/>
        </w:rPr>
        <w:t>以上资料一式二份（采购人、采购代理机构各执一份）。</w:t>
      </w:r>
    </w:p>
    <w:p>
      <w:pPr>
        <w:numPr>
          <w:ilvl w:val="0"/>
          <w:numId w:val="11"/>
        </w:numPr>
        <w:spacing w:line="360" w:lineRule="auto"/>
        <w:ind w:firstLine="480" w:firstLineChars="200"/>
        <w:rPr>
          <w:rFonts w:ascii="宋体" w:hAnsi="宋体" w:cs="宋体"/>
          <w:sz w:val="24"/>
        </w:rPr>
      </w:pPr>
      <w:r>
        <w:rPr>
          <w:rFonts w:hint="eastAsia" w:ascii="宋体" w:hAnsi="宋体" w:cs="宋体"/>
          <w:sz w:val="24"/>
        </w:rPr>
        <w:t>投标人不得虚假质疑和恶意质疑，并对质疑内容的真实性承担责任。</w:t>
      </w:r>
    </w:p>
    <w:p>
      <w:pPr>
        <w:spacing w:line="360" w:lineRule="auto"/>
        <w:ind w:left="420" w:leftChars="200"/>
        <w:rPr>
          <w:rFonts w:ascii="宋体" w:hAnsi="宋体" w:cs="宋体"/>
          <w:b/>
          <w:bCs/>
          <w:sz w:val="28"/>
          <w:szCs w:val="28"/>
        </w:rPr>
      </w:pPr>
      <w:r>
        <w:rPr>
          <w:rFonts w:hint="eastAsia" w:ascii="宋体" w:hAnsi="宋体" w:cs="宋体"/>
          <w:b/>
          <w:bCs/>
          <w:sz w:val="28"/>
          <w:szCs w:val="28"/>
        </w:rPr>
        <w:t>二、投诉与处理</w:t>
      </w:r>
    </w:p>
    <w:p>
      <w:pPr>
        <w:pStyle w:val="22"/>
        <w:spacing w:line="360" w:lineRule="auto"/>
        <w:ind w:firstLine="480" w:firstLineChars="200"/>
        <w:rPr>
          <w:rFonts w:hint="default" w:ascii="宋体" w:hAnsi="宋体" w:eastAsia="宋体" w:cs="宋体"/>
          <w:sz w:val="24"/>
        </w:rPr>
      </w:pPr>
      <w:r>
        <w:rPr>
          <w:rFonts w:ascii="宋体" w:hAnsi="宋体" w:eastAsia="宋体" w:cs="宋体"/>
          <w:sz w:val="24"/>
        </w:rPr>
        <w:t>1、质疑投标人对采购人、采购代理机构的答复不满意，或者采购人、采购代理机构未在规定时间内作出答复的，可以在答复期满后15个工作日内向本办法第六条规定的财政部门提起投诉。</w:t>
      </w:r>
    </w:p>
    <w:p>
      <w:pPr>
        <w:spacing w:line="360" w:lineRule="auto"/>
        <w:ind w:firstLine="480" w:firstLineChars="200"/>
        <w:rPr>
          <w:rFonts w:ascii="宋体" w:hAnsi="宋体" w:cs="宋体"/>
          <w:sz w:val="24"/>
        </w:rPr>
      </w:pPr>
      <w:r>
        <w:rPr>
          <w:rFonts w:hint="eastAsia" w:ascii="宋体" w:hAnsi="宋体" w:cs="宋体"/>
          <w:sz w:val="24"/>
        </w:rPr>
        <w:t>2、质疑投标人对采购人、采购代理机构的答复不满意，或者采购人、采购代理机构未在规定时间内作出答复的，可以在答复期满后15个工作日内向财政部门提起投诉。</w:t>
      </w:r>
    </w:p>
    <w:p>
      <w:pPr>
        <w:pStyle w:val="22"/>
        <w:spacing w:line="360" w:lineRule="auto"/>
        <w:ind w:firstLine="480" w:firstLineChars="200"/>
        <w:rPr>
          <w:rFonts w:hint="default" w:ascii="宋体" w:hAnsi="宋体" w:eastAsia="宋体" w:cs="宋体"/>
          <w:sz w:val="24"/>
        </w:rPr>
      </w:pPr>
      <w:r>
        <w:rPr>
          <w:rFonts w:ascii="宋体" w:hAnsi="宋体" w:eastAsia="宋体" w:cs="宋体"/>
          <w:sz w:val="24"/>
        </w:rPr>
        <w:t>3、投诉人投诉时,应当提交投诉书和必要的证明材料，并按照被投诉采购人、采购代理机构（以下简称被投诉人）和与投诉事项有关的投标人数量提供投诉书的副本。政府采购投标人投诉书范本下载地址：</w:t>
      </w:r>
    </w:p>
    <w:p>
      <w:pPr>
        <w:pStyle w:val="22"/>
        <w:spacing w:line="360" w:lineRule="auto"/>
        <w:ind w:firstLine="640" w:firstLineChars="200"/>
        <w:rPr>
          <w:rFonts w:hint="default" w:ascii="宋体" w:hAnsi="宋体" w:eastAsia="宋体" w:cs="宋体"/>
          <w:sz w:val="24"/>
        </w:rPr>
      </w:pPr>
      <w:r>
        <w:fldChar w:fldCharType="begin"/>
      </w:r>
      <w:r>
        <w:instrText xml:space="preserve"> HYPERLINK "http://download.ccgp.gov.cn/2018/tousushufanben.zip" </w:instrText>
      </w:r>
      <w:r>
        <w:fldChar w:fldCharType="separate"/>
      </w:r>
      <w:r>
        <w:rPr>
          <w:rStyle w:val="32"/>
          <w:rFonts w:ascii="宋体" w:hAnsi="宋体" w:eastAsia="宋体" w:cs="宋体"/>
          <w:color w:val="auto"/>
          <w:sz w:val="24"/>
        </w:rPr>
        <w:t>http://download.ccgp.gov.cn/2018/tousushufanben.zip</w:t>
      </w:r>
      <w:r>
        <w:rPr>
          <w:rStyle w:val="32"/>
          <w:rFonts w:ascii="宋体" w:hAnsi="宋体" w:eastAsia="宋体" w:cs="宋体"/>
          <w:color w:val="auto"/>
          <w:sz w:val="24"/>
        </w:rPr>
        <w:fldChar w:fldCharType="end"/>
      </w:r>
    </w:p>
    <w:p>
      <w:pPr>
        <w:numPr>
          <w:ilvl w:val="0"/>
          <w:numId w:val="2"/>
        </w:numPr>
        <w:spacing w:line="360" w:lineRule="auto"/>
        <w:ind w:firstLine="480" w:firstLineChars="200"/>
        <w:rPr>
          <w:rFonts w:ascii="宋体" w:hAnsi="宋体" w:cs="宋体"/>
          <w:sz w:val="24"/>
        </w:rPr>
      </w:pPr>
      <w:r>
        <w:rPr>
          <w:rFonts w:hint="eastAsia" w:ascii="宋体" w:hAnsi="宋体" w:cs="宋体"/>
          <w:sz w:val="24"/>
        </w:rPr>
        <w:t>财政部门自收到投诉之日起30个工作日内，对投诉事项作出处理决定并公示。</w:t>
      </w:r>
    </w:p>
    <w:p>
      <w:pPr>
        <w:spacing w:line="360" w:lineRule="auto"/>
        <w:ind w:firstLine="480" w:firstLineChars="200"/>
        <w:rPr>
          <w:rFonts w:ascii="宋体" w:hAnsi="宋体" w:cs="宋体"/>
          <w:sz w:val="24"/>
        </w:rPr>
      </w:pPr>
      <w:r>
        <w:rPr>
          <w:rFonts w:hint="eastAsia" w:ascii="宋体" w:hAnsi="宋体" w:cs="宋体"/>
          <w:sz w:val="24"/>
        </w:rPr>
        <w:t>投诉人在全国范围12个月内三次以上投诉查无实据的，由财政部门列入不良行为记录名单。</w:t>
      </w:r>
    </w:p>
    <w:p>
      <w:pPr>
        <w:spacing w:line="360" w:lineRule="auto"/>
        <w:ind w:firstLine="480" w:firstLineChars="200"/>
        <w:rPr>
          <w:rFonts w:ascii="宋体" w:hAnsi="宋体" w:cs="宋体"/>
          <w:sz w:val="24"/>
        </w:rPr>
      </w:pPr>
      <w:r>
        <w:rPr>
          <w:rFonts w:hint="eastAsia" w:ascii="宋体" w:hAnsi="宋体" w:cs="宋体"/>
          <w:sz w:val="24"/>
        </w:rPr>
        <w:t>投诉人有财政部94号令第三十七条情形的，属于虚假、恶意投诉，由财政部门列入不良行为记录名单，禁止其1至3年内参加政府采购活动。</w:t>
      </w:r>
    </w:p>
    <w:p>
      <w:pPr>
        <w:pStyle w:val="23"/>
        <w:spacing w:line="360" w:lineRule="auto"/>
        <w:ind w:firstLine="480"/>
        <w:rPr>
          <w:rFonts w:ascii="宋体" w:hAnsi="宋体" w:cs="宋体"/>
          <w:sz w:val="24"/>
        </w:rPr>
      </w:pPr>
    </w:p>
    <w:p>
      <w:pPr>
        <w:pStyle w:val="4"/>
        <w:spacing w:before="0" w:after="0" w:line="360" w:lineRule="auto"/>
        <w:ind w:firstLine="480" w:firstLineChars="200"/>
        <w:jc w:val="both"/>
        <w:rPr>
          <w:rFonts w:ascii="宋体" w:hAnsi="宋体" w:cs="宋体"/>
          <w:b w:val="0"/>
          <w:bCs w:val="0"/>
          <w:sz w:val="24"/>
          <w:szCs w:val="24"/>
        </w:rPr>
      </w:pPr>
      <w:bookmarkStart w:id="281" w:name="_Toc3437"/>
      <w:r>
        <w:rPr>
          <w:rFonts w:hint="eastAsia" w:ascii="宋体" w:hAnsi="宋体" w:cs="宋体"/>
          <w:b w:val="0"/>
          <w:bCs w:val="0"/>
          <w:sz w:val="24"/>
          <w:szCs w:val="24"/>
        </w:rPr>
        <w:t>投诉联系电话：0391-8683273  地址：博爱县机关综合办公楼主楼1213室</w:t>
      </w:r>
      <w:bookmarkEnd w:id="281"/>
      <w:r>
        <w:rPr>
          <w:rFonts w:hint="eastAsia" w:ascii="宋体" w:hAnsi="宋体" w:cs="宋体"/>
          <w:b w:val="0"/>
          <w:bCs w:val="0"/>
          <w:sz w:val="24"/>
          <w:szCs w:val="24"/>
        </w:rPr>
        <w:t xml:space="preserve"> </w:t>
      </w:r>
    </w:p>
    <w:p>
      <w:pPr>
        <w:rPr>
          <w:rFonts w:ascii="宋体" w:hAnsi="宋体" w:cs="宋体"/>
          <w:sz w:val="24"/>
        </w:rPr>
      </w:pPr>
    </w:p>
    <w:p>
      <w:pPr>
        <w:pStyle w:val="5"/>
      </w:pPr>
    </w:p>
    <w:p/>
    <w:p>
      <w:pPr>
        <w:pStyle w:val="5"/>
      </w:pPr>
    </w:p>
    <w:p/>
    <w:p>
      <w:pPr>
        <w:pStyle w:val="22"/>
        <w:spacing w:line="360" w:lineRule="auto"/>
        <w:ind w:firstLine="643" w:firstLineChars="200"/>
        <w:jc w:val="center"/>
        <w:rPr>
          <w:rFonts w:asciiTheme="majorEastAsia" w:hAnsiTheme="majorEastAsia" w:eastAsiaTheme="majorEastAsia" w:cstheme="majorEastAsia"/>
          <w:b/>
          <w:bCs/>
          <w:szCs w:val="32"/>
        </w:rPr>
      </w:pPr>
    </w:p>
    <w:p>
      <w:pPr>
        <w:pStyle w:val="22"/>
        <w:spacing w:line="360" w:lineRule="auto"/>
        <w:ind w:firstLine="643" w:firstLineChars="200"/>
        <w:jc w:val="center"/>
        <w:rPr>
          <w:rFonts w:asciiTheme="majorEastAsia" w:hAnsiTheme="majorEastAsia" w:eastAsiaTheme="majorEastAsia" w:cstheme="majorEastAsia"/>
          <w:b/>
          <w:bCs/>
          <w:szCs w:val="32"/>
        </w:rPr>
      </w:pPr>
    </w:p>
    <w:p>
      <w:pPr>
        <w:pStyle w:val="22"/>
        <w:spacing w:line="360" w:lineRule="auto"/>
        <w:ind w:firstLine="643" w:firstLineChars="200"/>
        <w:jc w:val="center"/>
        <w:rPr>
          <w:rFonts w:asciiTheme="majorEastAsia" w:hAnsiTheme="majorEastAsia" w:eastAsiaTheme="majorEastAsia" w:cstheme="majorEastAsia"/>
          <w:b/>
          <w:bCs/>
          <w:szCs w:val="32"/>
        </w:rPr>
      </w:pPr>
    </w:p>
    <w:p>
      <w:pPr>
        <w:pStyle w:val="22"/>
        <w:spacing w:line="360" w:lineRule="auto"/>
        <w:ind w:firstLine="643" w:firstLineChars="200"/>
        <w:jc w:val="center"/>
        <w:rPr>
          <w:rFonts w:asciiTheme="majorEastAsia" w:hAnsiTheme="majorEastAsia" w:eastAsiaTheme="majorEastAsia" w:cstheme="majorEastAsia"/>
          <w:b/>
          <w:bCs/>
          <w:szCs w:val="32"/>
        </w:rPr>
      </w:pPr>
    </w:p>
    <w:p>
      <w:pPr>
        <w:pStyle w:val="22"/>
        <w:spacing w:line="360" w:lineRule="auto"/>
        <w:ind w:firstLine="643" w:firstLineChars="200"/>
        <w:jc w:val="center"/>
        <w:rPr>
          <w:rFonts w:hint="default" w:asciiTheme="majorEastAsia" w:hAnsiTheme="majorEastAsia" w:eastAsiaTheme="majorEastAsia" w:cstheme="majorEastAsia"/>
          <w:b/>
          <w:bCs/>
          <w:szCs w:val="32"/>
        </w:rPr>
      </w:pPr>
      <w:r>
        <w:rPr>
          <w:rFonts w:asciiTheme="majorEastAsia" w:hAnsiTheme="majorEastAsia" w:eastAsiaTheme="majorEastAsia" w:cstheme="majorEastAsia"/>
          <w:b/>
          <w:bCs/>
          <w:szCs w:val="32"/>
        </w:rPr>
        <w:t>第七章 履约验收</w:t>
      </w:r>
    </w:p>
    <w:p>
      <w:pPr>
        <w:pStyle w:val="23"/>
      </w:pPr>
    </w:p>
    <w:p>
      <w:pPr>
        <w:pStyle w:val="22"/>
        <w:spacing w:line="360" w:lineRule="auto"/>
        <w:ind w:firstLine="480" w:firstLineChars="200"/>
        <w:rPr>
          <w:rFonts w:hint="default" w:ascii="Times New Roman" w:eastAsia="宋体"/>
          <w:sz w:val="24"/>
        </w:rPr>
      </w:pPr>
      <w:r>
        <w:rPr>
          <w:rFonts w:ascii="Times New Roman" w:eastAsia="宋体"/>
          <w:sz w:val="24"/>
        </w:rPr>
        <w:t>投标人履约完成后，向采购人提出验收建议，采购人自收到验收建议之日起五个工作日内，采购人组织投标人参与，共同完成验收。技术复杂、专业性强等项目可适当延长验收时间。验收流程如下：</w:t>
      </w:r>
    </w:p>
    <w:p>
      <w:pPr>
        <w:pStyle w:val="22"/>
        <w:numPr>
          <w:ilvl w:val="0"/>
          <w:numId w:val="12"/>
        </w:numPr>
        <w:spacing w:line="360" w:lineRule="auto"/>
        <w:ind w:firstLine="480" w:firstLineChars="200"/>
        <w:rPr>
          <w:rFonts w:hint="default" w:ascii="Times New Roman" w:eastAsia="宋体"/>
          <w:sz w:val="24"/>
        </w:rPr>
      </w:pPr>
      <w:r>
        <w:rPr>
          <w:rFonts w:ascii="Times New Roman" w:eastAsia="宋体"/>
          <w:sz w:val="24"/>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2"/>
        <w:numPr>
          <w:ilvl w:val="0"/>
          <w:numId w:val="12"/>
        </w:numPr>
        <w:spacing w:line="360" w:lineRule="auto"/>
        <w:ind w:firstLine="480" w:firstLineChars="200"/>
        <w:rPr>
          <w:rFonts w:hint="default" w:ascii="Times New Roman" w:eastAsia="宋体"/>
          <w:sz w:val="24"/>
        </w:rPr>
      </w:pPr>
      <w:r>
        <w:rPr>
          <w:rFonts w:ascii="Times New Roman" w:eastAsia="宋体"/>
          <w:sz w:val="24"/>
        </w:rPr>
        <w:t>完善验收方式。对于采购人和使用人分离的采购项目，应邀请使用人参与验收。采购人可邀请参与本项目的其他投标人或第三方机构及专家参与验收。相关验收意见作为验收书的参考资料。政府向社会公众提供的公共服务项目，验收时应邀请服务对象参与并出具意见，验收结果应在焦作市政府采购网公示。</w:t>
      </w:r>
    </w:p>
    <w:p>
      <w:pPr>
        <w:pStyle w:val="22"/>
        <w:numPr>
          <w:ilvl w:val="0"/>
          <w:numId w:val="12"/>
        </w:numPr>
        <w:spacing w:line="360" w:lineRule="auto"/>
        <w:ind w:firstLine="480" w:firstLineChars="200"/>
        <w:rPr>
          <w:rFonts w:hint="default" w:ascii="Times New Roman" w:eastAsia="宋体"/>
          <w:sz w:val="24"/>
        </w:rPr>
      </w:pPr>
      <w:r>
        <w:rPr>
          <w:rFonts w:ascii="Times New Roman" w:eastAsia="宋体"/>
          <w:sz w:val="24"/>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2"/>
        <w:numPr>
          <w:ilvl w:val="0"/>
          <w:numId w:val="12"/>
        </w:numPr>
        <w:spacing w:line="360" w:lineRule="auto"/>
        <w:ind w:firstLine="480" w:firstLineChars="200"/>
        <w:rPr>
          <w:rFonts w:hint="default" w:ascii="Times New Roman" w:eastAsia="宋体"/>
          <w:sz w:val="24"/>
        </w:rPr>
      </w:pPr>
      <w:r>
        <w:rPr>
          <w:rFonts w:ascii="Times New Roman" w:eastAsia="宋体"/>
          <w:sz w:val="24"/>
        </w:rPr>
        <w:t>落实履约验收责任。验收合格的项目，采购人应当按照合同约定及时支付资金。验收不合格的项目，采购人应当依法及时处理。合同履行、违约责任和解决争议的方式使用《中华人民共和国民法典》。投标人在履约过程中有政府采购法律法规规定的违法委会情形，采购人应及时报财政部门。</w:t>
      </w:r>
    </w:p>
    <w:p>
      <w:pPr>
        <w:pStyle w:val="2"/>
      </w:pPr>
    </w:p>
    <w:p>
      <w:pPr>
        <w:pStyle w:val="3"/>
      </w:pPr>
    </w:p>
    <w:p>
      <w:pPr>
        <w:pStyle w:val="2"/>
      </w:pPr>
    </w:p>
    <w:p>
      <w:pPr>
        <w:pStyle w:val="21"/>
        <w:spacing w:line="600" w:lineRule="exact"/>
        <w:ind w:right="-63" w:rightChars="-30"/>
        <w:rPr>
          <w:rFonts w:asciiTheme="minorEastAsia" w:hAnsiTheme="minorEastAsia" w:eastAsiaTheme="minorEastAsia" w:cstheme="minorEastAsia"/>
          <w:sz w:val="36"/>
          <w:szCs w:val="36"/>
        </w:rPr>
      </w:pPr>
      <w:bookmarkStart w:id="282" w:name="_Toc7253"/>
      <w:r>
        <w:rPr>
          <w:rFonts w:hint="eastAsia" w:asciiTheme="minorEastAsia" w:hAnsiTheme="minorEastAsia" w:eastAsiaTheme="minorEastAsia" w:cstheme="minorEastAsia"/>
          <w:sz w:val="36"/>
          <w:szCs w:val="36"/>
        </w:rPr>
        <w:t>第八章  投标文件格式</w:t>
      </w:r>
      <w:bookmarkEnd w:id="278"/>
      <w:bookmarkEnd w:id="279"/>
      <w:bookmarkEnd w:id="280"/>
      <w:bookmarkEnd w:id="282"/>
    </w:p>
    <w:p>
      <w:pPr>
        <w:rPr>
          <w:rFonts w:asciiTheme="minorEastAsia" w:hAnsiTheme="minorEastAsia" w:eastAsiaTheme="minorEastAsia" w:cstheme="minorEastAsia"/>
        </w:rPr>
      </w:pPr>
      <w:bookmarkStart w:id="283" w:name="_Toc18905"/>
      <w:bookmarkStart w:id="284" w:name="_Toc402961301"/>
      <w:bookmarkStart w:id="285" w:name="_Toc403122573"/>
      <w:bookmarkStart w:id="286" w:name="_Toc27452"/>
    </w:p>
    <w:bookmarkEnd w:id="283"/>
    <w:bookmarkEnd w:id="284"/>
    <w:bookmarkEnd w:id="285"/>
    <w:bookmarkEnd w:id="286"/>
    <w:p>
      <w:pPr>
        <w:ind w:firstLine="2891" w:firstLineChars="800"/>
        <w:rPr>
          <w:rFonts w:asciiTheme="minorEastAsia" w:hAnsiTheme="minorEastAsia" w:eastAsiaTheme="minorEastAsia" w:cstheme="minorEastAsia"/>
        </w:rPr>
      </w:pPr>
      <w:r>
        <w:rPr>
          <w:rFonts w:hint="eastAsia" w:asciiTheme="minorEastAsia" w:hAnsiTheme="minorEastAsia" w:eastAsiaTheme="minorEastAsia" w:cstheme="minorEastAsia"/>
          <w:b/>
          <w:sz w:val="36"/>
          <w:szCs w:val="36"/>
        </w:rPr>
        <w:t xml:space="preserve">（项目名称）                   </w:t>
      </w:r>
    </w:p>
    <w:p>
      <w:pPr>
        <w:spacing w:line="360" w:lineRule="auto"/>
        <w:jc w:val="center"/>
        <w:rPr>
          <w:rFonts w:asciiTheme="minorEastAsia" w:hAnsiTheme="minorEastAsia" w:eastAsiaTheme="minorEastAsia" w:cstheme="minorEastAsia"/>
          <w:b/>
          <w:sz w:val="32"/>
          <w:szCs w:val="32"/>
        </w:rPr>
      </w:pPr>
    </w:p>
    <w:p>
      <w:pPr>
        <w:pStyle w:val="23"/>
      </w:pPr>
    </w:p>
    <w:p>
      <w:pPr>
        <w:pStyle w:val="23"/>
      </w:pPr>
    </w:p>
    <w:p>
      <w:pPr>
        <w:pStyle w:val="23"/>
      </w:pPr>
    </w:p>
    <w:p>
      <w:pPr>
        <w:spacing w:line="360" w:lineRule="auto"/>
        <w:jc w:val="center"/>
        <w:rPr>
          <w:rFonts w:asciiTheme="minorEastAsia" w:hAnsiTheme="minorEastAsia" w:eastAsiaTheme="minorEastAsia" w:cstheme="minorEastAsia"/>
          <w:b/>
          <w:spacing w:val="24"/>
          <w:kern w:val="10"/>
          <w:sz w:val="52"/>
          <w:szCs w:val="52"/>
        </w:rPr>
      </w:pPr>
      <w:r>
        <w:rPr>
          <w:rFonts w:hint="eastAsia" w:asciiTheme="minorEastAsia" w:hAnsiTheme="minorEastAsia" w:eastAsiaTheme="minorEastAsia" w:cstheme="minorEastAsia"/>
          <w:b/>
          <w:spacing w:val="24"/>
          <w:kern w:val="10"/>
          <w:sz w:val="52"/>
          <w:szCs w:val="52"/>
        </w:rPr>
        <w:t>投  标  文  件</w:t>
      </w:r>
    </w:p>
    <w:p>
      <w:pPr>
        <w:jc w:val="center"/>
        <w:rPr>
          <w:rFonts w:asciiTheme="minorEastAsia" w:hAnsiTheme="minorEastAsia" w:eastAsiaTheme="minorEastAsia" w:cstheme="minorEastAsia"/>
          <w:sz w:val="24"/>
        </w:rPr>
      </w:pPr>
    </w:p>
    <w:p>
      <w:pPr>
        <w:pStyle w:val="8"/>
      </w:pPr>
      <w:r>
        <w:rPr>
          <w:rFonts w:hint="eastAsia" w:asciiTheme="minorEastAsia" w:hAnsiTheme="minorEastAsia" w:eastAsiaTheme="minorEastAsia" w:cstheme="minorEastAsia"/>
        </w:rPr>
        <w:t xml:space="preserve"> </w:t>
      </w: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（封面）</w:t>
      </w: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sz w:val="24"/>
        </w:rPr>
      </w:pPr>
    </w:p>
    <w:p>
      <w:pPr>
        <w:jc w:val="center"/>
        <w:rPr>
          <w:rFonts w:asciiTheme="minorEastAsia" w:hAnsiTheme="minorEastAsia" w:eastAsiaTheme="minorEastAsia" w:cstheme="minorEastAsia"/>
          <w:b/>
          <w:sz w:val="24"/>
        </w:rPr>
      </w:pPr>
    </w:p>
    <w:p>
      <w:pPr>
        <w:pStyle w:val="14"/>
        <w:spacing w:line="600" w:lineRule="exact"/>
        <w:ind w:left="1050" w:leftChars="500" w:firstLine="1152" w:firstLineChars="450"/>
        <w:rPr>
          <w:rFonts w:hint="default" w:asciiTheme="minorEastAsia" w:hAnsiTheme="minorEastAsia" w:eastAsiaTheme="minorEastAsia" w:cstheme="minorEastAsia"/>
          <w:sz w:val="24"/>
        </w:rPr>
      </w:pPr>
      <w:r>
        <w:rPr>
          <w:rFonts w:asciiTheme="minorEastAsia" w:hAnsiTheme="minorEastAsia" w:eastAsiaTheme="minorEastAsia" w:cstheme="minorEastAsia"/>
          <w:spacing w:val="8"/>
          <w:sz w:val="24"/>
        </w:rPr>
        <w:t>供  应  商：</w:t>
      </w:r>
      <w:r>
        <w:rPr>
          <w:rFonts w:asciiTheme="minorEastAsia" w:hAnsiTheme="minorEastAsia" w:eastAsiaTheme="minorEastAsia" w:cstheme="minorEastAsia"/>
          <w:sz w:val="24"/>
        </w:rPr>
        <w:t>（单位公章）</w:t>
      </w:r>
    </w:p>
    <w:p>
      <w:pPr>
        <w:pStyle w:val="14"/>
        <w:spacing w:line="600" w:lineRule="exact"/>
        <w:ind w:left="1050" w:leftChars="500" w:firstLine="1200" w:firstLineChars="500"/>
        <w:rPr>
          <w:rFonts w:hint="default" w:asciiTheme="minorEastAsia" w:hAnsiTheme="minorEastAsia" w:eastAsiaTheme="minorEastAsia" w:cstheme="minorEastAsia"/>
          <w:sz w:val="24"/>
        </w:rPr>
      </w:pPr>
      <w:r>
        <w:rPr>
          <w:rFonts w:asciiTheme="minorEastAsia" w:hAnsiTheme="minorEastAsia" w:eastAsiaTheme="minorEastAsia" w:cstheme="minorEastAsia"/>
          <w:sz w:val="24"/>
        </w:rPr>
        <w:t>法定代表人或</w:t>
      </w:r>
      <w:r>
        <w:rPr>
          <w:rFonts w:asciiTheme="minorEastAsia" w:hAnsiTheme="minorEastAsia" w:eastAsiaTheme="minorEastAsia" w:cstheme="minorEastAsia"/>
          <w:spacing w:val="12"/>
          <w:sz w:val="24"/>
        </w:rPr>
        <w:t>委托代理人：</w:t>
      </w:r>
      <w:r>
        <w:rPr>
          <w:rFonts w:asciiTheme="minorEastAsia" w:hAnsiTheme="minorEastAsia" w:eastAsiaTheme="minorEastAsia" w:cstheme="minorEastAsia"/>
          <w:sz w:val="24"/>
        </w:rPr>
        <w:t xml:space="preserve">（签字或盖章）  </w:t>
      </w:r>
    </w:p>
    <w:p>
      <w:pPr>
        <w:pStyle w:val="14"/>
        <w:spacing w:line="600" w:lineRule="exact"/>
        <w:ind w:left="1050" w:leftChars="500" w:firstLine="1200" w:firstLineChars="500"/>
        <w:rPr>
          <w:rFonts w:hint="default" w:asciiTheme="minorEastAsia" w:hAnsiTheme="minorEastAsia" w:eastAsiaTheme="minorEastAsia" w:cstheme="minorEastAsia"/>
          <w:b/>
          <w:bCs/>
          <w:sz w:val="28"/>
          <w:szCs w:val="28"/>
        </w:rPr>
      </w:pPr>
      <w:r>
        <w:rPr>
          <w:rFonts w:asciiTheme="minorEastAsia" w:hAnsiTheme="minorEastAsia" w:eastAsiaTheme="minorEastAsia" w:cstheme="minorEastAsia"/>
          <w:sz w:val="24"/>
        </w:rPr>
        <w:t>日       期：       年    月    日</w:t>
      </w:r>
    </w:p>
    <w:p>
      <w:pPr>
        <w:ind w:firstLine="540" w:firstLineChars="192"/>
        <w:jc w:val="center"/>
        <w:rPr>
          <w:rFonts w:asciiTheme="minorEastAsia" w:hAnsiTheme="minorEastAsia" w:eastAsiaTheme="minorEastAsia" w:cstheme="minorEastAsia"/>
          <w:b/>
          <w:bCs/>
          <w:sz w:val="28"/>
          <w:szCs w:val="28"/>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ind w:firstLine="848" w:firstLineChars="192"/>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b/>
          <w:bCs/>
          <w:sz w:val="44"/>
          <w:szCs w:val="44"/>
        </w:rPr>
      </w:pPr>
    </w:p>
    <w:p>
      <w:pPr>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44"/>
          <w:szCs w:val="44"/>
        </w:rPr>
        <w:t>目    录</w:t>
      </w:r>
    </w:p>
    <w:p>
      <w:pPr>
        <w:spacing w:line="500" w:lineRule="exact"/>
        <w:jc w:val="center"/>
        <w:outlineLvl w:val="1"/>
        <w:rPr>
          <w:rFonts w:asciiTheme="minorEastAsia" w:hAnsiTheme="minorEastAsia" w:eastAsiaTheme="minorEastAsia" w:cstheme="minorEastAsia"/>
          <w:b/>
          <w:bCs/>
          <w:sz w:val="28"/>
          <w:szCs w:val="28"/>
        </w:rPr>
      </w:pPr>
      <w:bookmarkStart w:id="287" w:name="_Toc31547"/>
      <w:bookmarkStart w:id="288" w:name="_Toc5525"/>
      <w:bookmarkStart w:id="289" w:name="_Toc2130"/>
      <w:r>
        <w:rPr>
          <w:rFonts w:asciiTheme="minorEastAsia" w:hAnsiTheme="minorEastAsia" w:eastAsiaTheme="minorEastAsia" w:cstheme="minorEastAsia"/>
          <w:szCs w:val="21"/>
        </w:rPr>
        <w:t>（自拟）</w:t>
      </w:r>
      <w:r>
        <w:rPr>
          <w:rFonts w:hint="eastAsia" w:asciiTheme="minorEastAsia" w:hAnsiTheme="minorEastAsia" w:eastAsiaTheme="minorEastAsia" w:cstheme="minorEastAsia"/>
          <w:szCs w:val="21"/>
        </w:rPr>
        <w:br w:type="page"/>
      </w:r>
      <w:bookmarkStart w:id="290" w:name="_Toc1921"/>
      <w:r>
        <w:rPr>
          <w:rFonts w:hint="eastAsia" w:asciiTheme="minorEastAsia" w:hAnsiTheme="minorEastAsia" w:eastAsiaTheme="minorEastAsia" w:cstheme="minorEastAsia"/>
          <w:b/>
          <w:bCs/>
          <w:sz w:val="30"/>
          <w:szCs w:val="30"/>
        </w:rPr>
        <w:t>一、投标函</w:t>
      </w:r>
      <w:bookmarkEnd w:id="287"/>
      <w:r>
        <w:rPr>
          <w:rFonts w:hint="eastAsia" w:asciiTheme="minorEastAsia" w:hAnsiTheme="minorEastAsia" w:eastAsiaTheme="minorEastAsia" w:cstheme="minorEastAsia"/>
          <w:b/>
          <w:bCs/>
          <w:sz w:val="30"/>
          <w:szCs w:val="30"/>
        </w:rPr>
        <w:t>及开标一览表</w:t>
      </w:r>
      <w:bookmarkEnd w:id="288"/>
      <w:bookmarkEnd w:id="289"/>
      <w:bookmarkEnd w:id="290"/>
    </w:p>
    <w:p>
      <w:pPr>
        <w:jc w:val="center"/>
        <w:outlineLvl w:val="2"/>
        <w:rPr>
          <w:rFonts w:asciiTheme="minorEastAsia" w:hAnsiTheme="minorEastAsia" w:eastAsiaTheme="minorEastAsia" w:cstheme="minorEastAsia"/>
          <w:b/>
          <w:bCs/>
          <w:sz w:val="28"/>
        </w:rPr>
      </w:pPr>
      <w:bookmarkStart w:id="291" w:name="_Toc28684"/>
      <w:bookmarkStart w:id="292" w:name="_Toc15513"/>
      <w:bookmarkStart w:id="293" w:name="_Toc12044"/>
      <w:bookmarkStart w:id="294" w:name="_Toc27218"/>
      <w:bookmarkStart w:id="295" w:name="_Toc600"/>
      <w:r>
        <w:rPr>
          <w:rFonts w:hint="eastAsia" w:asciiTheme="minorEastAsia" w:hAnsiTheme="minorEastAsia" w:eastAsiaTheme="minorEastAsia" w:cstheme="minorEastAsia"/>
          <w:b/>
          <w:sz w:val="28"/>
          <w:szCs w:val="28"/>
        </w:rPr>
        <w:t>（一）投标函</w:t>
      </w:r>
      <w:bookmarkEnd w:id="291"/>
      <w:bookmarkEnd w:id="292"/>
      <w:bookmarkEnd w:id="293"/>
      <w:bookmarkEnd w:id="294"/>
      <w:bookmarkEnd w:id="295"/>
    </w:p>
    <w:p>
      <w:pPr>
        <w:pStyle w:val="5"/>
        <w:ind w:left="720"/>
      </w:pPr>
    </w:p>
    <w:p>
      <w:pPr>
        <w:widowControl/>
        <w:spacing w:line="360" w:lineRule="auto"/>
        <w:ind w:firstLine="562" w:firstLineChars="200"/>
        <w:rPr>
          <w:rFonts w:ascii="宋体" w:hAnsi="宋体"/>
          <w:b/>
          <w:bCs/>
          <w:kern w:val="0"/>
          <w:sz w:val="28"/>
          <w:szCs w:val="28"/>
          <w:u w:val="single"/>
        </w:rPr>
      </w:pPr>
      <w:r>
        <w:rPr>
          <w:rFonts w:hint="eastAsia" w:ascii="宋体" w:hAnsi="宋体"/>
          <w:b/>
          <w:bCs/>
          <w:kern w:val="0"/>
          <w:sz w:val="28"/>
          <w:szCs w:val="28"/>
        </w:rPr>
        <w:t>致：</w:t>
      </w:r>
      <w:r>
        <w:rPr>
          <w:rFonts w:hint="eastAsia" w:ascii="宋体" w:hAnsi="宋体"/>
          <w:b/>
          <w:bCs/>
          <w:kern w:val="0"/>
          <w:sz w:val="28"/>
          <w:szCs w:val="28"/>
          <w:u w:val="single"/>
        </w:rPr>
        <w:t xml:space="preserve">                    （采购人名称） </w:t>
      </w:r>
    </w:p>
    <w:p>
      <w:pPr>
        <w:pStyle w:val="22"/>
        <w:spacing w:line="360" w:lineRule="auto"/>
        <w:ind w:firstLine="480" w:firstLineChars="200"/>
        <w:rPr>
          <w:rFonts w:hint="default" w:asciiTheme="minorEastAsia" w:hAnsiTheme="minorEastAsia" w:eastAsiaTheme="minorEastAsia" w:cstheme="minorEastAsia"/>
        </w:rPr>
      </w:pPr>
      <w:r>
        <w:rPr>
          <w:rFonts w:asciiTheme="minorEastAsia" w:hAnsiTheme="minorEastAsia" w:eastAsiaTheme="minorEastAsia" w:cstheme="minorEastAsia"/>
          <w:sz w:val="24"/>
        </w:rPr>
        <w:t xml:space="preserve">我单位已收到的 </w:t>
      </w:r>
      <w:r>
        <w:rPr>
          <w:rFonts w:asciiTheme="minorEastAsia" w:hAnsiTheme="minorEastAsia" w:eastAsiaTheme="minorEastAsia" w:cstheme="minorEastAsia"/>
          <w:sz w:val="24"/>
          <w:u w:val="single"/>
        </w:rPr>
        <w:t xml:space="preserve">                        </w:t>
      </w:r>
      <w:r>
        <w:rPr>
          <w:rFonts w:asciiTheme="minorEastAsia" w:hAnsiTheme="minorEastAsia" w:eastAsiaTheme="minorEastAsia" w:cstheme="minorEastAsia"/>
          <w:sz w:val="24"/>
        </w:rPr>
        <w:t>项目（采购编号：</w:t>
      </w:r>
      <w:r>
        <w:rPr>
          <w:rFonts w:asciiTheme="minorEastAsia" w:hAnsiTheme="minorEastAsia" w:eastAsiaTheme="minorEastAsia" w:cstheme="minorEastAsia"/>
          <w:sz w:val="24"/>
          <w:u w:val="single"/>
        </w:rPr>
        <w:t xml:space="preserve">       </w:t>
      </w:r>
      <w:r>
        <w:rPr>
          <w:rFonts w:asciiTheme="minorEastAsia" w:hAnsiTheme="minorEastAsia" w:eastAsiaTheme="minorEastAsia" w:cstheme="minorEastAsia"/>
          <w:sz w:val="24"/>
        </w:rPr>
        <w:t>）采购文件及有关纪要通知，现对参与投标及成交后工作，做出如下郑重承诺：</w:t>
      </w:r>
    </w:p>
    <w:p>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1、我方愿以总价为人民币（大写）</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（小写）￥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元，服务期：</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，按合同约定实施和完成本项目。 </w:t>
      </w:r>
    </w:p>
    <w:p>
      <w:pPr>
        <w:widowControl/>
        <w:spacing w:line="360" w:lineRule="auto"/>
        <w:ind w:firstLine="480" w:firstLineChars="200"/>
        <w:rPr>
          <w:rFonts w:asciiTheme="minorEastAsia" w:hAnsiTheme="minorEastAsia" w:eastAsiaTheme="minorEastAsia" w:cstheme="minorEastAsia"/>
          <w:strike/>
          <w:sz w:val="24"/>
        </w:rPr>
      </w:pPr>
      <w:r>
        <w:rPr>
          <w:rFonts w:hint="eastAsia" w:asciiTheme="minorEastAsia" w:hAnsiTheme="minorEastAsia" w:eastAsiaTheme="minorEastAsia" w:cstheme="minorEastAsia"/>
          <w:sz w:val="24"/>
        </w:rPr>
        <w:t>2、在响应性文件递交截止时间后至确定成交人的</w:t>
      </w:r>
      <w:r>
        <w:fldChar w:fldCharType="begin"/>
      </w:r>
      <w:r>
        <w:instrText xml:space="preserve"> HYPERLINK "https://baike.so.com/doc/5394983-5632135.html" \t "https://baike.so.com/doc/_blank" </w:instrText>
      </w:r>
      <w:r>
        <w:fldChar w:fldCharType="separate"/>
      </w:r>
      <w:r>
        <w:rPr>
          <w:rFonts w:hint="eastAsia" w:asciiTheme="minorEastAsia" w:hAnsiTheme="minorEastAsia" w:eastAsiaTheme="minorEastAsia" w:cstheme="minorEastAsia"/>
          <w:sz w:val="24"/>
        </w:rPr>
        <w:t>投标有效期</w:t>
      </w:r>
      <w:r>
        <w:rPr>
          <w:rFonts w:hint="eastAsia" w:asciiTheme="minorEastAsia" w:hAnsiTheme="minorEastAsia" w:eastAsiaTheme="minorEastAsia" w:cstheme="minorEastAsia"/>
          <w:sz w:val="24"/>
        </w:rPr>
        <w:fldChar w:fldCharType="end"/>
      </w:r>
      <w:r>
        <w:rPr>
          <w:rFonts w:hint="eastAsia" w:asciiTheme="minorEastAsia" w:hAnsiTheme="minorEastAsia" w:eastAsiaTheme="minorEastAsia" w:cstheme="minorEastAsia"/>
          <w:sz w:val="24"/>
        </w:rPr>
        <w:t>内，我单位不得要求退出竞标或者修改响应性文件。</w:t>
      </w:r>
    </w:p>
    <w:p>
      <w:pPr>
        <w:widowControl/>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3、我方明白采购人不一定接纳最低投标报价的采购，也不需要采购人解释选择或否决任何供应商的原因和理由。</w:t>
      </w: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p>
    <w:p>
      <w:pPr>
        <w:widowControl/>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供应商：（盖章）</w:t>
      </w:r>
    </w:p>
    <w:p>
      <w:pPr>
        <w:widowControl/>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法定代表人或授权委托代理人：（签字或盖章）</w:t>
      </w:r>
    </w:p>
    <w:p>
      <w:pPr>
        <w:widowControl/>
        <w:spacing w:line="360" w:lineRule="auto"/>
        <w:ind w:firstLine="480" w:firstLineChars="200"/>
        <w:rPr>
          <w:rFonts w:ascii="宋体" w:hAnsi="宋体"/>
          <w:b/>
          <w:bCs/>
          <w:kern w:val="0"/>
          <w:sz w:val="32"/>
          <w:szCs w:val="32"/>
        </w:rPr>
      </w:pPr>
      <w:r>
        <w:rPr>
          <w:rFonts w:hint="eastAsia" w:ascii="宋体" w:hAnsi="宋体"/>
          <w:kern w:val="0"/>
          <w:sz w:val="24"/>
        </w:rPr>
        <w:t>年      月      日</w:t>
      </w:r>
    </w:p>
    <w:p>
      <w:pPr>
        <w:spacing w:line="500" w:lineRule="exact"/>
        <w:jc w:val="center"/>
        <w:outlineLvl w:val="2"/>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bookmarkStart w:id="296" w:name="_Toc31291"/>
      <w:bookmarkStart w:id="297" w:name="_Toc208"/>
      <w:bookmarkStart w:id="298" w:name="_Toc9543"/>
      <w:bookmarkStart w:id="299" w:name="_Toc14778"/>
      <w:bookmarkStart w:id="300" w:name="_Toc16691"/>
      <w:r>
        <w:rPr>
          <w:rFonts w:hint="eastAsia" w:asciiTheme="minorEastAsia" w:hAnsiTheme="minorEastAsia" w:eastAsiaTheme="minorEastAsia" w:cstheme="minorEastAsia"/>
          <w:b/>
          <w:bCs/>
          <w:sz w:val="28"/>
          <w:szCs w:val="28"/>
        </w:rPr>
        <w:t>（二） 开标一览表</w:t>
      </w:r>
      <w:bookmarkEnd w:id="296"/>
      <w:bookmarkEnd w:id="297"/>
      <w:bookmarkEnd w:id="298"/>
      <w:bookmarkEnd w:id="299"/>
      <w:bookmarkEnd w:id="300"/>
    </w:p>
    <w:p>
      <w:pPr>
        <w:jc w:val="center"/>
        <w:rPr>
          <w:rFonts w:asciiTheme="minorEastAsia" w:hAnsiTheme="minorEastAsia" w:eastAsiaTheme="minorEastAsia" w:cstheme="minorEastAsia"/>
          <w:b/>
          <w:bCs/>
          <w:sz w:val="28"/>
        </w:rPr>
      </w:pPr>
    </w:p>
    <w:tbl>
      <w:tblPr>
        <w:tblStyle w:val="24"/>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w:t>
            </w:r>
          </w:p>
        </w:tc>
        <w:tc>
          <w:tcPr>
            <w:tcW w:w="5898" w:type="dxa"/>
            <w:vAlign w:val="center"/>
          </w:tcPr>
          <w:p>
            <w:pPr>
              <w:pStyle w:val="11"/>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 标 人</w:t>
            </w:r>
          </w:p>
        </w:tc>
        <w:tc>
          <w:tcPr>
            <w:tcW w:w="5898" w:type="dxa"/>
            <w:vAlign w:val="center"/>
          </w:tcPr>
          <w:p>
            <w:pPr>
              <w:pStyle w:val="11"/>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投标总报价</w:t>
            </w:r>
          </w:p>
        </w:tc>
        <w:tc>
          <w:tcPr>
            <w:tcW w:w="5898" w:type="dxa"/>
            <w:vAlign w:val="center"/>
          </w:tcPr>
          <w:p>
            <w:pPr>
              <w:pStyle w:val="11"/>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（大写）                                </w:t>
            </w:r>
          </w:p>
          <w:p>
            <w:pPr>
              <w:pStyle w:val="11"/>
              <w:spacing w:line="400" w:lineRule="exact"/>
              <w:ind w:firstLine="480"/>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质量标准</w:t>
            </w:r>
          </w:p>
        </w:tc>
        <w:tc>
          <w:tcPr>
            <w:tcW w:w="5898" w:type="dxa"/>
            <w:vAlign w:val="center"/>
          </w:tcPr>
          <w:p>
            <w:pPr>
              <w:pStyle w:val="11"/>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bCs/>
                <w:iCs/>
                <w:sz w:val="24"/>
              </w:rPr>
              <w:t>服务期</w:t>
            </w:r>
          </w:p>
        </w:tc>
        <w:tc>
          <w:tcPr>
            <w:tcW w:w="5898" w:type="dxa"/>
            <w:vAlign w:val="center"/>
          </w:tcPr>
          <w:p>
            <w:pPr>
              <w:pStyle w:val="11"/>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sz w:val="24"/>
              </w:rPr>
            </w:pPr>
            <w:r>
              <w:rPr>
                <w:rFonts w:hint="eastAsia" w:asciiTheme="minorEastAsia" w:hAnsiTheme="minorEastAsia" w:eastAsiaTheme="minorEastAsia" w:cstheme="minorEastAsia"/>
                <w:bCs/>
                <w:iCs/>
                <w:sz w:val="24"/>
              </w:rPr>
              <w:t>投标有效期</w:t>
            </w:r>
          </w:p>
        </w:tc>
        <w:tc>
          <w:tcPr>
            <w:tcW w:w="5898" w:type="dxa"/>
            <w:vAlign w:val="center"/>
          </w:tcPr>
          <w:p>
            <w:pPr>
              <w:pStyle w:val="11"/>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11"/>
              <w:spacing w:line="400" w:lineRule="exact"/>
              <w:ind w:firstLine="480"/>
              <w:rPr>
                <w:rFonts w:asciiTheme="minorEastAsia" w:hAnsiTheme="minorEastAsia" w:eastAsiaTheme="minorEastAsia" w:cstheme="minorEastAsia"/>
                <w:bCs/>
                <w:iCs/>
                <w:sz w:val="24"/>
              </w:rPr>
            </w:pPr>
            <w:r>
              <w:rPr>
                <w:rFonts w:hint="eastAsia" w:asciiTheme="minorEastAsia" w:hAnsiTheme="minorEastAsia" w:eastAsiaTheme="minorEastAsia" w:cstheme="minorEastAsia"/>
                <w:sz w:val="24"/>
                <w:szCs w:val="20"/>
              </w:rPr>
              <w:t>备注：</w:t>
            </w:r>
          </w:p>
        </w:tc>
        <w:tc>
          <w:tcPr>
            <w:tcW w:w="5898" w:type="dxa"/>
            <w:vAlign w:val="center"/>
          </w:tcPr>
          <w:p>
            <w:pPr>
              <w:pStyle w:val="11"/>
              <w:spacing w:line="400" w:lineRule="exact"/>
              <w:ind w:firstLine="480"/>
              <w:rPr>
                <w:rFonts w:asciiTheme="minorEastAsia" w:hAnsiTheme="minorEastAsia" w:eastAsiaTheme="minorEastAsia" w:cstheme="minorEastAsia"/>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11"/>
              <w:spacing w:line="400" w:lineRule="exact"/>
              <w:ind w:firstLine="480"/>
              <w:rPr>
                <w:rFonts w:asciiTheme="minorEastAsia" w:hAnsiTheme="minorEastAsia" w:eastAsiaTheme="minorEastAsia" w:cstheme="minorEastAsia"/>
                <w:sz w:val="24"/>
                <w:szCs w:val="20"/>
              </w:rPr>
            </w:pPr>
          </w:p>
        </w:tc>
      </w:tr>
    </w:tbl>
    <w:p>
      <w:pPr>
        <w:spacing w:line="360" w:lineRule="exact"/>
        <w:jc w:val="right"/>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p>
    <w:p>
      <w:pPr>
        <w:ind w:firstLine="3240" w:firstLineChars="135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投标人：（单位公章）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法定代表人</w:t>
      </w:r>
      <w:r>
        <w:rPr>
          <w:rFonts w:hint="eastAsia" w:asciiTheme="minorEastAsia" w:hAnsiTheme="minorEastAsia" w:eastAsiaTheme="minorEastAsia" w:cstheme="minorEastAsia"/>
          <w:sz w:val="24"/>
          <w:szCs w:val="20"/>
        </w:rPr>
        <w:t>或其委托代理人</w:t>
      </w:r>
      <w:r>
        <w:rPr>
          <w:rFonts w:hint="eastAsia" w:asciiTheme="minorEastAsia" w:hAnsiTheme="minorEastAsia" w:eastAsiaTheme="minorEastAsia" w:cstheme="minorEastAsia"/>
          <w:sz w:val="24"/>
        </w:rPr>
        <w:t>：（签字或盖章）</w:t>
      </w:r>
    </w:p>
    <w:p>
      <w:pPr>
        <w:ind w:left="1050" w:leftChars="500"/>
        <w:jc w:val="center"/>
        <w:rPr>
          <w:rFonts w:asciiTheme="minorEastAsia" w:hAnsiTheme="minorEastAsia" w:eastAsiaTheme="minorEastAsia" w:cstheme="minorEastAsia"/>
          <w:sz w:val="24"/>
        </w:rPr>
      </w:pPr>
    </w:p>
    <w:p>
      <w:pPr>
        <w:ind w:left="1050" w:leftChars="500"/>
        <w:jc w:val="cente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期：     年   月   日</w:t>
      </w:r>
    </w:p>
    <w:p>
      <w:pPr>
        <w:rPr>
          <w:rFonts w:asciiTheme="minorEastAsia" w:hAnsiTheme="minorEastAsia" w:eastAsiaTheme="minorEastAsia" w:cstheme="minorEastAsia"/>
        </w:rPr>
      </w:pPr>
    </w:p>
    <w:p>
      <w:pPr>
        <w:rPr>
          <w:rFonts w:asciiTheme="minorEastAsia" w:hAnsiTheme="minorEastAsia" w:eastAsiaTheme="minorEastAsia" w:cstheme="minorEastAsia"/>
        </w:rPr>
      </w:pPr>
    </w:p>
    <w:p>
      <w:pPr>
        <w:pStyle w:val="2"/>
        <w:rPr>
          <w:rFonts w:asciiTheme="minorEastAsia" w:hAnsiTheme="minorEastAsia" w:eastAsiaTheme="minorEastAsia" w:cstheme="minorEastAsia"/>
          <w:sz w:val="24"/>
        </w:rPr>
      </w:pPr>
    </w:p>
    <w:p>
      <w:pPr>
        <w:pStyle w:val="21"/>
        <w:spacing w:before="120" w:after="120" w:line="500" w:lineRule="exact"/>
        <w:ind w:right="29" w:rightChars="14"/>
        <w:outlineLvl w:val="1"/>
        <w:rPr>
          <w:rFonts w:asciiTheme="minorEastAsia" w:hAnsiTheme="minorEastAsia" w:eastAsiaTheme="minorEastAsia" w:cstheme="minorEastAsia"/>
          <w:sz w:val="24"/>
        </w:rPr>
      </w:pPr>
    </w:p>
    <w:p>
      <w:pPr>
        <w:pStyle w:val="21"/>
        <w:spacing w:before="120" w:after="120" w:line="500" w:lineRule="exact"/>
        <w:ind w:right="29" w:rightChars="14"/>
        <w:outlineLvl w:val="1"/>
        <w:rPr>
          <w:rFonts w:asciiTheme="minorEastAsia" w:hAnsiTheme="minorEastAsia" w:eastAsiaTheme="minorEastAsia" w:cstheme="minorEastAsia"/>
          <w:sz w:val="24"/>
        </w:rPr>
        <w:sectPr>
          <w:headerReference r:id="rId5" w:type="default"/>
          <w:footerReference r:id="rId6" w:type="default"/>
          <w:pgSz w:w="11907" w:h="16840"/>
          <w:pgMar w:top="1276" w:right="1116" w:bottom="1417" w:left="911" w:header="850" w:footer="998" w:gutter="0"/>
          <w:pgNumType w:fmt="numberInDash"/>
          <w:cols w:space="720" w:num="1"/>
          <w:docGrid w:type="lines" w:linePitch="380" w:charSpace="0"/>
        </w:sectPr>
      </w:pPr>
    </w:p>
    <w:p>
      <w:pPr>
        <w:pStyle w:val="23"/>
        <w:ind w:firstLine="480"/>
        <w:rPr>
          <w:rFonts w:asciiTheme="minorEastAsia" w:hAnsiTheme="minorEastAsia" w:eastAsiaTheme="minorEastAsia" w:cstheme="minorEastAsia"/>
          <w:sz w:val="24"/>
        </w:rPr>
      </w:pPr>
    </w:p>
    <w:p>
      <w:pPr>
        <w:pStyle w:val="21"/>
        <w:numPr>
          <w:ilvl w:val="0"/>
          <w:numId w:val="13"/>
        </w:numPr>
        <w:spacing w:before="120" w:after="120" w:line="500" w:lineRule="exact"/>
        <w:ind w:right="29" w:rightChars="14"/>
        <w:outlineLvl w:val="1"/>
        <w:rPr>
          <w:rFonts w:asciiTheme="minorEastAsia" w:hAnsiTheme="minorEastAsia" w:eastAsiaTheme="minorEastAsia" w:cstheme="minorEastAsia"/>
          <w:sz w:val="30"/>
          <w:szCs w:val="30"/>
        </w:rPr>
      </w:pPr>
      <w:bookmarkStart w:id="301" w:name="_Toc2213"/>
      <w:bookmarkStart w:id="302" w:name="_Toc5614"/>
      <w:bookmarkStart w:id="303" w:name="_Toc26698"/>
      <w:bookmarkStart w:id="304" w:name="_Toc28839"/>
      <w:r>
        <w:rPr>
          <w:rFonts w:hint="eastAsia" w:asciiTheme="minorEastAsia" w:hAnsiTheme="minorEastAsia" w:eastAsiaTheme="minorEastAsia" w:cstheme="minorEastAsia"/>
          <w:sz w:val="30"/>
          <w:szCs w:val="30"/>
        </w:rPr>
        <w:t>法定代表人身份证明书</w:t>
      </w:r>
      <w:bookmarkEnd w:id="301"/>
      <w:bookmarkEnd w:id="302"/>
      <w:bookmarkEnd w:id="303"/>
      <w:bookmarkEnd w:id="304"/>
    </w:p>
    <w:p/>
    <w:p>
      <w:pPr>
        <w:spacing w:line="360" w:lineRule="auto"/>
        <w:ind w:firstLine="480" w:firstLineChars="200"/>
        <w:rPr>
          <w:rFonts w:ascii="宋体" w:hAnsi="宋体"/>
          <w:sz w:val="24"/>
        </w:rPr>
      </w:pPr>
      <w:r>
        <w:rPr>
          <w:rFonts w:hint="eastAsia" w:ascii="宋体" w:hAnsi="宋体"/>
          <w:sz w:val="24"/>
          <w:szCs w:val="18"/>
        </w:rPr>
        <w:t>投标人</w:t>
      </w:r>
      <w:r>
        <w:rPr>
          <w:rFonts w:hint="eastAsia" w:ascii="宋体" w:hAnsi="宋体"/>
          <w:sz w:val="24"/>
        </w:rPr>
        <w:t>名称：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单位性质：</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地址：</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成立时间：</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spacing w:line="360" w:lineRule="auto"/>
        <w:ind w:firstLine="480" w:firstLineChars="200"/>
        <w:rPr>
          <w:rFonts w:ascii="宋体" w:hAnsi="宋体"/>
          <w:sz w:val="24"/>
        </w:rPr>
      </w:pPr>
      <w:r>
        <w:rPr>
          <w:rFonts w:hint="eastAsia" w:ascii="宋体" w:hAnsi="宋体"/>
          <w:sz w:val="24"/>
        </w:rPr>
        <w:t>经营期限：</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姓名：</w:t>
      </w:r>
      <w:r>
        <w:rPr>
          <w:rFonts w:hint="eastAsia" w:ascii="宋体" w:hAnsi="宋体"/>
          <w:sz w:val="24"/>
          <w:u w:val="single"/>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hint="eastAsia" w:ascii="宋体" w:hAnsi="宋体"/>
          <w:sz w:val="24"/>
        </w:rPr>
        <w:t>_</w:t>
      </w:r>
    </w:p>
    <w:p>
      <w:pPr>
        <w:spacing w:line="360" w:lineRule="auto"/>
        <w:ind w:firstLine="480" w:firstLineChars="200"/>
        <w:rPr>
          <w:rFonts w:ascii="宋体" w:hAnsi="宋体"/>
          <w:sz w:val="24"/>
        </w:rPr>
      </w:pPr>
      <w:r>
        <w:rPr>
          <w:rFonts w:hint="eastAsia" w:ascii="宋体" w:hAnsi="宋体"/>
          <w:sz w:val="24"/>
        </w:rPr>
        <w:t>系</w:t>
      </w:r>
      <w:r>
        <w:rPr>
          <w:rFonts w:hint="eastAsia" w:ascii="宋体" w:hAnsi="宋体"/>
          <w:sz w:val="24"/>
          <w:u w:val="single"/>
        </w:rPr>
        <w:t xml:space="preserve">                                </w:t>
      </w:r>
      <w:r>
        <w:rPr>
          <w:rFonts w:hint="eastAsia" w:ascii="宋体" w:hAnsi="宋体"/>
          <w:sz w:val="24"/>
        </w:rPr>
        <w:t>（投标人名称）的法定代表人。</w:t>
      </w:r>
    </w:p>
    <w:p>
      <w:pPr>
        <w:spacing w:line="360" w:lineRule="auto"/>
        <w:ind w:firstLine="480" w:firstLineChars="200"/>
        <w:rPr>
          <w:rFonts w:ascii="宋体" w:hAnsi="宋体"/>
          <w:sz w:val="24"/>
        </w:rPr>
      </w:pPr>
      <w:r>
        <w:rPr>
          <w:rFonts w:hint="eastAsia" w:ascii="宋体" w:hAnsi="宋体"/>
          <w:sz w:val="24"/>
        </w:rPr>
        <w:t>特此证明。</w:t>
      </w:r>
    </w:p>
    <w:p>
      <w:pPr>
        <w:pStyle w:val="5"/>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2649220</wp:posOffset>
                </wp:positionH>
                <wp:positionV relativeFrom="paragraph">
                  <wp:posOffset>346710</wp:posOffset>
                </wp:positionV>
                <wp:extent cx="3134360" cy="2108200"/>
                <wp:effectExtent l="9525" t="5080" r="8890" b="1270"/>
                <wp:wrapNone/>
                <wp:docPr id="12" name="AutoShape 2"/>
                <wp:cNvGraphicFramePr/>
                <a:graphic xmlns:a="http://schemas.openxmlformats.org/drawingml/2006/main">
                  <a:graphicData uri="http://schemas.microsoft.com/office/word/2010/wordprocessingShape">
                    <wps:wsp>
                      <wps:cNvSpPr>
                        <a:spLocks noChangeArrowheads="1"/>
                      </wps:cNvSpPr>
                      <wps:spPr bwMode="auto">
                        <a:xfrm>
                          <a:off x="0" y="0"/>
                          <a:ext cx="3134360" cy="2108200"/>
                        </a:xfrm>
                        <a:prstGeom prst="flowChartAlternateProcess">
                          <a:avLst/>
                        </a:prstGeom>
                        <a:solidFill>
                          <a:srgbClr val="FFFFFF"/>
                        </a:solidFill>
                        <a:ln w="9525">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shape id="AutoShape 2" o:spid="_x0000_s1026" o:spt="176" type="#_x0000_t176" style="position:absolute;left:0pt;margin-left:208.6pt;margin-top:27.3pt;height:166pt;width:246.8pt;z-index:251661312;mso-width-relative:page;mso-height-relative:page;" fillcolor="#FFFFFF" filled="t" stroked="t" coordsize="21600,21600" o:gfxdata="UEsDBAoAAAAAAIdO4kAAAAAAAAAAAAAAAAAEAAAAZHJzL1BLAwQUAAAACACHTuJA2hn1c9kAAAAK&#10;AQAADwAAAGRycy9kb3ducmV2LnhtbE2PwU7DMBBE70j8g7VI3KjttrhpGqdCIDhxIVTi6sRuHBGv&#10;o9hJA1+POcFxtU8zb4rj4noymzF0HiXwFQNisPG6w1bC6f35LgMSokKteo9GwpcJcCyvrwqVa3/B&#10;NzNXsSUpBEOuJNgYh5zS0FjjVFj5wWD6nf3oVEzn2FI9qksKdz1dMyaoUx2mBqsG82hN81lNTsLy&#10;+l3vpxfeVNFmYvexmZ8eTlTK2xvODkCiWeIfDL/6SR3K5FT7CXUgvYQt360TKuF+K4AkYM9Z2lJL&#10;2GRCAC0L+n9C+QNQSwMEFAAAAAgAh07iQGrC1io5AgAAlAQAAA4AAABkcnMvZTJvRG9jLnhtbK1U&#10;wW7bMAy9D9g/CLqvjt20S404RdCiw4BuLdDtAxRZjoVJokYpcbqvHyW7Xdrt0MN8EESReiQfn7y8&#10;PFjD9gqDBtfw8mTGmXISWu22Df/+7ebDgrMQhWuFAaca/qgCv1y9f7ccfK0q6MG0ChmBuFAPvuF9&#10;jL4uiiB7ZUU4Aa8cOTtAKyKZuC1aFAOhW1NUs9l5MQC2HkGqEOj0enTyCRHfAghdp6W6BrmzysUR&#10;FZURkVoKvfaBr3K1XadkvOu6oCIzDadOY14pCe03aS1WS1FvUfhey6kE8ZYSXvVkhXaU9BnqWkTB&#10;dqj/grJaIgTo4okEW4yNZEaoi3L2ipuHXniVeyGqg38mPfw/WPl1f49Mt6SEijMnLE18vYuQU7Mq&#10;8TP4UFPYg7/H1GHwtyB/BObgqhduq9aIMPRKtFRVmeKLFxeSEegq2wxfoCV0QeiZqkOHNgESCeyQ&#10;J/L4PBF1iEzS4Wl5Oj89p2FJ8lXlbEEKyjlE/XTdY4ifFFiWNg3vDAxUGMa1iQqdiOp+1FrOKfa3&#10;IaYaRf10L/cERrc32phs4HZzZZDtBWnmJn9TynAcZhwbGn5xVp1l5Be+cAwxy9+/IKymEpnRtuGL&#10;4yDjJhYTceMA4mFzmGaxgfaR+EQYxUxPmTY94C/OBhJyw8PPnUDFmfnsaCYX5XyelJ+N+dnHigw8&#10;9myOPcJJgmp45GzcXsXxtew86m1PmcrcroOkkk5nMtOMx6qmukmsmePpYaXXcGznqD8/k9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2hn1c9kAAAAKAQAADwAAAAAAAAABACAAAAAiAAAAZHJzL2Rv&#10;d25yZXYueG1sUEsBAhQAFAAAAAgAh07iQGrC1io5AgAAlAQAAA4AAAAAAAAAAQAgAAAAKAEAAGRy&#10;cy9lMm9Eb2MueG1sUEsFBgAAAAAGAAYAWQEAANMFAAAAAA==&#10;">
                <v:fill on="t" focussize="0,0"/>
                <v:stroke color="#000000" miterlimit="8" joinstyle="miter"/>
                <v:imagedata o:title=""/>
                <o:lock v:ext="edit" aspectratio="f"/>
                <v:textbox>
                  <w:txbxContent>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-297180</wp:posOffset>
                </wp:positionH>
                <wp:positionV relativeFrom="paragraph">
                  <wp:posOffset>274955</wp:posOffset>
                </wp:positionV>
                <wp:extent cx="2912745" cy="2235200"/>
                <wp:effectExtent l="6350" t="9525" r="5080" b="3175"/>
                <wp:wrapNone/>
                <wp:docPr id="11" name="AutoShape 3"/>
                <wp:cNvGraphicFramePr/>
                <a:graphic xmlns:a="http://schemas.openxmlformats.org/drawingml/2006/main">
                  <a:graphicData uri="http://schemas.microsoft.com/office/word/2010/wordprocessingShape">
                    <wps:wsp>
                      <wps:cNvSpPr>
                        <a:spLocks noChangeArrowheads="1"/>
                      </wps:cNvSpPr>
                      <wps:spPr bwMode="auto">
                        <a:xfrm>
                          <a:off x="0" y="0"/>
                          <a:ext cx="2912745" cy="2235200"/>
                        </a:xfrm>
                        <a:prstGeom prst="flowChartAlternateProcess">
                          <a:avLst/>
                        </a:prstGeom>
                        <a:solidFill>
                          <a:srgbClr val="FFFFFF"/>
                        </a:solidFill>
                        <a:ln w="9525">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shape id="AutoShape 3" o:spid="_x0000_s1026" o:spt="176" type="#_x0000_t176" style="position:absolute;left:0pt;margin-left:-23.4pt;margin-top:21.65pt;height:176pt;width:229.35pt;z-index:251659264;mso-width-relative:page;mso-height-relative:page;" fillcolor="#FFFFFF" filled="t" stroked="t" coordsize="21600,21600" o:gfxdata="UEsDBAoAAAAAAIdO4kAAAAAAAAAAAAAAAAAEAAAAZHJzL1BLAwQUAAAACACHTuJAVzWmZdkAAAAK&#10;AQAADwAAAGRycy9kb3ducmV2LnhtbE2PQU+EMBSE7yb+h+aZeNsttYgLy2NjNHryIm7itdAuJdKW&#10;0MKiv956co+Tmcx8Ux5WM5BFTb53FoFtEyDKtk72tkM4frxsdkB8EFaKwVmF8K08HKrrq1IU0p3t&#10;u1rq0JFYYn0hEHQIY0Gpb7Uywm/dqGz0Tm4yIkQ5dVRO4hzLzUDvkiSjRvQ2Lmgxqiet2q96Ngjr&#10;20+Tz6+srYPeZQ+ffHl+PFLE2xuW7IEEtYb/MPzhR3SoIlPjZis9GRA2aRbRA0LKOZAYSBnLgTQI&#10;PL/nQKuSXl6ofgFQSwMEFAAAAAgAh07iQAaRKnA5AgAAlAQAAA4AAABkcnMvZTJvRG9jLnhtbK1U&#10;wW7bMAy9D9g/CLqvjt1kbY06RZCiw4BuLdDtAxRZjoVJokYpcbqvHyW7Xdrt0MN8EESReiQfn3x5&#10;dbCG7RUGDa7h5cmMM+UktNptG/79282Hc85CFK4VBpxq+KMK/Gr5/t3l4GtVQQ+mVcgIxIV68A3v&#10;Y/R1UQTZKyvCCXjlyNkBWhHJxG3RohgI3Zqims0+FgNg6xGkCoFOr0cnnxDxLYDQdVqqa5A7q1wc&#10;UVEZEaml0Gsf+DJX23VKxruuCyoy03DqNOaVktB+k9ZieSnqLQrfazmVIN5SwquerNCOkj5DXYso&#10;2A71X1BWS4QAXTyRYIuxkcwIdVHOXnHz0Auvci9EdfDPpIf/Byu/7u+R6ZaUUHLmhKWJr3YRcmp2&#10;mvgZfKgp7MHfY+ow+FuQPwJzsO6F26oVIgy9Ei1VVab44sWFZAS6yjbDF2gJXRB6purQoU2ARAI7&#10;5Ik8Pk9EHSKTdFhdlNXZfMGZJF9VnS5IQTmHqJ+uewzxkwLL0qbhnYGBCsO4MlGhE1Hdj1rLOcX+&#10;NsRUo6if7uWewOj2RhuTDdxu1gbZXpBmbvI3pQzHYcaxoeEXi2qRkV/4wjHELH//grCaSmRG24af&#10;HwcZN7GYiBsHEA+bwzSLDbSPxCfCKGZ6yrTpAX9xNpCQGx5+7gQqzsxnRzO5KOfzpPxszBdnFRl4&#10;7Nkce4STBNXwyNm4Xcfxtew86m1PmcrcroOkkk5nMtOMx6qmukmsmePpYaXXcGznqD8/k+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VzWmZdkAAAAKAQAADwAAAAAAAAABACAAAAAiAAAAZHJzL2Rv&#10;d25yZXYueG1sUEsBAhQAFAAAAAgAh07iQAaRKnA5AgAAlAQAAA4AAAAAAAAAAQAgAAAAKAEAAGRy&#10;cy9lMm9Eb2MueG1sUEsFBgAAAAAGAAYAWQEAANMFAAAAAA==&#10;">
                <v:fill on="t" focussize="0,0"/>
                <v:stroke color="#000000" miterlimit="8" joinstyle="miter"/>
                <v:imagedata o:title=""/>
                <o:lock v:ext="edit" aspectratio="f"/>
                <v:textbox>
                  <w:txbxContent>
                    <w:p/>
                  </w:txbxContent>
                </v:textbox>
              </v:shape>
            </w:pict>
          </mc:Fallback>
        </mc:AlternateContent>
      </w:r>
    </w:p>
    <w:p>
      <w:pPr>
        <w:rPr>
          <w:rFonts w:ascii="宋体" w:hAnsi="宋体"/>
          <w:sz w:val="24"/>
        </w:rPr>
      </w:pPr>
    </w:p>
    <w:p>
      <w:pPr>
        <w:pStyle w:val="5"/>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-263525</wp:posOffset>
                </wp:positionH>
                <wp:positionV relativeFrom="paragraph">
                  <wp:posOffset>363220</wp:posOffset>
                </wp:positionV>
                <wp:extent cx="2810510" cy="296545"/>
                <wp:effectExtent l="1905" t="0" r="6985" b="8255"/>
                <wp:wrapNone/>
                <wp:docPr id="10" name="Text Box 4"/>
                <wp:cNvGraphicFramePr/>
                <a:graphic xmlns:a="http://schemas.openxmlformats.org/drawingml/2006/main">
                  <a:graphicData uri="http://schemas.microsoft.com/office/word/2010/wordprocessingShape">
                    <wps:wsp>
                      <wps:cNvSpPr txBox="1">
                        <a:spLocks noChangeArrowheads="1"/>
                      </wps:cNvSpPr>
                      <wps:spPr bwMode="auto">
                        <a:xfrm>
                          <a:off x="0" y="0"/>
                          <a:ext cx="2810510" cy="296545"/>
                        </a:xfrm>
                        <a:prstGeom prst="rect">
                          <a:avLst/>
                        </a:prstGeom>
                        <a:solidFill>
                          <a:srgbClr val="FFFFFF"/>
                        </a:solidFill>
                        <a:ln w="9525">
                          <a:solidFill>
                            <a:srgbClr val="000000"/>
                          </a:solidFill>
                          <a:miter lim="800000"/>
                        </a:ln>
                      </wps:spPr>
                      <wps:txbx>
                        <w:txbxContent>
                          <w:p>
                            <w:r>
                              <w:rPr>
                                <w:rFonts w:hint="eastAsia" w:ascii="宋体" w:hAnsi="宋体"/>
                                <w:sz w:val="24"/>
                              </w:rPr>
                              <w:t>法定代表人身份证复印件粘贴处（正面）</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20.75pt;margin-top:28.6pt;height:23.35pt;width:221.3pt;z-index:251660288;mso-width-relative:page;mso-height-relative:page;" fillcolor="#FFFFFF" filled="t" stroked="t" coordsize="21600,21600" o:gfxdata="UEsDBAoAAAAAAIdO4kAAAAAAAAAAAAAAAAAEAAAAZHJzL1BLAwQUAAAACACHTuJAuD6aStkAAAAK&#10;AQAADwAAAGRycy9kb3ducmV2LnhtbE2Py07DMBBF90j8gzVIbFBru01fIU4XSCDYQUGwdWM3ibDH&#10;wXbT8vcMK1iO7tG9Z6rt2Ts22pj6gArkVACz2ATTY6vg7fV+sgaWskajXUCr4Nsm2NaXF5UuTTjh&#10;ix13uWVUgqnUCrqch5Lz1HTW6zQNg0XKDiF6nemMLTdRn6jcOz4TYsm97pEWOj3Yu842n7ujV7Au&#10;HseP9DR/fm+WB7fJN6vx4SsqdX0lxS2wbM/5D4ZffVKHmpz24YgmMadgUsgFoQoWqxkwAgohJbA9&#10;kWK+AV5X/P8L9Q9QSwMEFAAAAAgAh07iQKLKwVswAgAAhwQAAA4AAABkcnMvZTJvRG9jLnhtbK1U&#10;227bMAx9H7B/EPS+OAmSLjHqFF2LDAO6C9DuAxRZjoVJokYpsbOvHyW7XdZtQB/mB0EUqcPDQ9GX&#10;V7017KgwaHAVn02mnCknodZuX/GvD9s3K85CFK4WBpyq+EkFfrV5/eqy86WaQwumVsgIxIWy8xVv&#10;Y/RlUQTZKivCBLxy5GwArYhk4r6oUXSEbk0xn04vig6w9ghShUCnt4OTj4j4EkBoGi3VLciDVS4O&#10;qKiMiFRSaLUPfJPZNo2S8XPTBBWZqThVGvNKSWi/S2uxuRTlHoVvtRwpiJdQeFaTFdpR0ieoWxEF&#10;O6D+A8pqiRCgiRMJthgKyYpQFbPpM23uW+FVroWkDv5J9PD/YOWn4xdkuqaXQJI4YanjD6qP7B30&#10;bJHk6XwoKereU1zs6ZhCc6nB34H8FpiDm1a4vbpGhK5VoiZ6s3SzOLs64IQEsus+Qk1pxCFCBuob&#10;tEk7UoMROvE4PbUmUZF0OF/NpstEUZJvvr5YLpY5hSgfb3sM8b0Cy9Km4kitz+jieBdiYiPKx5CU&#10;LIDR9VYbkw3c724MsqOgZ7LN34j+W5hxrKv4ejlfDgL8E2Kav79BWB1peoy2FV+dBxk36pUkGsSK&#10;/a4f9d9BfSLlEIb3S9NLmxbwB2cdvd2Kh+8HgYoz88GR+uvZYkFSxWwslm/nZOC5Z3fuEU4SVMUj&#10;Z8P2Jg4DcvCo9y1lGvrt4Jo61ugsZmrtwGrkTe8zazzOUhqAcztH/fp/bH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uD6aStkAAAAKAQAADwAAAAAAAAABACAAAAAiAAAAZHJzL2Rvd25yZXYueG1s&#10;UEsBAhQAFAAAAAgAh07iQKLKwVswAgAAhwQAAA4AAAAAAAAAAQAgAAAAKAEAAGRycy9lMm9Eb2Mu&#10;eG1sUEsFBgAAAAAGAAYAWQEAAMoFAAAAAA==&#10;">
                <v:fill on="t" focussize="0,0"/>
                <v:stroke color="#000000" miterlimit="8" joinstyle="miter"/>
                <v:imagedata o:title=""/>
                <o:lock v:ext="edit" aspectratio="f"/>
                <v:textbox>
                  <w:txbxContent>
                    <w:p>
                      <w:r>
                        <w:rPr>
                          <w:rFonts w:hint="eastAsia" w:ascii="宋体" w:hAnsi="宋体"/>
                          <w:sz w:val="24"/>
                        </w:rPr>
                        <w:t>法定代表人身份证复印件粘贴处（正面）</w:t>
                      </w:r>
                    </w:p>
                  </w:txbxContent>
                </v:textbox>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2781300</wp:posOffset>
                </wp:positionH>
                <wp:positionV relativeFrom="paragraph">
                  <wp:posOffset>361315</wp:posOffset>
                </wp:positionV>
                <wp:extent cx="2810510" cy="296545"/>
                <wp:effectExtent l="8255" t="7620" r="635" b="635"/>
                <wp:wrapNone/>
                <wp:docPr id="9" name="Text Box 5"/>
                <wp:cNvGraphicFramePr/>
                <a:graphic xmlns:a="http://schemas.openxmlformats.org/drawingml/2006/main">
                  <a:graphicData uri="http://schemas.microsoft.com/office/word/2010/wordprocessingShape">
                    <wps:wsp>
                      <wps:cNvSpPr txBox="1">
                        <a:spLocks noChangeArrowheads="1"/>
                      </wps:cNvSpPr>
                      <wps:spPr bwMode="auto">
                        <a:xfrm>
                          <a:off x="0" y="0"/>
                          <a:ext cx="2810510" cy="296545"/>
                        </a:xfrm>
                        <a:prstGeom prst="rect">
                          <a:avLst/>
                        </a:prstGeom>
                        <a:solidFill>
                          <a:srgbClr val="FFFFFF"/>
                        </a:solidFill>
                        <a:ln w="9525">
                          <a:solidFill>
                            <a:srgbClr val="000000"/>
                          </a:solidFill>
                          <a:miter lim="800000"/>
                        </a:ln>
                      </wps:spPr>
                      <wps:txbx>
                        <w:txbxContent>
                          <w:p>
                            <w:r>
                              <w:rPr>
                                <w:rFonts w:hint="eastAsia" w:ascii="宋体" w:hAnsi="宋体"/>
                                <w:sz w:val="24"/>
                              </w:rPr>
                              <w:t>法定代表人身份证复印件粘贴处（背面）</w:t>
                            </w:r>
                          </w:p>
                        </w:txbxContent>
                      </wps:txbx>
                      <wps:bodyPr rot="0" vert="horz" wrap="square" lIns="91440" tIns="45720" rIns="91440" bIns="45720" anchor="t" anchorCtr="0" upright="1">
                        <a:noAutofit/>
                      </wps:bodyPr>
                    </wps:wsp>
                  </a:graphicData>
                </a:graphic>
              </wp:anchor>
            </w:drawing>
          </mc:Choice>
          <mc:Fallback>
            <w:pict>
              <v:shape id="Text Box 5" o:spid="_x0000_s1026" o:spt="202" type="#_x0000_t202" style="position:absolute;left:0pt;margin-left:219pt;margin-top:28.45pt;height:23.35pt;width:221.3pt;z-index:251662336;mso-width-relative:page;mso-height-relative:page;" fillcolor="#FFFFFF" filled="t" stroked="t" coordsize="21600,21600" o:gfxdata="UEsDBAoAAAAAAIdO4kAAAAAAAAAAAAAAAAAEAAAAZHJzL1BLAwQUAAAACACHTuJAQ6UFxdkAAAAK&#10;AQAADwAAAGRycy9kb3ducmV2LnhtbE2PwU7DMBBE70j8g7VIXBC1S0rqhjg9IIHgBgWVqxu7SYS9&#10;Drablr9nOcFxtU8zb+r1yTs22ZiGgArmMwHMYhvMgJ2C97eHawksZY1Gu4BWwbdNsG7Oz2pdmXDE&#10;VzttcscoBFOlFfQ5jxXnqe2t12kWRov024fodaYzdtxEfaRw7/iNECX3ekBq6PVo73vbfm4OXoFc&#10;PE0f6bl42bbl3q3y1XJ6/IpKXV7MxR2wbE/5D4ZffVKHhpx24YAmMadgUUjakhXclitgBEgpSmA7&#10;IkVRAm9q/n9C8wNQSwMEFAAAAAgAh07iQBRokPEvAgAAhgQAAA4AAABkcnMvZTJvRG9jLnhtbK1U&#10;wW7bMAy9D9g/CLovToKka4w4RZeiw4BuHdDuAxRZjoVJokYpsbOvHyWnWZBtQA/zQRBF6vHxkfLy&#10;preG7RUGDa7ik9GYM+Uk1NptK/7t+f7dNWchClcLA05V/KACv1m9fbPsfKmm0IKpFTICcaHsfMXb&#10;GH1ZFEG2yoowAq8cORtAKyKZuC1qFB2hW1NMx+OrogOsPYJUIdDp3eDkR0R8DSA0jZbqDuTOKhcH&#10;VFRGRCoptNoHvspsm0bJ+Ng0QUVmKk6VxrxSEtpv0lqslqLcovCtlkcK4jUULmqyQjtKeoK6E1Gw&#10;Heo/oKyWCAGaOJJgi6GQrAhVMRlfaPPUCq9yLSR18CfRw/+DlV/2X5HpuuILzpyw1PBn1Uf2AXo2&#10;T+p0PpQU9OQpLPZ0TDOTKw3+AeT3wBysW+G26hYRulaJmthN0s3i7OqAExLIpvsMNaURuwgZqG/Q&#10;JulIDEbo1JnDqTOJiqTD6fVkPJ+QS5JvuriazzK5QpQvtz2G+FGBZWlTcaTOZ3SxfwgxsRHlS0hK&#10;FsDo+l4bkw3cbtYG2V7QlNznLxdwEWYc60in+XQ+CPBPiHH+/gZhdaTHY7St+PV5kHFHvZJEg1ix&#10;3/RH/TdQH0g5hGF86fHSpgX8yVlHo1vx8GMnUHFmPjlSfzGZzdKsZ2M2fz8lA889m3OPcJKgKh45&#10;G7brOLyPnUe9bSnT0G8Ht9SxRmcxU2sHVkfeNJ5Z4+NTSvN/bueo37+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DpQXF2QAAAAoBAAAPAAAAAAAAAAEAIAAAACIAAABkcnMvZG93bnJldi54bWxQ&#10;SwECFAAUAAAACACHTuJAFGiQ8S8CAACGBAAADgAAAAAAAAABACAAAAAoAQAAZHJzL2Uyb0RvYy54&#10;bWxQSwUGAAAAAAYABgBZAQAAyQUAAAAA&#10;">
                <v:fill on="t" focussize="0,0"/>
                <v:stroke color="#000000" miterlimit="8" joinstyle="miter"/>
                <v:imagedata o:title=""/>
                <o:lock v:ext="edit" aspectratio="f"/>
                <v:textbox>
                  <w:txbxContent>
                    <w:p>
                      <w:r>
                        <w:rPr>
                          <w:rFonts w:hint="eastAsia" w:ascii="宋体" w:hAnsi="宋体"/>
                          <w:sz w:val="24"/>
                        </w:rPr>
                        <w:t>法定代表人身份证复印件粘贴处（背面）</w:t>
                      </w:r>
                    </w:p>
                  </w:txbxContent>
                </v:textbox>
              </v:shape>
            </w:pict>
          </mc:Fallback>
        </mc:AlternateContent>
      </w:r>
    </w:p>
    <w:p>
      <w:pPr>
        <w:rPr>
          <w:rFonts w:ascii="宋体" w:hAnsi="宋体"/>
          <w:sz w:val="24"/>
        </w:rPr>
      </w:pPr>
    </w:p>
    <w:p>
      <w:pPr>
        <w:pStyle w:val="5"/>
      </w:pPr>
    </w:p>
    <w:p>
      <w:pPr>
        <w:spacing w:line="360" w:lineRule="auto"/>
        <w:ind w:firstLine="480" w:firstLineChars="200"/>
        <w:rPr>
          <w:rFonts w:ascii="宋体" w:hAnsi="宋体"/>
          <w:sz w:val="24"/>
        </w:rPr>
      </w:pPr>
    </w:p>
    <w:p>
      <w:pPr>
        <w:spacing w:line="360" w:lineRule="auto"/>
        <w:rPr>
          <w:rFonts w:ascii="宋体" w:hAnsi="宋体"/>
          <w:sz w:val="24"/>
        </w:rPr>
      </w:pPr>
      <w:r>
        <w:rPr>
          <w:rFonts w:hint="eastAsia" w:ascii="宋体" w:hAnsi="宋体"/>
          <w:sz w:val="24"/>
        </w:rPr>
        <w:t>投标人： （盖单位章）</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p>
    <w:p>
      <w:pPr>
        <w:spacing w:line="360" w:lineRule="auto"/>
        <w:ind w:firstLine="5760" w:firstLineChars="2400"/>
        <w:rPr>
          <w:rFonts w:ascii="宋体" w:hAnsi="宋体"/>
          <w:sz w:val="24"/>
        </w:rPr>
      </w:pPr>
      <w:r>
        <w:rPr>
          <w:rFonts w:hint="eastAsia" w:ascii="宋体" w:hAnsi="宋体"/>
          <w:sz w:val="24"/>
        </w:rPr>
        <w:t>年    月     日</w:t>
      </w:r>
    </w:p>
    <w:p>
      <w:pPr>
        <w:spacing w:line="440" w:lineRule="exact"/>
        <w:rPr>
          <w:rFonts w:asciiTheme="minorEastAsia" w:hAnsiTheme="minorEastAsia" w:eastAsiaTheme="minorEastAsia" w:cstheme="minorEastAsia"/>
        </w:rPr>
      </w:pPr>
    </w:p>
    <w:p>
      <w:pPr>
        <w:pStyle w:val="21"/>
        <w:spacing w:before="120" w:after="120" w:line="500" w:lineRule="exact"/>
        <w:ind w:right="29" w:rightChars="14"/>
        <w:outlineLvl w:val="1"/>
        <w:rPr>
          <w:rFonts w:asciiTheme="minorEastAsia" w:hAnsiTheme="minorEastAsia" w:eastAsiaTheme="minorEastAsia" w:cstheme="minorEastAsia"/>
          <w:sz w:val="30"/>
          <w:szCs w:val="30"/>
        </w:rPr>
      </w:pPr>
      <w:bookmarkStart w:id="305" w:name="_Toc15395"/>
      <w:bookmarkStart w:id="306" w:name="_Toc6009"/>
    </w:p>
    <w:p>
      <w:pPr>
        <w:pStyle w:val="21"/>
        <w:spacing w:before="120" w:after="120" w:line="500" w:lineRule="exact"/>
        <w:ind w:right="29" w:rightChars="14"/>
        <w:outlineLvl w:val="1"/>
        <w:rPr>
          <w:rFonts w:asciiTheme="minorEastAsia" w:hAnsiTheme="minorEastAsia" w:eastAsiaTheme="minorEastAsia" w:cstheme="minorEastAsia"/>
          <w:sz w:val="30"/>
          <w:szCs w:val="30"/>
        </w:rPr>
      </w:pPr>
      <w:bookmarkStart w:id="307" w:name="_Toc17980"/>
      <w:bookmarkStart w:id="308" w:name="_Toc17236"/>
      <w:r>
        <w:rPr>
          <w:rFonts w:hint="eastAsia" w:asciiTheme="minorEastAsia" w:hAnsiTheme="minorEastAsia" w:eastAsiaTheme="minorEastAsia" w:cstheme="minorEastAsia"/>
          <w:sz w:val="30"/>
          <w:szCs w:val="30"/>
        </w:rPr>
        <w:t>三、授权委托书</w:t>
      </w:r>
      <w:bookmarkEnd w:id="305"/>
      <w:bookmarkEnd w:id="306"/>
      <w:bookmarkEnd w:id="307"/>
      <w:bookmarkEnd w:id="308"/>
    </w:p>
    <w:p>
      <w:pPr>
        <w:pStyle w:val="5"/>
      </w:pPr>
    </w:p>
    <w:p>
      <w:pPr>
        <w:spacing w:line="360" w:lineRule="auto"/>
        <w:ind w:firstLine="480" w:firstLineChars="200"/>
        <w:rPr>
          <w:rFonts w:ascii="宋体" w:hAnsi="宋体"/>
          <w:sz w:val="24"/>
        </w:rPr>
      </w:pPr>
      <w:r>
        <w:rPr>
          <w:rFonts w:hint="eastAsia" w:ascii="宋体" w:hAnsi="宋体"/>
          <w:sz w:val="24"/>
        </w:rPr>
        <w:t>本人</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（投标人名称）的法定代表人，现委托</w:t>
      </w:r>
      <w:r>
        <w:rPr>
          <w:rFonts w:hint="eastAsia" w:ascii="宋体" w:hAnsi="宋体"/>
          <w:sz w:val="24"/>
          <w:u w:val="single"/>
        </w:rPr>
        <w:t xml:space="preserve">             </w:t>
      </w:r>
      <w:r>
        <w:rPr>
          <w:rFonts w:hint="eastAsia" w:ascii="宋体" w:hAnsi="宋体"/>
          <w:sz w:val="24"/>
        </w:rPr>
        <w:t>（姓名）为我方代理人。代理人根据授权，以我方名义签署、澄清、说明、补正、递交、撤回、修改</w:t>
      </w:r>
      <w:r>
        <w:rPr>
          <w:rFonts w:hint="eastAsia" w:ascii="宋体" w:hAnsi="宋体"/>
          <w:sz w:val="24"/>
          <w:u w:val="single"/>
        </w:rPr>
        <w:t xml:space="preserve">                                 </w:t>
      </w:r>
      <w:r>
        <w:rPr>
          <w:rFonts w:hint="eastAsia" w:ascii="宋体" w:hAnsi="宋体"/>
          <w:sz w:val="24"/>
        </w:rPr>
        <w:t>（项目名称）项目投标文件、签订合同和处理有关事宜，其法律后果由我方承担。</w:t>
      </w:r>
    </w:p>
    <w:p>
      <w:pPr>
        <w:spacing w:line="360" w:lineRule="auto"/>
        <w:ind w:firstLine="480" w:firstLineChars="200"/>
        <w:rPr>
          <w:rFonts w:ascii="宋体" w:hAnsi="宋体"/>
          <w:sz w:val="24"/>
        </w:rPr>
      </w:pPr>
      <w:r>
        <w:rPr>
          <w:rFonts w:hint="eastAsia" w:ascii="宋体" w:hAnsi="宋体"/>
          <w:sz w:val="24"/>
        </w:rPr>
        <w:t>委托期限：</w:t>
      </w:r>
      <w:r>
        <w:rPr>
          <w:rFonts w:hint="eastAsia" w:ascii="宋体" w:hAnsi="宋体"/>
          <w:sz w:val="24"/>
          <w:u w:val="single"/>
        </w:rPr>
        <w:t xml:space="preserve">                                </w:t>
      </w:r>
    </w:p>
    <w:p>
      <w:pPr>
        <w:spacing w:line="360" w:lineRule="auto"/>
        <w:ind w:firstLine="480" w:firstLineChars="200"/>
        <w:rPr>
          <w:rFonts w:ascii="宋体" w:hAnsi="宋体"/>
          <w:sz w:val="24"/>
        </w:rPr>
      </w:pPr>
      <w:r>
        <w:rPr>
          <w:rFonts w:hint="eastAsia" w:ascii="宋体" w:hAnsi="宋体"/>
          <w:sz w:val="24"/>
        </w:rPr>
        <w:t>代理人无转委托权。</w:t>
      </w:r>
    </w:p>
    <w:p>
      <w:pPr>
        <w:spacing w:line="360" w:lineRule="auto"/>
        <w:ind w:firstLine="480" w:firstLineChars="200"/>
        <w:rPr>
          <w:rFonts w:ascii="宋体" w:hAnsi="宋体"/>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-363855</wp:posOffset>
                </wp:positionH>
                <wp:positionV relativeFrom="paragraph">
                  <wp:posOffset>158750</wp:posOffset>
                </wp:positionV>
                <wp:extent cx="3050540" cy="2235200"/>
                <wp:effectExtent l="6350" t="9525" r="635" b="3175"/>
                <wp:wrapNone/>
                <wp:docPr id="8" name="AutoShape 6"/>
                <wp:cNvGraphicFramePr/>
                <a:graphic xmlns:a="http://schemas.openxmlformats.org/drawingml/2006/main">
                  <a:graphicData uri="http://schemas.microsoft.com/office/word/2010/wordprocessingShape">
                    <wps:wsp>
                      <wps:cNvSpPr>
                        <a:spLocks noChangeArrowheads="1"/>
                      </wps:cNvSpPr>
                      <wps:spPr bwMode="auto">
                        <a:xfrm>
                          <a:off x="0" y="0"/>
                          <a:ext cx="3050540" cy="2235200"/>
                        </a:xfrm>
                        <a:prstGeom prst="flowChartAlternateProcess">
                          <a:avLst/>
                        </a:prstGeom>
                        <a:solidFill>
                          <a:srgbClr val="FFFFFF"/>
                        </a:solidFill>
                        <a:ln w="9525">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shape id="AutoShape 6" o:spid="_x0000_s1026" o:spt="176" type="#_x0000_t176" style="position:absolute;left:0pt;margin-left:-28.65pt;margin-top:12.5pt;height:176pt;width:240.2pt;z-index:251663360;mso-width-relative:page;mso-height-relative:page;" fillcolor="#FFFFFF" filled="t" stroked="t" coordsize="21600,21600" o:gfxdata="UEsDBAoAAAAAAIdO4kAAAAAAAAAAAAAAAAAEAAAAZHJzL1BLAwQUAAAACACHTuJApwmb2NgAAAAK&#10;AQAADwAAAGRycy9kb3ducmV2LnhtbE2PQU+EMBCF7yb+h2ZMvO22gLusSNkYjZ68iJt4LbRSIp0S&#10;Wlj01zue9DiZL+99rzyubmCLmULvUUKyFcAMtl732Ek4vT1tDsBCVKjV4NFI+DIBjtXlRakK7c/4&#10;apY6doxCMBRKgo1xLDgPrTVOha0fDdLvw09ORTqnjutJnSncDTwVYs+d6pEarBrNgzXtZz07CevL&#10;d3M7PydtHe1hn79ny+P9iUt5fZWIO2DRrPEPhl99UoeKnBo/ow5skLDZ5RmhEtIdbSLgJs0SYI2E&#10;LM8F8Krk/ydUP1BLAwQUAAAACACHTuJAnjNd5DcCAACTBAAADgAAAGRycy9lMm9Eb2MueG1srVTB&#10;btswDL0P2D8Iui920qZbjTpFkKDDgG4r0O0DFFmOhUmiRilxsq8fJbtZ2u3Qw3wQRJF6JN+jfHN7&#10;sIbtFQYNrubTScmZchIa7bY1//7t7t0HzkIUrhEGnKr5UQV+u3j75qb3lZpBB6ZRyAjEhar3Ne9i&#10;9FVRBNkpK8IEvHLkbAGtiGTitmhQ9IRuTTEry6uiB2w8glQh0Ol6cPIREV8DCG2rpVqD3Fnl4oCK&#10;yohILYVO+8AXudq2VTJ+bdugIjM1p05jXikJ7TdpLRY3otqi8J2WYwniNSW86MkK7SjpCWotomA7&#10;1H9BWS0RArRxIsEWQyOZEepiWr7g5rETXuVeiOrgT6SH/wcrv+wfkOmm5iS7E5YEX+4i5MzsKtHT&#10;+1BR1KN/wNRg8PcgfwTmYNUJt1VLROg7JRoqaprii2cXkhHoKtv0n6EhdEHomalDizYBEgfskAU5&#10;ngRRh8gkHV6U83J+SVpJ8s1mF3MaoJxDVE/XPYb4UYFlaVPz1kBPhWFcmqjQiagehlHLOcX+PsRU&#10;o6ie7uWewOjmThuTDdxuVgbZXtDI3OVvTBnOw4xjfc2v57N5Rn7mC+cQZf7+BWE1lciMtkT+eZBx&#10;I4uJuEGAeNgcRi020ByJT4Rhlukl06YD/MVZT3Nc8/BzJ1BxZj450uR6epkIjNm4nL+fkYHnns25&#10;RzhJUDWPnA3bVRwey86j3naUaZrbdZCmpNWZzKTxUNVYN81q5nh8V+kxnNs56s+/ZPE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pwmb2NgAAAAKAQAADwAAAAAAAAABACAAAAAiAAAAZHJzL2Rvd25y&#10;ZXYueG1sUEsBAhQAFAAAAAgAh07iQJ4zXeQ3AgAAkwQAAA4AAAAAAAAAAQAgAAAAJwEAAGRycy9l&#10;Mm9Eb2MueG1sUEsFBgAAAAAGAAYAWQEAANAFAAAAAA==&#10;">
                <v:fill on="t" focussize="0,0"/>
                <v:stroke color="#000000" miterlimit="8" joinstyle="miter"/>
                <v:imagedata o:title=""/>
                <o:lock v:ext="edit" aspectratio="f"/>
                <v:textbox>
                  <w:txbxContent>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2695575</wp:posOffset>
                </wp:positionH>
                <wp:positionV relativeFrom="paragraph">
                  <wp:posOffset>179705</wp:posOffset>
                </wp:positionV>
                <wp:extent cx="3134360" cy="2235200"/>
                <wp:effectExtent l="8255" t="1905" r="635" b="1270"/>
                <wp:wrapNone/>
                <wp:docPr id="7" name="AutoShape 7"/>
                <wp:cNvGraphicFramePr/>
                <a:graphic xmlns:a="http://schemas.openxmlformats.org/drawingml/2006/main">
                  <a:graphicData uri="http://schemas.microsoft.com/office/word/2010/wordprocessingShape">
                    <wps:wsp>
                      <wps:cNvSpPr>
                        <a:spLocks noChangeArrowheads="1"/>
                      </wps:cNvSpPr>
                      <wps:spPr bwMode="auto">
                        <a:xfrm>
                          <a:off x="0" y="0"/>
                          <a:ext cx="3134360" cy="2235200"/>
                        </a:xfrm>
                        <a:prstGeom prst="flowChartAlternateProcess">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7" o:spid="_x0000_s1026" o:spt="176" type="#_x0000_t176" style="position:absolute;left:0pt;margin-left:212.25pt;margin-top:14.15pt;height:176pt;width:246.8pt;z-index:251664384;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MUGzRUzAgAAiAQAAA4AAABkcnMvZTJvRG9jLnhtbK1U&#10;227bMAx9H7B/EPS+ONdejDhFkKLDgG4L0O0DFFmOhUmiRilxsq8fJadZ2u2hD/ODIIrU4eEh5fnd&#10;wRq2Vxg0uIqPBkPOlJNQa7et+PdvDx9uOAtRuFoYcKriRxX43eL9u3nnSzWGFkytkBGIC2XnK97G&#10;6MuiCLJVVoQBeOXI2QBaEcnEbVGj6AjdmmI8HF4VHWDtEaQKgU7veyc/IeJbAKFptFT3IHdWudij&#10;ojIiUkmh1T7wRWbbNErGr00TVGSm4lRpzCslof0mrcViLsotCt9qeaIg3kLhVU1WaEdJz1D3Igq2&#10;Q/0XlNUSIUATBxJs0ReSFaEqRsNX2jy1wqtcC0kd/Fn08P9g5Zf9GpmuK37NmROWGr7cRciZ2XWS&#10;p/OhpKgnv8ZUYPCPIH8E5mDVCrdVS0ToWiVqIjVK8cWLC8kIdJVtus9QE7og9KzUoUGbAEkDdsgN&#10;OZ4bog6RSTqcjCbTyRX1SpJvPJ7MaIByDlE+X/cY4kcFlqVNxRsDHRHDuDRRoRNRrftRyznF/jHE&#10;xFGUz/dyTWB0/aCNyQZuNyuDbC9oZB7yd0oZLsOMY13Fb2fjWUZ+4QuXEMP8/QvCaqLIjLYVv7kM&#10;Mu6kYhKub8AG6iOJiNAPMD1f2rSAvzjraHgrHn7uBCrOzCdHjbgdTadp2rMxnV2PycBLz+bSI5wk&#10;qIpHzvrtKvYvZOdRb1vKNMo1Okij0eisYGpsz+pElgY0C3t6TOkFXNo56s8PZPE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3vNkAAAAKAQAADwAAAAAAAAABACAAAAAiAAAAZHJzL2Rvd25yZXYu&#10;eG1sUEsBAhQAFAAAAAgAh07iQMUGzRUzAgAAiAQAAA4AAAAAAAAAAQAgAAAAKAEAAGRycy9lMm9E&#10;b2MueG1sUEsFBgAAAAAGAAYAWQEAAM0FAAAAAA==&#10;">
                <v:fill on="t" focussize="0,0"/>
                <v:stroke color="#000000" miterlimit="8" joinstyle="miter"/>
                <v:imagedata o:title=""/>
                <o:lock v:ext="edit" aspectratio="f"/>
              </v:shape>
            </w:pict>
          </mc:Fallback>
        </mc:AlternateContent>
      </w:r>
    </w:p>
    <w:p>
      <w:pPr>
        <w:spacing w:line="360" w:lineRule="auto"/>
        <w:ind w:firstLine="480" w:firstLineChars="200"/>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-265430</wp:posOffset>
                </wp:positionH>
                <wp:positionV relativeFrom="paragraph">
                  <wp:posOffset>273050</wp:posOffset>
                </wp:positionV>
                <wp:extent cx="2810510" cy="296545"/>
                <wp:effectExtent l="9525" t="6350" r="8890" b="1905"/>
                <wp:wrapNone/>
                <wp:docPr id="4" name="Text Box 8"/>
                <wp:cNvGraphicFramePr/>
                <a:graphic xmlns:a="http://schemas.openxmlformats.org/drawingml/2006/main">
                  <a:graphicData uri="http://schemas.microsoft.com/office/word/2010/wordprocessingShape">
                    <wps:wsp>
                      <wps:cNvSpPr txBox="1">
                        <a:spLocks noChangeArrowheads="1"/>
                      </wps:cNvSpPr>
                      <wps:spPr bwMode="auto">
                        <a:xfrm>
                          <a:off x="0" y="0"/>
                          <a:ext cx="2810510" cy="296545"/>
                        </a:xfrm>
                        <a:prstGeom prst="rect">
                          <a:avLst/>
                        </a:prstGeom>
                        <a:solidFill>
                          <a:srgbClr val="FFFFFF"/>
                        </a:solidFill>
                        <a:ln w="9525">
                          <a:solidFill>
                            <a:srgbClr val="000000"/>
                          </a:solidFill>
                          <a:miter lim="800000"/>
                        </a:ln>
                      </wps:spPr>
                      <wps:txbx>
                        <w:txbxContent>
                          <w:p>
                            <w:r>
                              <w:rPr>
                                <w:rFonts w:hint="eastAsia" w:ascii="宋体" w:hAnsi="宋体"/>
                                <w:sz w:val="24"/>
                              </w:rPr>
                              <w:t>委托代理人身份证复印件粘贴处（正面）</w:t>
                            </w:r>
                          </w:p>
                        </w:txbxContent>
                      </wps:txbx>
                      <wps:bodyPr rot="0" vert="horz" wrap="square" lIns="91440" tIns="45720" rIns="91440" bIns="45720" anchor="t" anchorCtr="0" upright="1">
                        <a:noAutofit/>
                      </wps:bodyPr>
                    </wps:wsp>
                  </a:graphicData>
                </a:graphic>
              </wp:anchor>
            </w:drawing>
          </mc:Choice>
          <mc:Fallback>
            <w:pict>
              <v:shape id="Text Box 8" o:spid="_x0000_s1026" o:spt="202" type="#_x0000_t202" style="position:absolute;left:0pt;margin-left:-20.9pt;margin-top:21.5pt;height:23.35pt;width:221.3pt;z-index:251665408;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cTSXTACAACGBAAADgAAAGRycy9lMm9Eb2MueG1srVTN&#10;btswDL4P2DsIui9OgqRLjThFl6LDgO4HaPcAiizHwiRRo5TY2dOPkt0u6zagh/kgkCL1kfxIen3V&#10;W8OOCoMGV/HZZMqZchJq7fYV//pw+2bFWYjC1cKAUxU/qcCvNq9frTtfqjm0YGqFjEBcKDtf8TZG&#10;XxZFkK2yIkzAK0fGBtCKSCruixpFR+jWFPPp9KLoAGuPIFUIdHszGPmIiC8BhKbRUt2APFjl4oCK&#10;yohIJYVW+8A3OdumUTJ+bpqgIjMVp0pjPikIybt0Fpu1KPcofKvlmIJ4SQrParJCOwr6BHUjomAH&#10;1H9AWS0RAjRxIsEWQyGZEapiNn3GzX0rvMq1ENXBP5Ee/h+s/HT8gkzXFV9w5oSlhj+oPrJ30LNV&#10;YqfzoSSne09usadrmplcafB3IL8F5mDbCrdX14jQtUrUlN0svSzOng44IYHsuo9QUxhxiJCB+gZt&#10;oo7IYIROnTk9dSalIulyvppNlzMySbLNLy+Wi2UOIcrH1x5DfK/AsiRUHKnzGV0c70JM2Yjy0SUF&#10;C2B0fauNyQrud1uD7ChoSm7zN6L/5mYc6yp+uZwvBwL+CTHN398grI60PEbbiq/OnYwb+UoUDWTF&#10;fteP/O+gPhFzCMP40vKS0AL+4Kyj0a14+H4QqDgzHxyxfzlbLNKsZ2WxfDsnBc8tu3OLcJKgKh45&#10;G8RtHPbj4FHvW4o09NvBNXWs0ZnM1NohqzFvGs/M8bhKaf7P9ez16/ex+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7VplJ2AAAAAkBAAAPAAAAAAAAAAEAIAAAACIAAABkcnMvZG93bnJldi54bWxQ&#10;SwECFAAUAAAACACHTuJApcTSXTACAACGBAAADgAAAAAAAAABACAAAAAnAQAAZHJzL2Uyb0RvYy54&#10;bWxQSwUGAAAAAAYABgBZAQAAyQUAAAAA&#10;">
                <v:fill on="t" focussize="0,0"/>
                <v:stroke color="#000000" miterlimit="8" joinstyle="miter"/>
                <v:imagedata o:title=""/>
                <o:lock v:ext="edit" aspectratio="f"/>
                <v:textbox>
                  <w:txbxContent>
                    <w:p>
                      <w:r>
                        <w:rPr>
                          <w:rFonts w:hint="eastAsia" w:ascii="宋体" w:hAnsi="宋体"/>
                          <w:sz w:val="24"/>
                        </w:rPr>
                        <w:t>委托代理人身份证复印件粘贴处（正面）</w:t>
                      </w:r>
                    </w:p>
                  </w:txbxContent>
                </v:textbox>
              </v:shape>
            </w:pict>
          </mc:Fallback>
        </mc:AlternateContent>
      </w:r>
      <w:r>
        <w:rPr>
          <w:sz w:val="24"/>
        </w:rPr>
        <mc:AlternateContent>
          <mc:Choice Requires="wps">
            <w:drawing>
              <wp:anchor distT="0" distB="0" distL="114300" distR="114300" simplePos="0" relativeHeight="251666432" behindDoc="0" locked="0" layoutInCell="1" allowOverlap="1">
                <wp:simplePos x="0" y="0"/>
                <wp:positionH relativeFrom="column">
                  <wp:posOffset>2825115</wp:posOffset>
                </wp:positionH>
                <wp:positionV relativeFrom="paragraph">
                  <wp:posOffset>234950</wp:posOffset>
                </wp:positionV>
                <wp:extent cx="2810510" cy="296545"/>
                <wp:effectExtent l="4445" t="6350" r="4445" b="1905"/>
                <wp:wrapNone/>
                <wp:docPr id="2" name="Text Box 9"/>
                <wp:cNvGraphicFramePr/>
                <a:graphic xmlns:a="http://schemas.openxmlformats.org/drawingml/2006/main">
                  <a:graphicData uri="http://schemas.microsoft.com/office/word/2010/wordprocessingShape">
                    <wps:wsp>
                      <wps:cNvSpPr txBox="1">
                        <a:spLocks noChangeArrowheads="1"/>
                      </wps:cNvSpPr>
                      <wps:spPr bwMode="auto">
                        <a:xfrm>
                          <a:off x="0" y="0"/>
                          <a:ext cx="2810510" cy="296545"/>
                        </a:xfrm>
                        <a:prstGeom prst="rect">
                          <a:avLst/>
                        </a:prstGeom>
                        <a:solidFill>
                          <a:srgbClr val="FFFFFF"/>
                        </a:solidFill>
                        <a:ln w="9525">
                          <a:solidFill>
                            <a:srgbClr val="000000"/>
                          </a:solidFill>
                          <a:miter lim="800000"/>
                        </a:ln>
                      </wps:spPr>
                      <wps:txbx>
                        <w:txbxContent>
                          <w:p>
                            <w:r>
                              <w:rPr>
                                <w:rFonts w:hint="eastAsia" w:ascii="宋体" w:hAnsi="宋体"/>
                                <w:sz w:val="24"/>
                              </w:rPr>
                              <w:t>委托代理人身份证复印件粘贴处（背面）</w:t>
                            </w:r>
                          </w:p>
                        </w:txbxContent>
                      </wps:txbx>
                      <wps:bodyPr rot="0" vert="horz" wrap="square" lIns="91440" tIns="45720" rIns="91440" bIns="45720" anchor="t" anchorCtr="0" upright="1">
                        <a:noAutofit/>
                      </wps:bodyPr>
                    </wps:wsp>
                  </a:graphicData>
                </a:graphic>
              </wp:anchor>
            </w:drawing>
          </mc:Choice>
          <mc:Fallback>
            <w:pict>
              <v:shape id="Text Box 9" o:spid="_x0000_s1026" o:spt="202" type="#_x0000_t202" style="position:absolute;left:0pt;margin-left:222.45pt;margin-top:18.5pt;height:23.35pt;width:221.3pt;z-index:251666432;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A3JnzgwAgAAhgQAAA4AAABkcnMvZTJvRG9jLnhtbK1U&#10;zW7bMAy+D9g7CLqvToyka4w6RZegw4DuB2j3AIosx8IkUaOU2N3Tj5LdLus2oIf5IJAi9ZH8SPry&#10;arCGHRUGDa7m87MZZ8pJaLTb1/zr/c2bC85CFK4RBpyq+YMK/Gr9+tVl7ytVQgemUcgIxIWq9zXv&#10;YvRVUQTZKSvCGXjlyNgCWhFJxX3RoOgJ3ZqinM3Oix6w8QhShUC329HIJ0R8CSC0rZZqC/JglYsj&#10;KiojIpUUOu0DX+ds21bJ+Lltg4rM1JwqjfmkICTv0lmsL0W1R+E7LacUxEtSeFaTFdpR0CeorYiC&#10;HVD/AWW1RAjQxjMJthgLyYxQFfPZM27uOuFVroWoDv6J9PD/YOWn4xdkuql5yZkTlhp+r4bI3sHA&#10;Vomd3oeKnO48ucWBrmlmcqXB34L8FpiDTSfcXl0jQt8p0VB28/SyOHk64oQEsus/QkNhxCFCBhpa&#10;tIk6IoMROnXm4akzKRVJl+XFfLack0mSrVydLxfLHEJUj689hvhegWVJqDlS5zO6ON6GmLIR1aNL&#10;ChbA6OZGG5MV3O82BtlR0JTc5G9C/83NONbXfLUslyMB/4SY5e9vEFZHWh6jbc0vTp2Mm/hKFI1k&#10;xWE3TPzvoHkg5hDG8aXlJaED/MFZT6Nb8/D9IFBxZj44Yn81XyzSrGdlsXxbkoKnlt2pRThJUDWP&#10;nI3iJo77cfCo9x1FGvvt4Jo61upMZmrtmNWUN41n5nhapTT/p3r2+vX7WP8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xHrF9kAAAAJAQAADwAAAAAAAAABACAAAAAiAAAAZHJzL2Rvd25yZXYueG1s&#10;UEsBAhQAFAAAAAgAh07iQA3JnzgwAgAAhgQAAA4AAAAAAAAAAQAgAAAAKAEAAGRycy9lMm9Eb2Mu&#10;eG1sUEsFBgAAAAAGAAYAWQEAAMoFAAAAAA==&#10;">
                <v:fill on="t" focussize="0,0"/>
                <v:stroke color="#000000" miterlimit="8" joinstyle="miter"/>
                <v:imagedata o:title=""/>
                <o:lock v:ext="edit" aspectratio="f"/>
                <v:textbox>
                  <w:txbxContent>
                    <w:p>
                      <w:r>
                        <w:rPr>
                          <w:rFonts w:hint="eastAsia" w:ascii="宋体" w:hAnsi="宋体"/>
                          <w:sz w:val="24"/>
                        </w:rPr>
                        <w:t>委托代理人身份证复印件粘贴处（背面）</w:t>
                      </w:r>
                    </w:p>
                  </w:txbxContent>
                </v:textbox>
              </v:shape>
            </w:pict>
          </mc:Fallback>
        </mc:AlternateContent>
      </w: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ind w:firstLine="480" w:firstLineChars="200"/>
        <w:jc w:val="left"/>
        <w:rPr>
          <w:rFonts w:ascii="宋体" w:hAnsi="宋体"/>
          <w:sz w:val="24"/>
        </w:rPr>
      </w:pPr>
    </w:p>
    <w:p>
      <w:pPr>
        <w:spacing w:line="360" w:lineRule="auto"/>
        <w:jc w:val="left"/>
        <w:rPr>
          <w:rFonts w:ascii="宋体" w:hAnsi="宋体"/>
          <w:sz w:val="24"/>
        </w:rPr>
      </w:pPr>
    </w:p>
    <w:p>
      <w:pPr>
        <w:spacing w:line="360" w:lineRule="auto"/>
        <w:jc w:val="left"/>
        <w:rPr>
          <w:rFonts w:ascii="宋体" w:hAnsi="宋体"/>
          <w:sz w:val="24"/>
        </w:rPr>
      </w:pPr>
      <w:r>
        <w:rPr>
          <w:rFonts w:hint="eastAsia" w:ascii="宋体" w:hAnsi="宋体"/>
          <w:sz w:val="24"/>
        </w:rPr>
        <w:t>投标人：</w:t>
      </w:r>
      <w:r>
        <w:rPr>
          <w:rFonts w:hint="eastAsia" w:ascii="宋体" w:hAnsi="宋体"/>
          <w:sz w:val="24"/>
          <w:u w:val="single"/>
        </w:rPr>
        <w:t xml:space="preserve">              </w:t>
      </w:r>
      <w:r>
        <w:rPr>
          <w:rFonts w:hint="eastAsia" w:ascii="宋体" w:hAnsi="宋体"/>
          <w:sz w:val="24"/>
        </w:rPr>
        <w:t xml:space="preserve">（盖单位公章） </w:t>
      </w:r>
    </w:p>
    <w:p>
      <w:pPr>
        <w:spacing w:line="360" w:lineRule="auto"/>
        <w:jc w:val="left"/>
        <w:rPr>
          <w:rFonts w:ascii="宋体" w:hAns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（签字或盖章）</w:t>
      </w:r>
    </w:p>
    <w:p>
      <w:pPr>
        <w:spacing w:line="360" w:lineRule="auto"/>
        <w:jc w:val="left"/>
        <w:rPr>
          <w:rFonts w:ascii="宋体" w:hAnsi="宋体"/>
          <w:sz w:val="24"/>
        </w:rPr>
      </w:pPr>
      <w:r>
        <w:rPr>
          <w:rFonts w:hint="eastAsia" w:ascii="宋体" w:hAnsi="宋体"/>
          <w:sz w:val="24"/>
        </w:rPr>
        <w:t>委托代理人：</w:t>
      </w:r>
      <w:r>
        <w:rPr>
          <w:rFonts w:hint="eastAsia" w:ascii="宋体" w:hAnsi="宋体"/>
          <w:sz w:val="24"/>
          <w:u w:val="single"/>
        </w:rPr>
        <w:t xml:space="preserve">                </w:t>
      </w:r>
      <w:r>
        <w:rPr>
          <w:rFonts w:hint="eastAsia" w:ascii="宋体" w:hAnsi="宋体"/>
          <w:sz w:val="24"/>
        </w:rPr>
        <w:t>（签字或盖章）</w:t>
      </w:r>
    </w:p>
    <w:p>
      <w:pPr>
        <w:spacing w:line="360" w:lineRule="auto"/>
        <w:ind w:firstLine="5040" w:firstLineChars="2100"/>
        <w:rPr>
          <w:rFonts w:ascii="宋体" w:hAnsi="宋体"/>
          <w:sz w:val="24"/>
        </w:rPr>
      </w:pPr>
    </w:p>
    <w:p>
      <w:pPr>
        <w:spacing w:line="360" w:lineRule="auto"/>
        <w:ind w:firstLine="5040" w:firstLineChars="2100"/>
        <w:rPr>
          <w:rFonts w:asciiTheme="minorEastAsia" w:hAnsiTheme="minorEastAsia" w:eastAsiaTheme="minorEastAsia" w:cstheme="minorEastAsia"/>
          <w:sz w:val="30"/>
          <w:szCs w:val="30"/>
        </w:rPr>
      </w:pP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bookmarkEnd w:id="246"/>
    </w:p>
    <w:p>
      <w:pPr>
        <w:pStyle w:val="20"/>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0"/>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0"/>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0"/>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kern w:val="2"/>
          <w:sz w:val="30"/>
          <w:szCs w:val="30"/>
        </w:rPr>
      </w:pPr>
    </w:p>
    <w:p>
      <w:pPr>
        <w:pStyle w:val="20"/>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kern w:val="2"/>
          <w:sz w:val="30"/>
          <w:szCs w:val="30"/>
        </w:rPr>
      </w:pPr>
    </w:p>
    <w:p>
      <w:pPr>
        <w:pStyle w:val="20"/>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sz w:val="30"/>
          <w:szCs w:val="30"/>
        </w:rPr>
      </w:pPr>
      <w:bookmarkStart w:id="309" w:name="_Toc8304"/>
      <w:bookmarkStart w:id="310" w:name="_Toc18947"/>
      <w:bookmarkStart w:id="311" w:name="_Toc25161"/>
      <w:r>
        <w:rPr>
          <w:rFonts w:hint="eastAsia" w:asciiTheme="minorEastAsia" w:hAnsiTheme="minorEastAsia" w:eastAsiaTheme="minorEastAsia" w:cstheme="minorEastAsia"/>
          <w:b/>
          <w:kern w:val="2"/>
          <w:sz w:val="30"/>
          <w:szCs w:val="30"/>
        </w:rPr>
        <w:t>四、</w:t>
      </w:r>
      <w:bookmarkEnd w:id="309"/>
      <w:r>
        <w:rPr>
          <w:rFonts w:hint="eastAsia" w:asciiTheme="minorEastAsia" w:hAnsiTheme="minorEastAsia" w:eastAsiaTheme="minorEastAsia" w:cstheme="minorEastAsia"/>
          <w:b/>
          <w:kern w:val="2"/>
          <w:sz w:val="30"/>
          <w:szCs w:val="30"/>
        </w:rPr>
        <w:t>项目实施方案、措施等</w:t>
      </w:r>
      <w:bookmarkEnd w:id="310"/>
      <w:bookmarkEnd w:id="311"/>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ind w:left="420"/>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rPr>
          <w:rFonts w:asciiTheme="minorEastAsia" w:hAnsiTheme="minorEastAsia" w:eastAsiaTheme="minorEastAsia" w:cstheme="minorEastAsia"/>
          <w:b/>
          <w:sz w:val="30"/>
          <w:szCs w:val="30"/>
        </w:rPr>
      </w:pPr>
    </w:p>
    <w:p>
      <w:pPr>
        <w:pStyle w:val="20"/>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312" w:name="_Toc10043"/>
      <w:bookmarkStart w:id="313" w:name="_Toc5854"/>
      <w:bookmarkStart w:id="314" w:name="_Toc29492"/>
      <w:bookmarkStart w:id="315" w:name="_Toc30146"/>
      <w:bookmarkStart w:id="316" w:name="_Toc20650"/>
      <w:r>
        <w:rPr>
          <w:rFonts w:hint="eastAsia" w:asciiTheme="minorEastAsia" w:hAnsiTheme="minorEastAsia" w:eastAsiaTheme="minorEastAsia" w:cstheme="minorEastAsia"/>
          <w:b/>
          <w:kern w:val="2"/>
          <w:sz w:val="30"/>
          <w:szCs w:val="30"/>
        </w:rPr>
        <w:t>五、资格证明文件</w:t>
      </w:r>
      <w:bookmarkEnd w:id="312"/>
      <w:bookmarkEnd w:id="313"/>
      <w:bookmarkEnd w:id="314"/>
      <w:bookmarkEnd w:id="315"/>
      <w:bookmarkEnd w:id="316"/>
    </w:p>
    <w:p>
      <w:pPr>
        <w:spacing w:line="400" w:lineRule="exact"/>
        <w:jc w:val="left"/>
        <w:rPr>
          <w:rFonts w:asciiTheme="minorEastAsia" w:hAnsiTheme="minorEastAsia" w:eastAsiaTheme="minorEastAsia" w:cstheme="minorEastAsia"/>
          <w:bCs/>
          <w:sz w:val="24"/>
        </w:rPr>
      </w:pPr>
    </w:p>
    <w:p>
      <w:pPr>
        <w:spacing w:line="400" w:lineRule="exact"/>
        <w:jc w:val="left"/>
        <w:rPr>
          <w:sz w:val="24"/>
        </w:rPr>
      </w:pPr>
    </w:p>
    <w:p>
      <w:pPr>
        <w:numPr>
          <w:ilvl w:val="0"/>
          <w:numId w:val="14"/>
        </w:numPr>
        <w:spacing w:line="400" w:lineRule="exact"/>
        <w:jc w:val="left"/>
        <w:rPr>
          <w:rFonts w:hint="eastAsia"/>
          <w:sz w:val="24"/>
          <w:lang w:val="en-US" w:eastAsia="zh-CN"/>
        </w:rPr>
      </w:pPr>
      <w:r>
        <w:rPr>
          <w:rFonts w:hint="eastAsia"/>
          <w:sz w:val="24"/>
          <w:lang w:val="en-US" w:eastAsia="zh-CN"/>
        </w:rPr>
        <w:t>提供</w:t>
      </w:r>
      <w:r>
        <w:rPr>
          <w:rFonts w:hint="eastAsia"/>
          <w:sz w:val="24"/>
        </w:rPr>
        <w:t>营业执照副本（三证合一）</w:t>
      </w:r>
      <w:r>
        <w:rPr>
          <w:rFonts w:hint="eastAsia"/>
          <w:sz w:val="24"/>
          <w:lang w:eastAsia="zh-CN"/>
        </w:rPr>
        <w:t>、</w:t>
      </w:r>
      <w:r>
        <w:rPr>
          <w:rFonts w:hint="eastAsia"/>
          <w:sz w:val="24"/>
          <w:lang w:val="en-US" w:eastAsia="zh-CN"/>
        </w:rPr>
        <w:t>中小企业声明函；</w:t>
      </w:r>
    </w:p>
    <w:p>
      <w:pPr>
        <w:pStyle w:val="2"/>
        <w:numPr>
          <w:ilvl w:val="0"/>
          <w:numId w:val="14"/>
        </w:numPr>
        <w:rPr>
          <w:rFonts w:hint="default"/>
          <w:lang w:val="en-US" w:eastAsia="zh-CN"/>
        </w:rPr>
      </w:pPr>
      <w:r>
        <w:rPr>
          <w:rFonts w:hint="eastAsia"/>
          <w:lang w:val="en-US" w:eastAsia="zh-CN"/>
        </w:rPr>
        <w:t>提供</w:t>
      </w:r>
      <w:r>
        <w:rPr>
          <w:rFonts w:hint="default"/>
          <w:lang w:val="en-US" w:eastAsia="zh-CN"/>
        </w:rPr>
        <w:t>自然资源部门颁发的乙级或以上测绘资质证书，专业包括地理信息系统工程、界线与不动产测绘; 项目负责人具有测绘相关专业中级及以上职称或注册测绘师资格，（项目负责人应为本单位员工并提供近6个月连续在本单位缴纳社保证明，个人缴纳社保名称须与投标单位名称一致，否则不予认可）</w:t>
      </w:r>
      <w:r>
        <w:rPr>
          <w:rFonts w:hint="eastAsia"/>
          <w:lang w:val="en-US" w:eastAsia="zh-CN"/>
        </w:rPr>
        <w:t>；</w:t>
      </w:r>
    </w:p>
    <w:p>
      <w:pPr>
        <w:spacing w:line="400" w:lineRule="exact"/>
        <w:jc w:val="left"/>
        <w:rPr>
          <w:sz w:val="24"/>
        </w:rPr>
      </w:pPr>
      <w:r>
        <w:rPr>
          <w:rFonts w:hint="eastAsia"/>
          <w:sz w:val="24"/>
          <w:lang w:val="en-US" w:eastAsia="zh-CN"/>
        </w:rPr>
        <w:t>三</w:t>
      </w:r>
      <w:r>
        <w:rPr>
          <w:rFonts w:hint="eastAsia"/>
          <w:sz w:val="24"/>
        </w:rPr>
        <w:t>、符合《中华人民共和国政府采购法》第二十二条规定:</w:t>
      </w:r>
    </w:p>
    <w:p>
      <w:pPr>
        <w:spacing w:line="400" w:lineRule="exact"/>
        <w:ind w:firstLine="480" w:firstLineChars="200"/>
        <w:jc w:val="left"/>
        <w:rPr>
          <w:sz w:val="24"/>
        </w:rPr>
      </w:pPr>
      <w:r>
        <w:rPr>
          <w:rFonts w:hint="eastAsia"/>
          <w:sz w:val="24"/>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sz w:val="24"/>
        </w:rPr>
      </w:pPr>
      <w:r>
        <w:rPr>
          <w:rFonts w:hint="eastAsia"/>
          <w:sz w:val="24"/>
        </w:rPr>
        <w:t>2.2.参加政府采购活动前三年内无重大违法记录的书面声明；</w:t>
      </w:r>
    </w:p>
    <w:p>
      <w:pPr>
        <w:spacing w:line="400" w:lineRule="exact"/>
        <w:jc w:val="left"/>
        <w:rPr>
          <w:sz w:val="24"/>
        </w:rPr>
      </w:pPr>
      <w:r>
        <w:rPr>
          <w:rFonts w:hint="eastAsia"/>
          <w:sz w:val="24"/>
          <w:lang w:val="en-US" w:eastAsia="zh-CN"/>
        </w:rPr>
        <w:t>四</w:t>
      </w:r>
      <w:r>
        <w:rPr>
          <w:rFonts w:hint="eastAsia"/>
          <w:sz w:val="24"/>
        </w:rPr>
        <w:t>、招标文件中要求的其他资格证明材料。</w:t>
      </w:r>
    </w:p>
    <w:p>
      <w:pPr>
        <w:pStyle w:val="23"/>
        <w:ind w:firstLine="482"/>
        <w:rPr>
          <w:b/>
          <w:bCs/>
        </w:rPr>
      </w:pPr>
      <w:r>
        <w:rPr>
          <w:rFonts w:hint="eastAsia"/>
          <w:b/>
          <w:bCs/>
          <w:sz w:val="24"/>
        </w:rPr>
        <w:t>备注：以上资格证明文件须提供原件的扫描件。</w:t>
      </w:r>
    </w:p>
    <w:p>
      <w:pPr>
        <w:pStyle w:val="23"/>
      </w:pPr>
    </w:p>
    <w:p>
      <w:pPr>
        <w:autoSpaceDE w:val="0"/>
        <w:autoSpaceDN w:val="0"/>
        <w:adjustRightInd w:val="0"/>
        <w:spacing w:line="440" w:lineRule="exact"/>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2"/>
        <w:ind w:firstLine="281"/>
        <w:rPr>
          <w:rFonts w:hint="default" w:asciiTheme="minorEastAsia" w:hAnsiTheme="minorEastAsia" w:eastAsiaTheme="minorEastAsia" w:cstheme="minorEastAsia"/>
          <w:b/>
          <w:sz w:val="28"/>
        </w:rPr>
      </w:pPr>
    </w:p>
    <w:p>
      <w:pPr>
        <w:pStyle w:val="23"/>
        <w:ind w:firstLine="562"/>
        <w:rPr>
          <w:rFonts w:asciiTheme="minorEastAsia" w:hAnsiTheme="minorEastAsia" w:eastAsiaTheme="minorEastAsia" w:cstheme="minorEastAsia"/>
          <w:b/>
          <w:sz w:val="28"/>
        </w:rPr>
      </w:pPr>
    </w:p>
    <w:p>
      <w:pPr>
        <w:pStyle w:val="23"/>
        <w:ind w:firstLine="562"/>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autoSpaceDE w:val="0"/>
        <w:autoSpaceDN w:val="0"/>
        <w:adjustRightInd w:val="0"/>
        <w:spacing w:line="440" w:lineRule="exact"/>
        <w:jc w:val="center"/>
        <w:rPr>
          <w:rFonts w:asciiTheme="minorEastAsia" w:hAnsiTheme="minorEastAsia" w:eastAsiaTheme="minorEastAsia" w:cstheme="minorEastAsia"/>
          <w:b/>
          <w:sz w:val="28"/>
        </w:rPr>
      </w:pPr>
    </w:p>
    <w:p>
      <w:pPr>
        <w:widowControl/>
        <w:rPr>
          <w:rFonts w:asciiTheme="minorEastAsia" w:hAnsiTheme="minorEastAsia" w:eastAsiaTheme="minorEastAsia" w:cstheme="minorEastAsia"/>
        </w:rPr>
      </w:pPr>
    </w:p>
    <w:p>
      <w:pPr>
        <w:rPr>
          <w:rFonts w:asciiTheme="minorEastAsia" w:hAnsiTheme="minorEastAsia" w:eastAsiaTheme="minorEastAsia" w:cstheme="minorEastAsia"/>
        </w:rPr>
      </w:pPr>
    </w:p>
    <w:p>
      <w:pPr>
        <w:autoSpaceDE w:val="0"/>
        <w:autoSpaceDN w:val="0"/>
        <w:adjustRightInd w:val="0"/>
        <w:spacing w:line="440" w:lineRule="exact"/>
        <w:jc w:val="center"/>
        <w:rPr>
          <w:rFonts w:asciiTheme="minorEastAsia" w:hAnsiTheme="minorEastAsia" w:eastAsiaTheme="minorEastAsia" w:cstheme="minorEastAsia"/>
          <w:b/>
          <w:sz w:val="28"/>
        </w:rPr>
      </w:pPr>
    </w:p>
    <w:p>
      <w:pPr>
        <w:pStyle w:val="20"/>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bookmarkStart w:id="317" w:name="_Toc8330"/>
      <w:bookmarkStart w:id="318" w:name="_Toc6465"/>
      <w:bookmarkStart w:id="319" w:name="_Toc31553"/>
    </w:p>
    <w:p>
      <w:pPr>
        <w:pStyle w:val="20"/>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firstLine="3313" w:firstLineChars="1100"/>
        <w:outlineLvl w:val="1"/>
        <w:rPr>
          <w:rFonts w:asciiTheme="minorEastAsia" w:hAnsiTheme="minorEastAsia" w:eastAsiaTheme="minorEastAsia" w:cstheme="minorEastAsia"/>
          <w:b/>
          <w:kern w:val="2"/>
          <w:sz w:val="30"/>
          <w:szCs w:val="30"/>
        </w:rPr>
      </w:pPr>
      <w:bookmarkStart w:id="320" w:name="_Toc4390"/>
      <w:bookmarkStart w:id="321" w:name="_Toc12355"/>
      <w:r>
        <w:rPr>
          <w:rFonts w:hint="eastAsia" w:asciiTheme="minorEastAsia" w:hAnsiTheme="minorEastAsia" w:eastAsiaTheme="minorEastAsia" w:cstheme="minorEastAsia"/>
          <w:b/>
          <w:kern w:val="2"/>
          <w:sz w:val="30"/>
          <w:szCs w:val="30"/>
        </w:rPr>
        <w:t>六、投标人服务承诺和优惠承诺</w:t>
      </w:r>
      <w:bookmarkEnd w:id="320"/>
      <w:bookmarkEnd w:id="321"/>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p>
      <w:pPr>
        <w:pStyle w:val="20"/>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kern w:val="2"/>
          <w:sz w:val="30"/>
          <w:szCs w:val="30"/>
        </w:rPr>
      </w:pPr>
    </w:p>
    <w:bookmarkEnd w:id="317"/>
    <w:bookmarkEnd w:id="318"/>
    <w:p>
      <w:pPr>
        <w:pStyle w:val="20"/>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sz w:val="30"/>
          <w:szCs w:val="30"/>
        </w:rPr>
      </w:pPr>
      <w:bookmarkStart w:id="322" w:name="_Toc23227"/>
      <w:bookmarkStart w:id="323" w:name="_Toc24850"/>
      <w:bookmarkStart w:id="324" w:name="_Toc15396"/>
      <w:bookmarkStart w:id="325" w:name="_Toc10717"/>
      <w:r>
        <w:rPr>
          <w:rFonts w:hint="eastAsia" w:asciiTheme="minorEastAsia" w:hAnsiTheme="minorEastAsia" w:eastAsiaTheme="minorEastAsia" w:cstheme="minorEastAsia"/>
          <w:b/>
          <w:kern w:val="2"/>
          <w:sz w:val="30"/>
          <w:szCs w:val="30"/>
        </w:rPr>
        <w:t>七、中小企业声明函</w:t>
      </w:r>
      <w:bookmarkEnd w:id="322"/>
      <w:bookmarkEnd w:id="323"/>
      <w:bookmarkEnd w:id="324"/>
      <w:bookmarkEnd w:id="325"/>
    </w:p>
    <w:p>
      <w:pPr>
        <w:pStyle w:val="20"/>
        <w:shd w:val="clear" w:color="auto" w:fill="FFFFFF"/>
        <w:spacing w:line="315" w:lineRule="atLeast"/>
        <w:ind w:firstLine="420"/>
        <w:rPr>
          <w:rFonts w:asciiTheme="minorEastAsia" w:hAnsiTheme="minorEastAsia" w:eastAsiaTheme="minorEastAsia" w:cstheme="minorEastAsia"/>
          <w:shd w:val="clear" w:color="auto" w:fill="FFFFFF"/>
        </w:rPr>
      </w:pPr>
      <w:r>
        <w:rPr>
          <w:rFonts w:hint="eastAsia" w:asciiTheme="minorEastAsia" w:hAnsiTheme="minorEastAsia" w:eastAsiaTheme="minorEastAsia" w:cstheme="minorEastAsia"/>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企业名称（</w:t>
      </w:r>
      <w:r>
        <w:rPr>
          <w:rFonts w:hint="eastAsia" w:asciiTheme="minorEastAsia" w:hAnsiTheme="minorEastAsia" w:eastAsiaTheme="minorEastAsia" w:cstheme="minorEastAsia"/>
          <w:bCs/>
          <w:sz w:val="24"/>
        </w:rPr>
        <w:t>盖单位公章</w:t>
      </w:r>
      <w:r>
        <w:rPr>
          <w:rFonts w:hint="eastAsia" w:asciiTheme="minorEastAsia" w:hAnsiTheme="minorEastAsia" w:eastAsiaTheme="minorEastAsia" w:cstheme="minorEastAsia"/>
          <w:kern w:val="0"/>
          <w:sz w:val="24"/>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kern w:val="0"/>
          <w:sz w:val="24"/>
          <w:shd w:val="clear" w:color="auto" w:fill="FFFFFF"/>
        </w:rPr>
      </w:pPr>
      <w:r>
        <w:rPr>
          <w:rFonts w:hint="eastAsia" w:asciiTheme="minorEastAsia" w:hAnsiTheme="minorEastAsia" w:eastAsiaTheme="minorEastAsia" w:cstheme="minorEastAsia"/>
          <w:kern w:val="0"/>
          <w:sz w:val="24"/>
          <w:shd w:val="clear" w:color="auto" w:fill="FFFFFF"/>
        </w:rPr>
        <w:t>　　　　　　　　　　　　　　　　　　日期：</w:t>
      </w:r>
    </w:p>
    <w:p>
      <w:pPr>
        <w:spacing w:line="600" w:lineRule="exact"/>
        <w:rPr>
          <w:rFonts w:asciiTheme="minorEastAsia" w:hAnsiTheme="minorEastAsia" w:eastAsiaTheme="minorEastAsia" w:cstheme="minorEastAsia"/>
          <w:sz w:val="30"/>
          <w:szCs w:val="30"/>
        </w:rPr>
      </w:pPr>
    </w:p>
    <w:p>
      <w:pPr>
        <w:rPr>
          <w:rFonts w:ascii="Times New Roman" w:hAnsi="Times New Roman" w:eastAsia="仿宋"/>
          <w:sz w:val="32"/>
          <w:szCs w:val="32"/>
          <w:shd w:val="clear" w:color="FFFFFF" w:fill="D9D9D9"/>
        </w:rPr>
      </w:pPr>
      <w:r>
        <w:rPr>
          <w:rFonts w:hint="eastAsia" w:asciiTheme="minorEastAsia" w:hAnsiTheme="minorEastAsia" w:eastAsiaTheme="minorEastAsia" w:cstheme="minorEastAsia"/>
          <w:b/>
          <w:kern w:val="2"/>
          <w:sz w:val="30"/>
          <w:szCs w:val="30"/>
        </w:rPr>
        <w:br w:type="page"/>
      </w:r>
      <w:bookmarkEnd w:id="319"/>
    </w:p>
    <w:p>
      <w:pPr>
        <w:pStyle w:val="6"/>
        <w:rPr>
          <w:shd w:val="clear" w:color="FFFFFF" w:fill="D9D9D9"/>
        </w:rPr>
      </w:pPr>
    </w:p>
    <w:p>
      <w:pPr>
        <w:pStyle w:val="20"/>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kern w:val="2"/>
          <w:sz w:val="30"/>
          <w:szCs w:val="30"/>
          <w:shd w:val="clear" w:color="FFFFFF" w:fill="D9D9D9"/>
        </w:rPr>
      </w:pPr>
    </w:p>
    <w:p>
      <w:pPr>
        <w:pStyle w:val="20"/>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kern w:val="2"/>
          <w:sz w:val="30"/>
          <w:szCs w:val="30"/>
        </w:rPr>
      </w:pPr>
      <w:bookmarkStart w:id="326" w:name="_Toc10970"/>
      <w:bookmarkStart w:id="327" w:name="_Toc16608"/>
      <w:bookmarkStart w:id="328" w:name="_Toc18605"/>
      <w:r>
        <w:rPr>
          <w:rFonts w:hint="eastAsia" w:asciiTheme="minorEastAsia" w:hAnsiTheme="minorEastAsia" w:eastAsiaTheme="minorEastAsia" w:cstheme="minorEastAsia"/>
          <w:b/>
          <w:kern w:val="2"/>
          <w:sz w:val="30"/>
          <w:szCs w:val="30"/>
          <w:lang w:val="en-US" w:eastAsia="zh-CN"/>
        </w:rPr>
        <w:t>八</w:t>
      </w:r>
      <w:r>
        <w:rPr>
          <w:rFonts w:hint="eastAsia" w:asciiTheme="minorEastAsia" w:hAnsiTheme="minorEastAsia" w:eastAsiaTheme="minorEastAsia" w:cstheme="minorEastAsia"/>
          <w:b/>
          <w:kern w:val="2"/>
          <w:sz w:val="30"/>
          <w:szCs w:val="30"/>
        </w:rPr>
        <w:t>、招标文件要求的或投标人认为须提交的其他材料</w:t>
      </w:r>
      <w:bookmarkEnd w:id="326"/>
      <w:bookmarkEnd w:id="327"/>
      <w:bookmarkEnd w:id="328"/>
    </w:p>
    <w:p>
      <w:pPr>
        <w:spacing w:line="360" w:lineRule="auto"/>
        <w:rPr>
          <w:rFonts w:asciiTheme="minorEastAsia" w:hAnsiTheme="minorEastAsia" w:eastAsiaTheme="minorEastAsia" w:cstheme="minorEastAsia"/>
          <w:sz w:val="24"/>
          <w:shd w:val="clear" w:color="FFFFFF" w:fill="D9D9D9"/>
        </w:rPr>
      </w:pPr>
    </w:p>
    <w:p>
      <w:pPr>
        <w:spacing w:line="600" w:lineRule="exact"/>
        <w:ind w:firstLine="600" w:firstLineChars="200"/>
        <w:rPr>
          <w:rFonts w:ascii="仿宋" w:hAnsi="仿宋" w:eastAsia="仿宋" w:cs="仿宋"/>
          <w:sz w:val="30"/>
          <w:szCs w:val="30"/>
        </w:rPr>
      </w:pPr>
      <w:r>
        <w:rPr>
          <w:rFonts w:hint="eastAsia" w:ascii="仿宋" w:hAnsi="仿宋" w:eastAsia="仿宋" w:cs="仿宋"/>
          <w:sz w:val="30"/>
          <w:szCs w:val="30"/>
        </w:rPr>
        <w:t>招标文件规定的其他资料及投标人认为需要提交的其他材料。</w:t>
      </w:r>
    </w:p>
    <w:p>
      <w:pPr>
        <w:spacing w:line="600" w:lineRule="exact"/>
        <w:ind w:firstLine="600" w:firstLineChars="200"/>
        <w:rPr>
          <w:rFonts w:ascii="仿宋" w:hAnsi="仿宋" w:eastAsia="仿宋" w:cs="仿宋"/>
          <w:sz w:val="30"/>
          <w:szCs w:val="30"/>
        </w:rPr>
      </w:pPr>
    </w:p>
    <w:p>
      <w:pPr>
        <w:widowControl/>
        <w:spacing w:line="580" w:lineRule="atLeast"/>
        <w:jc w:val="center"/>
        <w:rPr>
          <w:rFonts w:asciiTheme="minorEastAsia" w:hAnsiTheme="minorEastAsia" w:eastAsiaTheme="minorEastAsia" w:cstheme="minorEastAsia"/>
          <w:b/>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widowControl/>
        <w:spacing w:line="580" w:lineRule="atLeast"/>
        <w:jc w:val="cente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rPr>
          <w:rFonts w:asciiTheme="minorEastAsia" w:hAnsiTheme="minorEastAsia" w:eastAsiaTheme="minorEastAsia" w:cstheme="minorEastAsia"/>
          <w:b/>
          <w:bCs/>
          <w:kern w:val="0"/>
          <w:sz w:val="32"/>
          <w:szCs w:val="32"/>
        </w:rPr>
      </w:pPr>
    </w:p>
    <w:p>
      <w:pPr>
        <w:pStyle w:val="56"/>
        <w:rPr>
          <w:rFonts w:asciiTheme="minorEastAsia" w:hAnsiTheme="minorEastAsia" w:eastAsiaTheme="minorEastAsia" w:cstheme="minorEastAsia"/>
          <w:b/>
          <w:bCs/>
          <w:kern w:val="0"/>
          <w:sz w:val="32"/>
          <w:szCs w:val="32"/>
        </w:rPr>
      </w:pPr>
    </w:p>
    <w:p>
      <w:pPr>
        <w:spacing w:line="440" w:lineRule="exact"/>
        <w:jc w:val="center"/>
        <w:rPr>
          <w:rFonts w:ascii="宋体" w:hAnsi="宋体" w:cs="宋体"/>
          <w:b/>
          <w:sz w:val="36"/>
          <w:szCs w:val="36"/>
        </w:rPr>
      </w:pPr>
    </w:p>
    <w:p>
      <w:pPr>
        <w:spacing w:line="360" w:lineRule="auto"/>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优化和提升政府采购政策</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一、全面取消采购文件费用和投标保证金费用。</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二、免收履约保证金。确因项目需要的，应以保函等非现金形式收取，比例不得超过合同金额的</w:t>
      </w:r>
      <w:r>
        <w:rPr>
          <w:rFonts w:hint="eastAsia" w:asciiTheme="minorEastAsia" w:hAnsiTheme="minorEastAsia" w:eastAsiaTheme="minorEastAsia" w:cstheme="minorEastAsia"/>
          <w:sz w:val="24"/>
          <w:u w:val="single"/>
        </w:rPr>
        <w:t>6%</w:t>
      </w:r>
      <w:r>
        <w:rPr>
          <w:rFonts w:hint="eastAsia" w:asciiTheme="minorEastAsia" w:hAnsiTheme="minorEastAsia" w:eastAsiaTheme="minorEastAsia" w:cstheme="minorEastAsia"/>
          <w:sz w:val="24"/>
        </w:rPr>
        <w:t>，并按约定的时间和条件退还。</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三、评标结果确认时限。自评标（评审）结束后应2个工作日内确定中标（成交）投标人，5个工作日内公告结果，同时发送中标（成交）通知书。</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四、合同签订时限。自中标（成交）通知书发出之日起</w:t>
      </w:r>
      <w:r>
        <w:rPr>
          <w:rFonts w:hint="eastAsia" w:asciiTheme="minorEastAsia" w:hAnsiTheme="minorEastAsia" w:eastAsiaTheme="minorEastAsia" w:cstheme="minorEastAsia"/>
          <w:sz w:val="24"/>
          <w:u w:val="single"/>
        </w:rPr>
        <w:t>15</w:t>
      </w:r>
      <w:r>
        <w:rPr>
          <w:rFonts w:hint="eastAsia" w:asciiTheme="minorEastAsia" w:hAnsiTheme="minorEastAsia" w:eastAsiaTheme="minorEastAsia" w:cstheme="minorEastAsia"/>
          <w:sz w:val="24"/>
        </w:rPr>
        <w:t xml:space="preserve">日内，按照采购文件和投标（响应性）文件确定的事项签订政府采购合同。 </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五、合同公告和备案时限。自合同签订之日起2个工作日内。</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六、项目验收。自收到投标人项目验收建议之日起5个工作日内组织验收；验收结束后2个工作日内出具《验收报告》，并在焦作市政府采购网公告验收结果。</w:t>
      </w:r>
    </w:p>
    <w:p>
      <w:pPr>
        <w:shd w:val="clear" w:color="auto" w:fill="FFFFFF"/>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七、资金支付。按照合同约定的条件及时支付资金，不得因机构变更、人员更替、政策调整等原因拒绝或延迟资金支付。</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在政府采购活动中，若发现采购人或采购代理机构未按以上政策执行的，可向监督部门举报反映。</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监督单位：博爱县财政局政府采购监督管理办公室</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监督电话：0391-8683273</w:t>
      </w:r>
    </w:p>
    <w:p>
      <w:pPr>
        <w:shd w:val="clear" w:color="auto" w:fill="FFFFFF"/>
        <w:spacing w:line="360" w:lineRule="auto"/>
        <w:ind w:firstLine="480" w:firstLineChars="200"/>
        <w:rPr>
          <w:rFonts w:asciiTheme="minorEastAsia" w:hAnsiTheme="minorEastAsia" w:eastAsiaTheme="minorEastAsia" w:cstheme="minorEastAsia"/>
          <w:sz w:val="24"/>
          <w:shd w:val="clear" w:color="auto" w:fill="FFFFFF"/>
        </w:rPr>
      </w:pPr>
      <w:r>
        <w:rPr>
          <w:rFonts w:hint="eastAsia" w:asciiTheme="minorEastAsia" w:hAnsiTheme="minorEastAsia" w:eastAsiaTheme="minorEastAsia" w:cstheme="minorEastAsia"/>
          <w:sz w:val="24"/>
          <w:shd w:val="clear" w:color="auto" w:fill="FFFFFF"/>
        </w:rPr>
        <w:t>地址：博爱县发展大道188号机关综合办公楼主楼1213室</w:t>
      </w: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p>
    <w:p>
      <w:pPr>
        <w:pStyle w:val="5"/>
        <w:rPr>
          <w:rFonts w:ascii="宋体" w:hAnsi="宋体" w:cs="宋体"/>
          <w:sz w:val="36"/>
          <w:szCs w:val="36"/>
        </w:rPr>
      </w:pPr>
    </w:p>
    <w:p>
      <w:pPr>
        <w:rPr>
          <w:rFonts w:ascii="宋体" w:hAnsi="宋体" w:cs="宋体"/>
          <w:b/>
          <w:sz w:val="36"/>
          <w:szCs w:val="36"/>
        </w:rPr>
      </w:pPr>
    </w:p>
    <w:p>
      <w:pPr>
        <w:spacing w:line="440" w:lineRule="exact"/>
        <w:jc w:val="center"/>
        <w:rPr>
          <w:rFonts w:ascii="宋体" w:hAnsi="宋体" w:cs="宋体"/>
          <w:b/>
          <w:sz w:val="36"/>
          <w:szCs w:val="36"/>
        </w:rPr>
      </w:pPr>
    </w:p>
    <w:p>
      <w:pPr>
        <w:spacing w:line="440" w:lineRule="exact"/>
        <w:jc w:val="center"/>
        <w:rPr>
          <w:rFonts w:ascii="宋体" w:hAnsi="宋体" w:cs="宋体"/>
          <w:b/>
          <w:sz w:val="36"/>
          <w:szCs w:val="36"/>
        </w:rPr>
      </w:pPr>
      <w:r>
        <w:rPr>
          <w:rFonts w:hint="eastAsia" w:ascii="宋体" w:hAnsi="宋体" w:cs="宋体"/>
          <w:b/>
          <w:sz w:val="36"/>
          <w:szCs w:val="36"/>
        </w:rPr>
        <w:t>河南省政府采购合同融资政策告知函</w:t>
      </w:r>
    </w:p>
    <w:p>
      <w:pPr>
        <w:spacing w:line="360" w:lineRule="exact"/>
        <w:ind w:firstLine="420" w:firstLineChars="175"/>
        <w:rPr>
          <w:rFonts w:ascii="宋体" w:hAnsi="宋体" w:cs="宋体"/>
          <w:bCs/>
          <w:sz w:val="24"/>
        </w:rPr>
      </w:pPr>
      <w:r>
        <w:rPr>
          <w:rFonts w:hint="eastAsia" w:ascii="宋体" w:hAnsi="宋体" w:cs="宋体"/>
          <w:bCs/>
          <w:sz w:val="24"/>
        </w:rPr>
        <w:t>各投标人：</w:t>
      </w:r>
    </w:p>
    <w:p>
      <w:pPr>
        <w:spacing w:line="360" w:lineRule="exact"/>
        <w:ind w:firstLine="420" w:firstLineChars="175"/>
        <w:rPr>
          <w:rFonts w:ascii="宋体" w:hAnsi="宋体" w:cs="宋体"/>
          <w:bCs/>
          <w:sz w:val="24"/>
        </w:rPr>
      </w:pPr>
      <w:r>
        <w:rPr>
          <w:rFonts w:hint="eastAsia" w:ascii="宋体" w:hAnsi="宋体" w:cs="宋体"/>
          <w:bCs/>
          <w:sz w:val="24"/>
        </w:rPr>
        <w:t xml:space="preserve">   欢迎贵公司参与河南省政府采购活动！</w:t>
      </w:r>
    </w:p>
    <w:p>
      <w:pPr>
        <w:spacing w:line="360" w:lineRule="exact"/>
        <w:ind w:firstLine="420" w:firstLineChars="175"/>
        <w:rPr>
          <w:rFonts w:ascii="宋体" w:hAnsi="宋体" w:cs="宋体"/>
          <w:bCs/>
          <w:sz w:val="24"/>
        </w:rPr>
      </w:pPr>
      <w:r>
        <w:rPr>
          <w:rFonts w:hint="eastAsia" w:ascii="宋体" w:hAnsi="宋体" w:cs="宋体"/>
          <w:bCs/>
          <w:sz w:val="24"/>
        </w:rPr>
        <w:t xml:space="preserve">   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spacing w:line="360" w:lineRule="exact"/>
        <w:ind w:firstLine="420" w:firstLineChars="175"/>
        <w:rPr>
          <w:rFonts w:ascii="宋体" w:hAnsi="宋体" w:cs="宋体"/>
          <w:bCs/>
          <w:sz w:val="24"/>
        </w:rPr>
      </w:pPr>
      <w:r>
        <w:rPr>
          <w:rFonts w:hint="eastAsia" w:ascii="宋体" w:hAnsi="宋体" w:cs="宋体"/>
          <w:bCs/>
          <w:sz w:val="24"/>
        </w:rPr>
        <w:t xml:space="preserve"> 贷款渠道和提供贷款的金融机构，可在河南省政府采购网“河南省政府采购合同融资平台”查询联系。</w:t>
      </w:r>
    </w:p>
    <w:p>
      <w:pPr>
        <w:jc w:val="center"/>
        <w:rPr>
          <w:rFonts w:ascii="宋体" w:hAnsi="宋体"/>
          <w:b/>
          <w:sz w:val="32"/>
          <w:szCs w:val="32"/>
        </w:rPr>
      </w:pPr>
      <w:r>
        <w:rPr>
          <w:rFonts w:hint="eastAsia" w:ascii="宋体" w:hAnsi="宋体"/>
          <w:b/>
          <w:sz w:val="32"/>
          <w:szCs w:val="32"/>
        </w:rPr>
        <w:t>焦作市政府采购合同融资合作企业</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名称</w:t>
            </w:r>
          </w:p>
        </w:tc>
        <w:tc>
          <w:tcPr>
            <w:tcW w:w="1353"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联系人</w:t>
            </w:r>
          </w:p>
        </w:tc>
        <w:tc>
          <w:tcPr>
            <w:tcW w:w="2064"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联系电话</w:t>
            </w:r>
          </w:p>
        </w:tc>
        <w:tc>
          <w:tcPr>
            <w:tcW w:w="2558" w:type="dxa"/>
            <w:vAlign w:val="center"/>
          </w:tcPr>
          <w:p>
            <w:pPr>
              <w:widowControl/>
              <w:tabs>
                <w:tab w:val="left" w:pos="0"/>
              </w:tabs>
              <w:jc w:val="center"/>
              <w:rPr>
                <w:rFonts w:ascii="黑体" w:hAnsi="黑体" w:eastAsia="黑体"/>
                <w:sz w:val="30"/>
                <w:szCs w:val="30"/>
              </w:rPr>
            </w:pPr>
            <w:r>
              <w:rPr>
                <w:rFonts w:hint="eastAsia" w:ascii="黑体" w:hAnsi="黑体" w:eastAsia="黑体"/>
                <w:sz w:val="30"/>
                <w:szCs w:val="30"/>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中国农业银行股份有限公司</w:t>
            </w:r>
          </w:p>
          <w:p>
            <w:pPr>
              <w:widowControl/>
              <w:tabs>
                <w:tab w:val="left" w:pos="0"/>
              </w:tabs>
              <w:spacing w:line="360" w:lineRule="exact"/>
              <w:rPr>
                <w:rFonts w:ascii="宋体" w:hAnsi="宋体" w:cs="宋体"/>
                <w:sz w:val="24"/>
              </w:rPr>
            </w:pPr>
            <w:r>
              <w:rPr>
                <w:rFonts w:hint="eastAsia" w:ascii="宋体" w:hAnsi="宋体" w:cs="宋体"/>
                <w:sz w:val="24"/>
              </w:rPr>
              <w:t>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薛国战</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0391-2878039       13839109026</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曹阳</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0391-8825171  13839118160</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中国建设银行股份有限公司焦作分行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李华莹</w:t>
            </w:r>
          </w:p>
        </w:tc>
        <w:tc>
          <w:tcPr>
            <w:tcW w:w="2064"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0391-3918471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中国邮政储蓄银行股份有限公司焦作市分行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李天祥</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0391-2981968 13523359082</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焦作中旅银行股份有限公司</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周建林</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 xml:space="preserve">0391-2116963 15893053027 </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中信银行股份有限公司焦作分行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sz w:val="24"/>
              </w:rPr>
            </w:pPr>
            <w:r>
              <w:rPr>
                <w:rFonts w:hint="eastAsia" w:ascii="宋体" w:hAnsi="宋体" w:cs="宋体"/>
                <w:sz w:val="24"/>
              </w:rPr>
              <w:t>周江江</w:t>
            </w:r>
          </w:p>
        </w:tc>
        <w:tc>
          <w:tcPr>
            <w:tcW w:w="2064"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17639185001</w:t>
            </w:r>
          </w:p>
        </w:tc>
        <w:tc>
          <w:tcPr>
            <w:tcW w:w="2558" w:type="dxa"/>
            <w:shd w:val="solid" w:color="FFFFFF" w:fill="auto"/>
            <w:vAlign w:val="center"/>
          </w:tcPr>
          <w:p>
            <w:pPr>
              <w:widowControl/>
              <w:tabs>
                <w:tab w:val="left" w:pos="0"/>
              </w:tabs>
              <w:spacing w:line="360" w:lineRule="exact"/>
              <w:rPr>
                <w:rFonts w:ascii="宋体" w:hAnsi="宋体" w:cs="宋体"/>
                <w:sz w:val="24"/>
              </w:rPr>
            </w:pPr>
            <w:r>
              <w:rPr>
                <w:rFonts w:hint="eastAsia" w:ascii="宋体" w:hAnsi="宋体" w:cs="宋体"/>
                <w:sz w:val="24"/>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bCs/>
                <w:sz w:val="24"/>
              </w:rPr>
              <w:t>中国光大银行股份有限公司焦作分行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王海宾</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0391-8787996 13598534626</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中原银行股份有限公司焦作分行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赵伟</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0391-8796520 15738533033</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exact"/>
              <w:rPr>
                <w:rFonts w:ascii="宋体" w:hAnsi="宋体" w:cs="宋体"/>
                <w:sz w:val="24"/>
              </w:rPr>
            </w:pPr>
            <w:r>
              <w:rPr>
                <w:rFonts w:hint="eastAsia" w:ascii="宋体" w:hAnsi="宋体" w:cs="宋体"/>
                <w:sz w:val="24"/>
              </w:rPr>
              <w:t>广发银行股份有限公司焦作分行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sz w:val="24"/>
              </w:rPr>
            </w:pPr>
            <w:r>
              <w:rPr>
                <w:rFonts w:hint="eastAsia" w:ascii="宋体" w:hAnsi="宋体" w:cs="宋体"/>
                <w:sz w:val="24"/>
                <w:shd w:val="clear" w:color="auto" w:fill="FFFFFF"/>
              </w:rPr>
              <w:t>张嘉强</w:t>
            </w:r>
          </w:p>
        </w:tc>
        <w:tc>
          <w:tcPr>
            <w:tcW w:w="2064"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0391-653785 13203910032</w:t>
            </w:r>
          </w:p>
        </w:tc>
        <w:tc>
          <w:tcPr>
            <w:tcW w:w="2558" w:type="dxa"/>
            <w:shd w:val="solid" w:color="FFFFFF" w:fill="auto"/>
            <w:vAlign w:val="center"/>
          </w:tcPr>
          <w:p>
            <w:pPr>
              <w:shd w:val="solid" w:color="FFFFFF" w:fill="auto"/>
              <w:autoSpaceDN w:val="0"/>
              <w:jc w:val="center"/>
              <w:textAlignment w:val="center"/>
              <w:rPr>
                <w:rFonts w:ascii="宋体" w:hAnsi="宋体" w:cs="宋体"/>
                <w:sz w:val="24"/>
                <w:shd w:val="clear" w:color="auto" w:fill="FFFFFF"/>
              </w:rPr>
            </w:pPr>
            <w:r>
              <w:rPr>
                <w:rFonts w:hint="eastAsia" w:ascii="宋体" w:hAnsi="宋体" w:cs="宋体"/>
                <w:sz w:val="24"/>
                <w:shd w:val="clear" w:color="auto" w:fill="FFFFFF"/>
              </w:rPr>
              <w:t>焦作市塔南路1736号嘉隆金融中心</w:t>
            </w:r>
          </w:p>
        </w:tc>
      </w:tr>
    </w:tbl>
    <w:p>
      <w:pPr>
        <w:rPr>
          <w:rFonts w:ascii="宋体" w:hAnsi="宋体" w:cs="宋体"/>
          <w:sz w:val="24"/>
        </w:rPr>
      </w:pPr>
      <w:r>
        <w:rPr>
          <w:rFonts w:hint="eastAsia" w:ascii="宋体" w:hAnsi="宋体" w:cs="宋体"/>
          <w:sz w:val="24"/>
        </w:rPr>
        <w:t>备注：融资服务机构名单和人员联系方式会随时变化。具体情况可登录“焦作市政府采购网”政府采购合同融资平台查询。</w:t>
      </w: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monospace">
    <w:altName w:val="Times New Roman"/>
    <w:panose1 w:val="00000000000000000000"/>
    <w:charset w:val="00"/>
    <w:family w:val="auto"/>
    <w:pitch w:val="default"/>
    <w:sig w:usb0="00000000" w:usb1="00000000" w:usb2="00000000" w:usb3="00000000" w:csb0="00000000"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pPr>
                          <w:r>
                            <w:fldChar w:fldCharType="begin"/>
                          </w:r>
                          <w:r>
                            <w:instrText xml:space="preserve"> PAGE  \* MERGEFORMAT </w:instrText>
                          </w:r>
                          <w:r>
                            <w:fldChar w:fldCharType="separate"/>
                          </w:r>
                          <w:r>
                            <w:t>- 8 -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- 8 -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90500" cy="13144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w="6350">
                        <a:noFill/>
                      </a:ln>
                      <a:effectLst/>
                    </wps:spPr>
                    <wps:txbx>
                      <w:txbxContent>
                        <w:p>
                          <w:pPr>
                            <w:pStyle w:val="1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15pt;mso-position-horizontal:center;mso-position-horizontal-relative:margin;mso-wrap-style:none;z-index:251669504;mso-width-relative:page;mso-height-relative:page;" filled="f" stroked="f" coordsize="21600,21600" o:gfxdata="UEsDBAoAAAAAAIdO4kAAAAAAAAAAAAAAAAAEAAAAZHJzL1BLAwQUAAAACACHTuJARJ1N0NEAAAAD&#10;AQAADwAAAGRycy9kb3ducmV2LnhtbE2PwU7DMBBE70j8g7VI3KjdFgEKcSpREY5INBw4uvE2SbHX&#10;ke2m4e9ZuMBlpNGsZt6Wm9k7MWFMQyANy4UCgdQGO1Cn4b2pbx5ApGzIGhcINXxhgk11eVGawoYz&#10;veG0y53gEkqF0dDnPBZSprZHb9IijEicHUL0JrONnbTRnLncO7lS6k56MxAv9GbEbY/t5+7kNWzr&#10;pokTpug+8KVeH1+fbvF51vr6aqkeQWSc898x/OAzOlTMtA8nskk4DfxI/lXO1ordXsNK3YOsSvmf&#10;vfoGUEsDBBQAAAAIAIdO4kCV4IgKNAIAAGEEAAAOAAAAZHJzL2Uyb0RvYy54bWytVM2O0zAQviPx&#10;DpbvNOn+VFA1XZWtipAqdqWCOLuO00Tyn2x3k/IA8AacuHDnufocfHaaLlo47IFLOvaMv5nvm5nO&#10;bjolyYNwvjG6oONRTonQ3JSN3hX008fVq9eU+MB0yaTRoqAH4enN/OWLWWun4sLURpbCEYBoP21t&#10;QesQ7DTLPK+FYn5krNBwVsYpFnB0u6x0rAW6ktlFnk+y1rjSOsOF97hd9k56QnTPATRV1XCxNHyv&#10;hA49qhOSBVDydWM9nadqq0rwcFdVXgQiCwqmIX2RBPY2frP5jE13jtm64acS2HNKeMJJsUYj6Rlq&#10;yQIje9f8BaUa7ow3VRhxo7KeSFIELMb5E202NbMicYHU3p5F9/8Pln94uHekKQs6oUQzhYYfv387&#10;/vh1/PmVTKI8rfVTRG0s4kL31nQYmuHe4zKy7iqn4i/4EPgh7uEsrugC4fHRm/w6h4fDNb4cX11d&#10;R5Ts8bF1PrwTRpFoFNShd0lS9rD2oQ8dQmIubVaNlKl/UpMWBC6v8/Tg7AG41DFWpEk4wURCfeHR&#10;Ct22O7HcmvIAks70U+ItXzUoZc18uGcOY4HqsTjhDp9KGqQ0J4uS2rgv/7qP8egWvJS0GLOCamwV&#10;JfK9RhcBGAbDDcZ2MPRe3RrM7RgLaXky8cAFOZiVM+oztmkRc8DFNEemgobBvA39qGMbuVgsUhDm&#10;zrKw1hvLI3SUx9vFPkDOpHIUpVcC3YkHTF7q02lL4mj/eU5Rj/8M8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EnU3Q0QAAAAMBAAAPAAAAAAAAAAEAIAAAACIAAABkcnMvZG93bnJldi54bWxQSwEC&#10;FAAUAAAACACHTuJAleCICjQCAABhBAAADgAAAAAAAAABACAAAAAgAQAAZHJzL2Uyb0RvYy54bWxQ&#10;SwUGAAAAAAYABgBZAQAAxg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2403475</wp:posOffset>
              </wp:positionH>
              <wp:positionV relativeFrom="paragraph">
                <wp:posOffset>-276225</wp:posOffset>
              </wp:positionV>
              <wp:extent cx="1514475" cy="21050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514475" cy="2105025"/>
                      </a:xfrm>
                      <a:prstGeom prst="rect">
                        <a:avLst/>
                      </a:prstGeom>
                      <a:noFill/>
                      <a:ln>
                        <a:noFill/>
                      </a:ln>
                      <a:effectLst/>
                    </wps:spPr>
                    <wps:txbx>
                      <w:txbxContent>
                        <w:p>
                          <w:pPr>
                            <w:snapToGrid w:val="0"/>
                            <w:rPr>
                              <w:sz w:val="18"/>
                            </w:rPr>
                          </w:pPr>
                        </w:p>
                      </w:txbxContent>
                    </wps:txbx>
                    <wps:bodyPr upright="1"/>
                  </wps:wsp>
                </a:graphicData>
              </a:graphic>
            </wp:anchor>
          </w:drawing>
        </mc:Choice>
        <mc:Fallback>
          <w:pict>
            <v:shape id="_x0000_s1026" o:spid="_x0000_s1026"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nrcpebEBAABdAwAADgAAAGRycy9lMm9Eb2MueG1srVPN&#10;jtMwEL4j8Q6W7zRJtQUUNV0JVbuXFSAtPIDrjBtL/pPHbdIXgDfgxIU7z9XnYJyEsj+XPXBxxvPz&#10;zXzfOOvrwRp2hIjau4ZXi5IzcNK32u0b/vXLzZv3nGESrhXGO2j4CZBfb16/WvehhqXvvGkhMgJx&#10;WPeh4V1KoS4KlB1YgQsfwFFQ+WhFomvcF20UPaFbUyzL8m3R+9iG6CUgknc7BfmMGF8C6JXSErZe&#10;Hiy4NKFGMCIRJex0QL4Zp1UKZPqkFEJipuHENI0nNSF7l89isxb1PorQaTmPIF4ywhNOVmhHTS9Q&#10;W5EEO0T9DMpqGT16lRbS22IiMipCLKryiTb3nQgwciGpMVxEx/8HKz8eP0emW3oJnDlhaeHnH9/P&#10;P3+ff31jVZanD1hT1n2gvDR88ENOnf1Izsx6UNHmL/FhFCdxTxdxYUhM5qJVdXX1bsWZpNiyKlfl&#10;cpVxin/lIWK6BW9ZNhoeaXujqOJ4h2lK/ZuSuzl/o40hv6iNe+QgzMkD4xOYqzOTaeJspWE3zDR2&#10;vj0Ru0OIet9R45FfkZNI9XHC+YXktT68k/3wr9j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Cetyl5sQEAAF0DAAAOAAAAAAAAAAEAIAAAACcBAABkcnMvZTJvRG9jLnhtbFBLBQYAAAAABgAG&#10;AFkBAABKBQAAAAA=&#10;">
              <v:fill on="f" focussize="0,0"/>
              <v:stroke on="f"/>
              <v:imagedata o:title=""/>
              <o:lock v:ext="edit" aspectratio="f"/>
              <v:textbox>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rPr>
        <w:sz w:val="16"/>
        <w:szCs w:val="22"/>
      </w:rPr>
    </w:pPr>
    <w:r>
      <w:rPr>
        <w:sz w:val="20"/>
        <w:szCs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90500"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90500" cy="131445"/>
                      </a:xfrm>
                      <a:prstGeom prst="rect">
                        <a:avLst/>
                      </a:prstGeom>
                      <a:noFill/>
                      <a:ln>
                        <a:noFill/>
                      </a:ln>
                      <a:effectLst/>
                    </wps:spPr>
                    <wps:txbx>
                      <w:txbxContent>
                        <w:p>
                          <w:pPr>
                            <w:pStyle w:val="15"/>
                          </w:pPr>
                          <w:r>
                            <w:fldChar w:fldCharType="begin"/>
                          </w:r>
                          <w:r>
                            <w:instrText xml:space="preserve"> PAGE  \* MERGEFORMAT </w:instrText>
                          </w:r>
                          <w:r>
                            <w:fldChar w:fldCharType="separate"/>
                          </w:r>
                          <w:r>
                            <w:t>- 28 -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IW9GljSAQAApQMAAA4AAABkcnMvZTJvRG9jLnhtbK1TzY7TMBC+I/EO&#10;lu80yXY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LimxzODAT79+nn7/Pf35&#10;QZZJnt5DjVm3HvPi8N4NuDSzH9CZWA8ymPRFPgTjKO7xLK4YIuHp0dvyqsQIx1C1rC4v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hb0aWNIBAAClAwAADgAAAAAAAAABACAAAAAfAQAA&#10;ZHJzL2Uyb0RvYy54bWxQSwUGAAAAAAYABgBZAQAAYwU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- 28 -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B039FA"/>
    <w:multiLevelType w:val="singleLevel"/>
    <w:tmpl w:val="9FB039FA"/>
    <w:lvl w:ilvl="0" w:tentative="0">
      <w:start w:val="2"/>
      <w:numFmt w:val="chineseCounting"/>
      <w:suff w:val="nothing"/>
      <w:lvlText w:val="%1、"/>
      <w:lvlJc w:val="left"/>
      <w:rPr>
        <w:rFonts w:hint="eastAsia"/>
      </w:rPr>
    </w:lvl>
  </w:abstractNum>
  <w:abstractNum w:abstractNumId="3">
    <w:nsid w:val="A58974FB"/>
    <w:multiLevelType w:val="singleLevel"/>
    <w:tmpl w:val="A58974FB"/>
    <w:lvl w:ilvl="0" w:tentative="0">
      <w:start w:val="1"/>
      <w:numFmt w:val="decimal"/>
      <w:suff w:val="space"/>
      <w:lvlText w:val="%1."/>
      <w:lvlJc w:val="left"/>
    </w:lvl>
  </w:abstractNum>
  <w:abstractNum w:abstractNumId="4">
    <w:nsid w:val="B35C2360"/>
    <w:multiLevelType w:val="singleLevel"/>
    <w:tmpl w:val="B35C2360"/>
    <w:lvl w:ilvl="0" w:tentative="0">
      <w:start w:val="1"/>
      <w:numFmt w:val="chineseCounting"/>
      <w:suff w:val="nothing"/>
      <w:lvlText w:val="（%1）"/>
      <w:lvlJc w:val="left"/>
      <w:rPr>
        <w:rFonts w:hint="eastAsia"/>
      </w:rPr>
    </w:lvl>
  </w:abstractNum>
  <w:abstractNum w:abstractNumId="5">
    <w:nsid w:val="B940B7CB"/>
    <w:multiLevelType w:val="singleLevel"/>
    <w:tmpl w:val="B940B7CB"/>
    <w:lvl w:ilvl="0" w:tentative="0">
      <w:start w:val="3"/>
      <w:numFmt w:val="decimal"/>
      <w:suff w:val="nothing"/>
      <w:lvlText w:val="%1、"/>
      <w:lvlJc w:val="left"/>
    </w:lvl>
  </w:abstractNum>
  <w:abstractNum w:abstractNumId="6">
    <w:nsid w:val="E25B3C03"/>
    <w:multiLevelType w:val="singleLevel"/>
    <w:tmpl w:val="E25B3C03"/>
    <w:lvl w:ilvl="0" w:tentative="0">
      <w:start w:val="1"/>
      <w:numFmt w:val="decimal"/>
      <w:suff w:val="nothing"/>
      <w:lvlText w:val="（%1）"/>
      <w:lvlJc w:val="left"/>
    </w:lvl>
  </w:abstractNum>
  <w:abstractNum w:abstractNumId="7">
    <w:nsid w:val="074054F6"/>
    <w:multiLevelType w:val="multilevel"/>
    <w:tmpl w:val="074054F6"/>
    <w:lvl w:ilvl="0" w:tentative="0">
      <w:start w:val="1"/>
      <w:numFmt w:val="decimal"/>
      <w:pStyle w:val="37"/>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1C58BAF0"/>
    <w:multiLevelType w:val="singleLevel"/>
    <w:tmpl w:val="1C58BAF0"/>
    <w:lvl w:ilvl="0" w:tentative="0">
      <w:start w:val="1"/>
      <w:numFmt w:val="decimal"/>
      <w:suff w:val="nothing"/>
      <w:lvlText w:val="（%1）"/>
      <w:lvlJc w:val="left"/>
    </w:lvl>
  </w:abstractNum>
  <w:abstractNum w:abstractNumId="9">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5A693C2F"/>
    <w:multiLevelType w:val="singleLevel"/>
    <w:tmpl w:val="5A693C2F"/>
    <w:lvl w:ilvl="0" w:tentative="0">
      <w:start w:val="3"/>
      <w:numFmt w:val="chineseCounting"/>
      <w:suff w:val="space"/>
      <w:lvlText w:val="第%1章"/>
      <w:lvlJc w:val="left"/>
    </w:lvl>
  </w:abstractNum>
  <w:abstractNum w:abstractNumId="11">
    <w:nsid w:val="6E86814D"/>
    <w:multiLevelType w:val="singleLevel"/>
    <w:tmpl w:val="6E86814D"/>
    <w:lvl w:ilvl="0" w:tentative="0">
      <w:start w:val="1"/>
      <w:numFmt w:val="chineseCounting"/>
      <w:suff w:val="space"/>
      <w:lvlText w:val="%1、"/>
      <w:lvlJc w:val="left"/>
      <w:rPr>
        <w:rFonts w:hint="eastAsia"/>
      </w:rPr>
    </w:lvl>
  </w:abstractNum>
  <w:abstractNum w:abstractNumId="12">
    <w:nsid w:val="75324FB0"/>
    <w:multiLevelType w:val="singleLevel"/>
    <w:tmpl w:val="75324FB0"/>
    <w:lvl w:ilvl="0" w:tentative="0">
      <w:start w:val="1"/>
      <w:numFmt w:val="chineseCounting"/>
      <w:suff w:val="space"/>
      <w:lvlText w:val="第%1章"/>
      <w:lvlJc w:val="left"/>
      <w:pPr>
        <w:ind w:left="630"/>
      </w:pPr>
      <w:rPr>
        <w:rFonts w:hint="eastAsia"/>
      </w:rPr>
    </w:lvl>
  </w:abstractNum>
  <w:abstractNum w:abstractNumId="13">
    <w:nsid w:val="768FB672"/>
    <w:multiLevelType w:val="singleLevel"/>
    <w:tmpl w:val="768FB672"/>
    <w:lvl w:ilvl="0" w:tentative="0">
      <w:start w:val="4"/>
      <w:numFmt w:val="chineseCounting"/>
      <w:suff w:val="nothing"/>
      <w:lvlText w:val="%1、"/>
      <w:lvlJc w:val="left"/>
      <w:pPr>
        <w:ind w:left="-60"/>
      </w:pPr>
      <w:rPr>
        <w:rFonts w:hint="eastAsia"/>
      </w:rPr>
    </w:lvl>
  </w:abstractNum>
  <w:num w:numId="1">
    <w:abstractNumId w:val="7"/>
  </w:num>
  <w:num w:numId="2">
    <w:abstractNumId w:val="5"/>
  </w:num>
  <w:num w:numId="3">
    <w:abstractNumId w:val="12"/>
  </w:num>
  <w:num w:numId="4">
    <w:abstractNumId w:val="0"/>
  </w:num>
  <w:num w:numId="5">
    <w:abstractNumId w:val="10"/>
  </w:num>
  <w:num w:numId="6">
    <w:abstractNumId w:val="4"/>
  </w:num>
  <w:num w:numId="7">
    <w:abstractNumId w:val="1"/>
  </w:num>
  <w:num w:numId="8">
    <w:abstractNumId w:val="8"/>
  </w:num>
  <w:num w:numId="9">
    <w:abstractNumId w:val="6"/>
  </w:num>
  <w:num w:numId="10">
    <w:abstractNumId w:val="13"/>
  </w:num>
  <w:num w:numId="11">
    <w:abstractNumId w:val="9"/>
  </w:num>
  <w:num w:numId="12">
    <w:abstractNumId w:val="3"/>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90"/>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YWQxYWE2YTBmY2FhZThlNGM5OWRiMGU4ZWQwNmMifQ=="/>
  </w:docVars>
  <w:rsids>
    <w:rsidRoot w:val="00172A27"/>
    <w:rsid w:val="00013654"/>
    <w:rsid w:val="000720C4"/>
    <w:rsid w:val="000A3912"/>
    <w:rsid w:val="000E7AB9"/>
    <w:rsid w:val="00145803"/>
    <w:rsid w:val="00172A27"/>
    <w:rsid w:val="00192771"/>
    <w:rsid w:val="001E527C"/>
    <w:rsid w:val="001F379D"/>
    <w:rsid w:val="00281BCC"/>
    <w:rsid w:val="002A1364"/>
    <w:rsid w:val="002C293C"/>
    <w:rsid w:val="0034193D"/>
    <w:rsid w:val="0037488C"/>
    <w:rsid w:val="00382698"/>
    <w:rsid w:val="003840CE"/>
    <w:rsid w:val="003B5E35"/>
    <w:rsid w:val="003C293D"/>
    <w:rsid w:val="00454A9B"/>
    <w:rsid w:val="004628FA"/>
    <w:rsid w:val="00515F67"/>
    <w:rsid w:val="00525DE1"/>
    <w:rsid w:val="005315C8"/>
    <w:rsid w:val="005B5440"/>
    <w:rsid w:val="005D3EC2"/>
    <w:rsid w:val="0060421A"/>
    <w:rsid w:val="006615CD"/>
    <w:rsid w:val="00666E50"/>
    <w:rsid w:val="006838D7"/>
    <w:rsid w:val="006B2CA3"/>
    <w:rsid w:val="007074F1"/>
    <w:rsid w:val="0072020A"/>
    <w:rsid w:val="007B27AB"/>
    <w:rsid w:val="008A148B"/>
    <w:rsid w:val="008C48A1"/>
    <w:rsid w:val="00917652"/>
    <w:rsid w:val="009542C9"/>
    <w:rsid w:val="009F752F"/>
    <w:rsid w:val="00A13C3D"/>
    <w:rsid w:val="00A61B02"/>
    <w:rsid w:val="00AA4C85"/>
    <w:rsid w:val="00AD2F76"/>
    <w:rsid w:val="00B22521"/>
    <w:rsid w:val="00B3402D"/>
    <w:rsid w:val="00B366EC"/>
    <w:rsid w:val="00B41EA6"/>
    <w:rsid w:val="00BC45CD"/>
    <w:rsid w:val="00BC47C8"/>
    <w:rsid w:val="00C15FCB"/>
    <w:rsid w:val="00C71C7E"/>
    <w:rsid w:val="00C94A06"/>
    <w:rsid w:val="00C94AF7"/>
    <w:rsid w:val="00CF3BAF"/>
    <w:rsid w:val="00D833BE"/>
    <w:rsid w:val="00DB3303"/>
    <w:rsid w:val="00DF3899"/>
    <w:rsid w:val="00E61A34"/>
    <w:rsid w:val="00ED76C3"/>
    <w:rsid w:val="00F03D87"/>
    <w:rsid w:val="00F556DE"/>
    <w:rsid w:val="00F82DE2"/>
    <w:rsid w:val="00F8584C"/>
    <w:rsid w:val="00FB3E02"/>
    <w:rsid w:val="00FF5EE5"/>
    <w:rsid w:val="01597611"/>
    <w:rsid w:val="019C74BD"/>
    <w:rsid w:val="01A249C3"/>
    <w:rsid w:val="01CD0413"/>
    <w:rsid w:val="02023511"/>
    <w:rsid w:val="02204E7D"/>
    <w:rsid w:val="0231564C"/>
    <w:rsid w:val="023F2212"/>
    <w:rsid w:val="02407E32"/>
    <w:rsid w:val="02534437"/>
    <w:rsid w:val="02A079AD"/>
    <w:rsid w:val="02AD7AC3"/>
    <w:rsid w:val="031F2043"/>
    <w:rsid w:val="03A34A22"/>
    <w:rsid w:val="03DF62D5"/>
    <w:rsid w:val="04351B1E"/>
    <w:rsid w:val="04764B57"/>
    <w:rsid w:val="049A5F70"/>
    <w:rsid w:val="04A46CA4"/>
    <w:rsid w:val="05154305"/>
    <w:rsid w:val="064B3EA8"/>
    <w:rsid w:val="06A27213"/>
    <w:rsid w:val="06B37672"/>
    <w:rsid w:val="06F1337E"/>
    <w:rsid w:val="06F21FF8"/>
    <w:rsid w:val="07302A71"/>
    <w:rsid w:val="0740516B"/>
    <w:rsid w:val="074D4119"/>
    <w:rsid w:val="0753050D"/>
    <w:rsid w:val="07554ACD"/>
    <w:rsid w:val="07997BA5"/>
    <w:rsid w:val="07CB4548"/>
    <w:rsid w:val="082509A7"/>
    <w:rsid w:val="08297BEC"/>
    <w:rsid w:val="083A174E"/>
    <w:rsid w:val="08B6562F"/>
    <w:rsid w:val="08D370D1"/>
    <w:rsid w:val="091A12E3"/>
    <w:rsid w:val="09714F13"/>
    <w:rsid w:val="09A514F4"/>
    <w:rsid w:val="0A083831"/>
    <w:rsid w:val="0A3E54A5"/>
    <w:rsid w:val="0AB44F17"/>
    <w:rsid w:val="0B1A1A6E"/>
    <w:rsid w:val="0B344BF6"/>
    <w:rsid w:val="0B61144B"/>
    <w:rsid w:val="0C076843"/>
    <w:rsid w:val="0C2D57D1"/>
    <w:rsid w:val="0C4D19CF"/>
    <w:rsid w:val="0CD05128"/>
    <w:rsid w:val="0D1F511A"/>
    <w:rsid w:val="0D610B1D"/>
    <w:rsid w:val="0D674D12"/>
    <w:rsid w:val="0D792EC2"/>
    <w:rsid w:val="0D81592D"/>
    <w:rsid w:val="0DAE3471"/>
    <w:rsid w:val="0DEE2D3E"/>
    <w:rsid w:val="0E0D2F3E"/>
    <w:rsid w:val="0E3D3575"/>
    <w:rsid w:val="0EA33B28"/>
    <w:rsid w:val="0EDC105C"/>
    <w:rsid w:val="0EDE6CBA"/>
    <w:rsid w:val="0EFC7167"/>
    <w:rsid w:val="0F0410E0"/>
    <w:rsid w:val="0FE278B1"/>
    <w:rsid w:val="0FE73EE9"/>
    <w:rsid w:val="1012372A"/>
    <w:rsid w:val="1031492B"/>
    <w:rsid w:val="10374E70"/>
    <w:rsid w:val="10544429"/>
    <w:rsid w:val="106A361E"/>
    <w:rsid w:val="110A2E9D"/>
    <w:rsid w:val="113D3D5C"/>
    <w:rsid w:val="115630D4"/>
    <w:rsid w:val="11A25357"/>
    <w:rsid w:val="11A5077F"/>
    <w:rsid w:val="11B34CF4"/>
    <w:rsid w:val="126E269F"/>
    <w:rsid w:val="129F0B79"/>
    <w:rsid w:val="12D032FB"/>
    <w:rsid w:val="13196E1B"/>
    <w:rsid w:val="13651CF4"/>
    <w:rsid w:val="13D308D7"/>
    <w:rsid w:val="143C687A"/>
    <w:rsid w:val="144162BD"/>
    <w:rsid w:val="1457163D"/>
    <w:rsid w:val="14860849"/>
    <w:rsid w:val="14C80D54"/>
    <w:rsid w:val="14D233B9"/>
    <w:rsid w:val="14E629C1"/>
    <w:rsid w:val="15883A78"/>
    <w:rsid w:val="16985F3D"/>
    <w:rsid w:val="16997753"/>
    <w:rsid w:val="169D288C"/>
    <w:rsid w:val="16A62408"/>
    <w:rsid w:val="174116A4"/>
    <w:rsid w:val="179C380B"/>
    <w:rsid w:val="18A67D45"/>
    <w:rsid w:val="18D3325C"/>
    <w:rsid w:val="196A7BE4"/>
    <w:rsid w:val="19CA0B03"/>
    <w:rsid w:val="19EF2318"/>
    <w:rsid w:val="1A0C111B"/>
    <w:rsid w:val="1A913822"/>
    <w:rsid w:val="1A9D1D74"/>
    <w:rsid w:val="1B1E4680"/>
    <w:rsid w:val="1B33310F"/>
    <w:rsid w:val="1BC81072"/>
    <w:rsid w:val="1BD529D4"/>
    <w:rsid w:val="1BE9127A"/>
    <w:rsid w:val="1BF9122C"/>
    <w:rsid w:val="1C0320AA"/>
    <w:rsid w:val="1CD57C9C"/>
    <w:rsid w:val="1CD852E5"/>
    <w:rsid w:val="1CDD28FB"/>
    <w:rsid w:val="1D2E3157"/>
    <w:rsid w:val="1D5A65E9"/>
    <w:rsid w:val="1DAD0520"/>
    <w:rsid w:val="1DD106B2"/>
    <w:rsid w:val="1E212A6F"/>
    <w:rsid w:val="1E360353"/>
    <w:rsid w:val="1E37603B"/>
    <w:rsid w:val="1E9F6947"/>
    <w:rsid w:val="1EB33136"/>
    <w:rsid w:val="1EE937D9"/>
    <w:rsid w:val="1F5238BB"/>
    <w:rsid w:val="1FA2174D"/>
    <w:rsid w:val="1FB04E84"/>
    <w:rsid w:val="205C7FDB"/>
    <w:rsid w:val="21C85928"/>
    <w:rsid w:val="223F3A67"/>
    <w:rsid w:val="23C21A0E"/>
    <w:rsid w:val="24044C11"/>
    <w:rsid w:val="2434703C"/>
    <w:rsid w:val="24581EC9"/>
    <w:rsid w:val="245D7AC3"/>
    <w:rsid w:val="245F3E5F"/>
    <w:rsid w:val="249062DA"/>
    <w:rsid w:val="24AC7783"/>
    <w:rsid w:val="24D32F62"/>
    <w:rsid w:val="24ED3BD2"/>
    <w:rsid w:val="2556149D"/>
    <w:rsid w:val="257C53A7"/>
    <w:rsid w:val="25F10BAD"/>
    <w:rsid w:val="26357304"/>
    <w:rsid w:val="26557F83"/>
    <w:rsid w:val="2671382C"/>
    <w:rsid w:val="26AF355A"/>
    <w:rsid w:val="27DD7C53"/>
    <w:rsid w:val="28013942"/>
    <w:rsid w:val="2858552C"/>
    <w:rsid w:val="287019A1"/>
    <w:rsid w:val="287E4274"/>
    <w:rsid w:val="28BD1C36"/>
    <w:rsid w:val="28CA467C"/>
    <w:rsid w:val="28E62B38"/>
    <w:rsid w:val="29712D49"/>
    <w:rsid w:val="29AD1F3E"/>
    <w:rsid w:val="2A1F4553"/>
    <w:rsid w:val="2A334727"/>
    <w:rsid w:val="2AFC77ED"/>
    <w:rsid w:val="2B7E0BF1"/>
    <w:rsid w:val="2C120077"/>
    <w:rsid w:val="2C2A6DCA"/>
    <w:rsid w:val="2C7566AC"/>
    <w:rsid w:val="2C872098"/>
    <w:rsid w:val="2CA70830"/>
    <w:rsid w:val="2CDD69DE"/>
    <w:rsid w:val="2D104627"/>
    <w:rsid w:val="2D4759F0"/>
    <w:rsid w:val="2D4B17C9"/>
    <w:rsid w:val="2D746964"/>
    <w:rsid w:val="2DCB5A9B"/>
    <w:rsid w:val="2E3D58F0"/>
    <w:rsid w:val="2E7164C1"/>
    <w:rsid w:val="2E8C4181"/>
    <w:rsid w:val="2E996D68"/>
    <w:rsid w:val="2ED80964"/>
    <w:rsid w:val="30204B81"/>
    <w:rsid w:val="3054090C"/>
    <w:rsid w:val="31466F7E"/>
    <w:rsid w:val="315E08FB"/>
    <w:rsid w:val="31600FDA"/>
    <w:rsid w:val="31B94039"/>
    <w:rsid w:val="32243EA7"/>
    <w:rsid w:val="326E1ADA"/>
    <w:rsid w:val="32753B36"/>
    <w:rsid w:val="32AC094E"/>
    <w:rsid w:val="32BD2B5B"/>
    <w:rsid w:val="32D560F7"/>
    <w:rsid w:val="330C04D6"/>
    <w:rsid w:val="33896EE1"/>
    <w:rsid w:val="33947D60"/>
    <w:rsid w:val="3442156A"/>
    <w:rsid w:val="34572E48"/>
    <w:rsid w:val="34BF0E0C"/>
    <w:rsid w:val="34C74165"/>
    <w:rsid w:val="351B1DBB"/>
    <w:rsid w:val="356103C1"/>
    <w:rsid w:val="359F479A"/>
    <w:rsid w:val="3608233F"/>
    <w:rsid w:val="36370E76"/>
    <w:rsid w:val="364C5C5D"/>
    <w:rsid w:val="36525CB0"/>
    <w:rsid w:val="367B0D63"/>
    <w:rsid w:val="36AA33F6"/>
    <w:rsid w:val="36F2243E"/>
    <w:rsid w:val="372A4537"/>
    <w:rsid w:val="37533A8E"/>
    <w:rsid w:val="37D13E88"/>
    <w:rsid w:val="38C56745"/>
    <w:rsid w:val="395221DE"/>
    <w:rsid w:val="39E14020"/>
    <w:rsid w:val="3A1D38C5"/>
    <w:rsid w:val="3A323E2F"/>
    <w:rsid w:val="3A414072"/>
    <w:rsid w:val="3A864B89"/>
    <w:rsid w:val="3AAA15E3"/>
    <w:rsid w:val="3AC405E4"/>
    <w:rsid w:val="3B680882"/>
    <w:rsid w:val="3B9D352A"/>
    <w:rsid w:val="3C5740DD"/>
    <w:rsid w:val="3C617ADE"/>
    <w:rsid w:val="3C875BD5"/>
    <w:rsid w:val="3D3F6549"/>
    <w:rsid w:val="3D6E3B32"/>
    <w:rsid w:val="3DA04472"/>
    <w:rsid w:val="3DA476DF"/>
    <w:rsid w:val="3DC254CA"/>
    <w:rsid w:val="3DCB7BB1"/>
    <w:rsid w:val="3E4509F4"/>
    <w:rsid w:val="3E5B7207"/>
    <w:rsid w:val="3E8E1D06"/>
    <w:rsid w:val="3EA91C86"/>
    <w:rsid w:val="3EC86B10"/>
    <w:rsid w:val="3F4505E5"/>
    <w:rsid w:val="3F51170A"/>
    <w:rsid w:val="3FD66319"/>
    <w:rsid w:val="3FF840EB"/>
    <w:rsid w:val="400C231E"/>
    <w:rsid w:val="407C1AED"/>
    <w:rsid w:val="40AE6405"/>
    <w:rsid w:val="40C833DC"/>
    <w:rsid w:val="410D1152"/>
    <w:rsid w:val="417B430D"/>
    <w:rsid w:val="419212F6"/>
    <w:rsid w:val="41A82C28"/>
    <w:rsid w:val="420C4EF5"/>
    <w:rsid w:val="42181E5B"/>
    <w:rsid w:val="42E303BC"/>
    <w:rsid w:val="42F65BA4"/>
    <w:rsid w:val="43463A73"/>
    <w:rsid w:val="435B61A4"/>
    <w:rsid w:val="43EA7528"/>
    <w:rsid w:val="4453447A"/>
    <w:rsid w:val="447514E8"/>
    <w:rsid w:val="44760DBC"/>
    <w:rsid w:val="44823C05"/>
    <w:rsid w:val="44F506CB"/>
    <w:rsid w:val="46001285"/>
    <w:rsid w:val="46337F86"/>
    <w:rsid w:val="47503B46"/>
    <w:rsid w:val="485633DE"/>
    <w:rsid w:val="48633724"/>
    <w:rsid w:val="486E372E"/>
    <w:rsid w:val="48C22822"/>
    <w:rsid w:val="48D04411"/>
    <w:rsid w:val="49080B7C"/>
    <w:rsid w:val="495261A3"/>
    <w:rsid w:val="499F2B63"/>
    <w:rsid w:val="49B4660E"/>
    <w:rsid w:val="49BC1967"/>
    <w:rsid w:val="4A373881"/>
    <w:rsid w:val="4B51526C"/>
    <w:rsid w:val="4BA55B26"/>
    <w:rsid w:val="4BB943B0"/>
    <w:rsid w:val="4BC6087B"/>
    <w:rsid w:val="4BCD1C09"/>
    <w:rsid w:val="4C4814B5"/>
    <w:rsid w:val="4D477799"/>
    <w:rsid w:val="4D66012C"/>
    <w:rsid w:val="4D8C494F"/>
    <w:rsid w:val="4D987FF5"/>
    <w:rsid w:val="4E7C3AE4"/>
    <w:rsid w:val="4EA555E0"/>
    <w:rsid w:val="4EB16272"/>
    <w:rsid w:val="4ED77988"/>
    <w:rsid w:val="4ED84B4D"/>
    <w:rsid w:val="4FDA48F5"/>
    <w:rsid w:val="4FDD6193"/>
    <w:rsid w:val="50067E95"/>
    <w:rsid w:val="50091D29"/>
    <w:rsid w:val="50357D7D"/>
    <w:rsid w:val="505B3C87"/>
    <w:rsid w:val="50FC2E79"/>
    <w:rsid w:val="51266848"/>
    <w:rsid w:val="51B11685"/>
    <w:rsid w:val="51F82BBB"/>
    <w:rsid w:val="520E4D2A"/>
    <w:rsid w:val="522B7DE8"/>
    <w:rsid w:val="52DC6BD6"/>
    <w:rsid w:val="52E955F3"/>
    <w:rsid w:val="52EB6588"/>
    <w:rsid w:val="534820A6"/>
    <w:rsid w:val="53CC27A6"/>
    <w:rsid w:val="53CF72B2"/>
    <w:rsid w:val="53D14261"/>
    <w:rsid w:val="53DB57DF"/>
    <w:rsid w:val="544704A9"/>
    <w:rsid w:val="55161DC8"/>
    <w:rsid w:val="5549056E"/>
    <w:rsid w:val="55742754"/>
    <w:rsid w:val="55C81AB9"/>
    <w:rsid w:val="55FB20AD"/>
    <w:rsid w:val="5664557C"/>
    <w:rsid w:val="569F2D39"/>
    <w:rsid w:val="56A31EE4"/>
    <w:rsid w:val="56B85264"/>
    <w:rsid w:val="56BB3C75"/>
    <w:rsid w:val="56DE7067"/>
    <w:rsid w:val="570620A6"/>
    <w:rsid w:val="570955B4"/>
    <w:rsid w:val="574F7976"/>
    <w:rsid w:val="57527C3E"/>
    <w:rsid w:val="5783793E"/>
    <w:rsid w:val="578810DA"/>
    <w:rsid w:val="57964022"/>
    <w:rsid w:val="57B43C7D"/>
    <w:rsid w:val="57CC2BA0"/>
    <w:rsid w:val="586C4DA8"/>
    <w:rsid w:val="58BC103B"/>
    <w:rsid w:val="58BF28DA"/>
    <w:rsid w:val="58C315F4"/>
    <w:rsid w:val="59441031"/>
    <w:rsid w:val="594828CF"/>
    <w:rsid w:val="594F1EAF"/>
    <w:rsid w:val="59691BDE"/>
    <w:rsid w:val="599F77C9"/>
    <w:rsid w:val="59C95F43"/>
    <w:rsid w:val="59D73707"/>
    <w:rsid w:val="59E76456"/>
    <w:rsid w:val="5A8042EB"/>
    <w:rsid w:val="5A851901"/>
    <w:rsid w:val="5A93268F"/>
    <w:rsid w:val="5A957D96"/>
    <w:rsid w:val="5AB2046A"/>
    <w:rsid w:val="5AE6318E"/>
    <w:rsid w:val="5BB31F68"/>
    <w:rsid w:val="5C1B251D"/>
    <w:rsid w:val="5C3E7FB9"/>
    <w:rsid w:val="5C8E651C"/>
    <w:rsid w:val="5C917CF5"/>
    <w:rsid w:val="5D120EE1"/>
    <w:rsid w:val="5D7C6FEB"/>
    <w:rsid w:val="5D886CB3"/>
    <w:rsid w:val="5DB443B5"/>
    <w:rsid w:val="5E313880"/>
    <w:rsid w:val="5E803BCC"/>
    <w:rsid w:val="5E893766"/>
    <w:rsid w:val="5EAE4FD3"/>
    <w:rsid w:val="5ED73C45"/>
    <w:rsid w:val="5EDE57C9"/>
    <w:rsid w:val="5EE74938"/>
    <w:rsid w:val="5F09244A"/>
    <w:rsid w:val="5F1514A5"/>
    <w:rsid w:val="5F9177D9"/>
    <w:rsid w:val="5FB7255D"/>
    <w:rsid w:val="5FEF619A"/>
    <w:rsid w:val="60082DB8"/>
    <w:rsid w:val="60B25AEA"/>
    <w:rsid w:val="615C6151"/>
    <w:rsid w:val="61BC3E5A"/>
    <w:rsid w:val="62047871"/>
    <w:rsid w:val="622B3906"/>
    <w:rsid w:val="62D6719E"/>
    <w:rsid w:val="62DD22DA"/>
    <w:rsid w:val="62EF46F3"/>
    <w:rsid w:val="63100901"/>
    <w:rsid w:val="633148D2"/>
    <w:rsid w:val="63BE035D"/>
    <w:rsid w:val="64852E60"/>
    <w:rsid w:val="64CA3CB4"/>
    <w:rsid w:val="651C7C5F"/>
    <w:rsid w:val="65A442CC"/>
    <w:rsid w:val="65EF7DA6"/>
    <w:rsid w:val="66342B59"/>
    <w:rsid w:val="66373858"/>
    <w:rsid w:val="66521231"/>
    <w:rsid w:val="666845B1"/>
    <w:rsid w:val="66AF56DB"/>
    <w:rsid w:val="66D734E4"/>
    <w:rsid w:val="66DE4873"/>
    <w:rsid w:val="66E3632D"/>
    <w:rsid w:val="66F10A4A"/>
    <w:rsid w:val="67477DD7"/>
    <w:rsid w:val="67923FAF"/>
    <w:rsid w:val="67AB689B"/>
    <w:rsid w:val="67F105D6"/>
    <w:rsid w:val="682E6AFE"/>
    <w:rsid w:val="68B476C6"/>
    <w:rsid w:val="69431305"/>
    <w:rsid w:val="69676C0C"/>
    <w:rsid w:val="69AE1092"/>
    <w:rsid w:val="69D37A82"/>
    <w:rsid w:val="69E71C90"/>
    <w:rsid w:val="6A425119"/>
    <w:rsid w:val="6A617F0B"/>
    <w:rsid w:val="6A627D5F"/>
    <w:rsid w:val="6AE54422"/>
    <w:rsid w:val="6AE9729B"/>
    <w:rsid w:val="6BCF1CE1"/>
    <w:rsid w:val="6BD36CF4"/>
    <w:rsid w:val="6CD72490"/>
    <w:rsid w:val="6D0A63C2"/>
    <w:rsid w:val="6D2917A9"/>
    <w:rsid w:val="6D3563AF"/>
    <w:rsid w:val="6D4E6E2B"/>
    <w:rsid w:val="6D67660A"/>
    <w:rsid w:val="6D8A1C5D"/>
    <w:rsid w:val="6DB97DE8"/>
    <w:rsid w:val="6DC81DD9"/>
    <w:rsid w:val="6F33431F"/>
    <w:rsid w:val="6F54601A"/>
    <w:rsid w:val="6FC576F1"/>
    <w:rsid w:val="6FE0340A"/>
    <w:rsid w:val="70136E2A"/>
    <w:rsid w:val="706B0FD9"/>
    <w:rsid w:val="70822713"/>
    <w:rsid w:val="70B46F74"/>
    <w:rsid w:val="714B51FB"/>
    <w:rsid w:val="718F0D21"/>
    <w:rsid w:val="71DF0C7B"/>
    <w:rsid w:val="721049DF"/>
    <w:rsid w:val="727442DD"/>
    <w:rsid w:val="72A42EE3"/>
    <w:rsid w:val="72FD1EE3"/>
    <w:rsid w:val="73900C02"/>
    <w:rsid w:val="73BE334D"/>
    <w:rsid w:val="73C92407"/>
    <w:rsid w:val="73DC1ABD"/>
    <w:rsid w:val="744A4D84"/>
    <w:rsid w:val="75BA38FC"/>
    <w:rsid w:val="75F6021B"/>
    <w:rsid w:val="765C2A04"/>
    <w:rsid w:val="77062AB4"/>
    <w:rsid w:val="77463913"/>
    <w:rsid w:val="778925D9"/>
    <w:rsid w:val="786F17CF"/>
    <w:rsid w:val="78D6184E"/>
    <w:rsid w:val="7957206C"/>
    <w:rsid w:val="79631BE1"/>
    <w:rsid w:val="797A2798"/>
    <w:rsid w:val="79992F3A"/>
    <w:rsid w:val="79C773E8"/>
    <w:rsid w:val="79EC68CF"/>
    <w:rsid w:val="7A921700"/>
    <w:rsid w:val="7AC5090D"/>
    <w:rsid w:val="7ADC6EC3"/>
    <w:rsid w:val="7B1D3764"/>
    <w:rsid w:val="7BC67A39"/>
    <w:rsid w:val="7C1A207B"/>
    <w:rsid w:val="7C4D62CB"/>
    <w:rsid w:val="7C537629"/>
    <w:rsid w:val="7C574A54"/>
    <w:rsid w:val="7CC83F86"/>
    <w:rsid w:val="7CCA3711"/>
    <w:rsid w:val="7DE76694"/>
    <w:rsid w:val="7EF95A5A"/>
    <w:rsid w:val="7EFB200E"/>
    <w:rsid w:val="7F3E1EFB"/>
    <w:rsid w:val="7F463BFE"/>
    <w:rsid w:val="7F5654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qFormat="1" w:uiPriority="99" w:semiHidden="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iPriority="0" w:semiHidden="0" w:name="Body Text First Indent"/>
    <w:lsdException w:qFormat="1" w:unhideWhenUsed="0" w:uiPriority="0" w:semiHidden="0" w:name="Body Text First Indent 2"/>
    <w:lsdException w:uiPriority="0" w:name="Note Heading"/>
    <w:lsdException w:qFormat="1" w:uiPriority="0" w:semiHidden="0" w:name="Body Text 2"/>
    <w:lsdException w:qFormat="1"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5">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6">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Times New Roman" w:hAnsi="Times New Roman"/>
    </w:rPr>
  </w:style>
  <w:style w:type="paragraph" w:styleId="3">
    <w:name w:val="Body Text 2"/>
    <w:basedOn w:val="1"/>
    <w:next w:val="2"/>
    <w:unhideWhenUsed/>
    <w:qFormat/>
    <w:uiPriority w:val="0"/>
    <w:pPr>
      <w:spacing w:after="120" w:line="480" w:lineRule="auto"/>
    </w:pPr>
    <w:rPr>
      <w:rFonts w:ascii="Times New Roman" w:hAnsi="Times New Roman"/>
    </w:rPr>
  </w:style>
  <w:style w:type="paragraph" w:styleId="7">
    <w:name w:val="caption"/>
    <w:basedOn w:val="1"/>
    <w:next w:val="1"/>
    <w:qFormat/>
    <w:uiPriority w:val="0"/>
    <w:rPr>
      <w:rFonts w:ascii="Arial" w:hAnsi="Arial" w:eastAsia="黑体" w:cstheme="minorBidi"/>
      <w:sz w:val="20"/>
    </w:rPr>
  </w:style>
  <w:style w:type="paragraph" w:styleId="8">
    <w:name w:val="toa heading"/>
    <w:basedOn w:val="1"/>
    <w:next w:val="1"/>
    <w:unhideWhenUsed/>
    <w:qFormat/>
    <w:uiPriority w:val="99"/>
    <w:pPr>
      <w:spacing w:before="120"/>
    </w:pPr>
    <w:rPr>
      <w:rFonts w:ascii="Arial" w:hAnsi="Arial" w:cs="Arial"/>
      <w:sz w:val="24"/>
    </w:rPr>
  </w:style>
  <w:style w:type="paragraph" w:styleId="9">
    <w:name w:val="annotation text"/>
    <w:basedOn w:val="1"/>
    <w:qFormat/>
    <w:uiPriority w:val="0"/>
    <w:pPr>
      <w:jc w:val="left"/>
    </w:pPr>
  </w:style>
  <w:style w:type="paragraph" w:styleId="10">
    <w:name w:val="Body Text 3"/>
    <w:basedOn w:val="1"/>
    <w:unhideWhenUsed/>
    <w:qFormat/>
    <w:uiPriority w:val="0"/>
    <w:pPr>
      <w:spacing w:after="120"/>
    </w:pPr>
    <w:rPr>
      <w:rFonts w:ascii="Times New Roman" w:hAnsi="Times New Roman"/>
      <w:sz w:val="16"/>
      <w:szCs w:val="16"/>
    </w:rPr>
  </w:style>
  <w:style w:type="paragraph" w:styleId="11">
    <w:name w:val="Body Text Indent"/>
    <w:basedOn w:val="1"/>
    <w:next w:val="12"/>
    <w:qFormat/>
    <w:uiPriority w:val="0"/>
    <w:pPr>
      <w:ind w:firstLine="560" w:firstLineChars="200"/>
    </w:pPr>
    <w:rPr>
      <w:rFonts w:ascii="Times New Roman" w:hAnsi="Times New Roman"/>
    </w:rPr>
  </w:style>
  <w:style w:type="paragraph" w:styleId="12">
    <w:name w:val="annotation subject"/>
    <w:basedOn w:val="9"/>
    <w:next w:val="1"/>
    <w:qFormat/>
    <w:uiPriority w:val="0"/>
    <w:rPr>
      <w:b/>
      <w:bCs/>
    </w:rPr>
  </w:style>
  <w:style w:type="paragraph" w:styleId="13">
    <w:name w:val="toc 3"/>
    <w:basedOn w:val="1"/>
    <w:next w:val="1"/>
    <w:qFormat/>
    <w:uiPriority w:val="0"/>
    <w:pPr>
      <w:ind w:left="840" w:leftChars="400"/>
    </w:pPr>
  </w:style>
  <w:style w:type="paragraph" w:styleId="14">
    <w:name w:val="Plain Text"/>
    <w:basedOn w:val="1"/>
    <w:qFormat/>
    <w:uiPriority w:val="0"/>
    <w:rPr>
      <w:rFonts w:hint="eastAsia" w:ascii="宋体" w:hAnsi="Courier New"/>
      <w:szCs w:val="21"/>
    </w:rPr>
  </w:style>
  <w:style w:type="paragraph" w:styleId="15">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6">
    <w:name w:val="envelope return"/>
    <w:basedOn w:val="1"/>
    <w:qFormat/>
    <w:uiPriority w:val="99"/>
    <w:pPr>
      <w:snapToGrid w:val="0"/>
    </w:pPr>
    <w:rPr>
      <w:rFonts w:ascii="Arial" w:hAnsi="Arial" w:cs="Arial"/>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8">
    <w:name w:val="toc 1"/>
    <w:basedOn w:val="1"/>
    <w:next w:val="1"/>
    <w:qFormat/>
    <w:uiPriority w:val="0"/>
    <w:rPr>
      <w:rFonts w:ascii="Times New Roman" w:hAnsi="Times New Roman"/>
    </w:rPr>
  </w:style>
  <w:style w:type="paragraph" w:styleId="19">
    <w:name w:val="toc 2"/>
    <w:basedOn w:val="1"/>
    <w:next w:val="1"/>
    <w:qFormat/>
    <w:uiPriority w:val="0"/>
    <w:pPr>
      <w:ind w:left="420" w:leftChars="200"/>
    </w:p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1">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22">
    <w:name w:val="Body Text First Indent"/>
    <w:basedOn w:val="2"/>
    <w:next w:val="1"/>
    <w:unhideWhenUsed/>
    <w:qFormat/>
    <w:uiPriority w:val="0"/>
    <w:pPr>
      <w:ind w:firstLine="420" w:firstLineChars="100"/>
    </w:pPr>
    <w:rPr>
      <w:rFonts w:hint="eastAsia" w:ascii="楷体_GB2312" w:eastAsia="楷体_GB2312"/>
      <w:sz w:val="32"/>
    </w:rPr>
  </w:style>
  <w:style w:type="paragraph" w:styleId="23">
    <w:name w:val="Body Text First Indent 2"/>
    <w:basedOn w:val="11"/>
    <w:next w:val="1"/>
    <w:qFormat/>
    <w:uiPriority w:val="0"/>
    <w:pPr>
      <w:ind w:firstLine="420"/>
    </w:pPr>
  </w:style>
  <w:style w:type="table" w:styleId="25">
    <w:name w:val="Table Grid"/>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FollowedHyperlink"/>
    <w:basedOn w:val="26"/>
    <w:qFormat/>
    <w:uiPriority w:val="0"/>
    <w:rPr>
      <w:color w:val="800080"/>
      <w:u w:val="none"/>
    </w:rPr>
  </w:style>
  <w:style w:type="character" w:styleId="28">
    <w:name w:val="HTML Definition"/>
    <w:basedOn w:val="26"/>
    <w:qFormat/>
    <w:uiPriority w:val="0"/>
  </w:style>
  <w:style w:type="character" w:styleId="29">
    <w:name w:val="HTML Typewriter"/>
    <w:basedOn w:val="26"/>
    <w:qFormat/>
    <w:uiPriority w:val="0"/>
    <w:rPr>
      <w:rFonts w:hint="default" w:ascii="monospace" w:hAnsi="monospace" w:eastAsia="monospace" w:cs="monospace"/>
      <w:sz w:val="20"/>
    </w:rPr>
  </w:style>
  <w:style w:type="character" w:styleId="30">
    <w:name w:val="HTML Acronym"/>
    <w:basedOn w:val="26"/>
    <w:qFormat/>
    <w:uiPriority w:val="0"/>
  </w:style>
  <w:style w:type="character" w:styleId="31">
    <w:name w:val="HTML Variable"/>
    <w:basedOn w:val="26"/>
    <w:qFormat/>
    <w:uiPriority w:val="0"/>
  </w:style>
  <w:style w:type="character" w:styleId="32">
    <w:name w:val="Hyperlink"/>
    <w:qFormat/>
    <w:uiPriority w:val="99"/>
    <w:rPr>
      <w:rFonts w:cs="Times New Roman"/>
      <w:color w:val="0000FF"/>
      <w:u w:val="single"/>
    </w:rPr>
  </w:style>
  <w:style w:type="character" w:styleId="33">
    <w:name w:val="HTML Code"/>
    <w:basedOn w:val="26"/>
    <w:qFormat/>
    <w:uiPriority w:val="0"/>
    <w:rPr>
      <w:rFonts w:hint="default" w:ascii="monospace" w:hAnsi="monospace" w:eastAsia="monospace" w:cs="monospace"/>
      <w:sz w:val="20"/>
    </w:rPr>
  </w:style>
  <w:style w:type="character" w:styleId="34">
    <w:name w:val="HTML Cite"/>
    <w:basedOn w:val="26"/>
    <w:qFormat/>
    <w:uiPriority w:val="0"/>
  </w:style>
  <w:style w:type="character" w:styleId="35">
    <w:name w:val="HTML Keyboard"/>
    <w:basedOn w:val="26"/>
    <w:qFormat/>
    <w:uiPriority w:val="0"/>
    <w:rPr>
      <w:rFonts w:ascii="monospace" w:hAnsi="monospace" w:eastAsia="monospace" w:cs="monospace"/>
      <w:sz w:val="20"/>
    </w:rPr>
  </w:style>
  <w:style w:type="character" w:styleId="36">
    <w:name w:val="HTML Sample"/>
    <w:basedOn w:val="26"/>
    <w:qFormat/>
    <w:uiPriority w:val="0"/>
    <w:rPr>
      <w:rFonts w:hint="default" w:ascii="monospace" w:hAnsi="monospace" w:eastAsia="monospace" w:cs="monospace"/>
    </w:rPr>
  </w:style>
  <w:style w:type="paragraph" w:customStyle="1" w:styleId="37">
    <w:name w:val="Style1"/>
    <w:next w:val="38"/>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8">
    <w:name w:val="*正文"/>
    <w:basedOn w:val="1"/>
    <w:qFormat/>
    <w:uiPriority w:val="0"/>
    <w:pPr>
      <w:ind w:firstLine="200" w:firstLineChars="200"/>
    </w:pPr>
    <w:rPr>
      <w:rFonts w:ascii="宋体" w:hAnsi="宋体"/>
      <w:szCs w:val="22"/>
    </w:rPr>
  </w:style>
  <w:style w:type="paragraph" w:customStyle="1" w:styleId="39">
    <w:name w:val="正文文本 21"/>
    <w:basedOn w:val="1"/>
    <w:qFormat/>
    <w:uiPriority w:val="0"/>
    <w:rPr>
      <w:rFonts w:ascii="Times New Roman" w:hAnsi="Times New Roman"/>
      <w:sz w:val="28"/>
    </w:rPr>
  </w:style>
  <w:style w:type="paragraph" w:customStyle="1" w:styleId="40">
    <w:name w:val="style4"/>
    <w:basedOn w:val="41"/>
    <w:next w:val="42"/>
    <w:qFormat/>
    <w:uiPriority w:val="0"/>
    <w:pPr>
      <w:widowControl/>
      <w:spacing w:beforeAutospacing="1" w:afterAutospacing="1"/>
      <w:jc w:val="left"/>
    </w:pPr>
    <w:rPr>
      <w:rFonts w:ascii="宋体" w:hAnsi="宋体" w:cs="宋体"/>
      <w:kern w:val="0"/>
      <w:sz w:val="18"/>
      <w:szCs w:val="18"/>
    </w:rPr>
  </w:style>
  <w:style w:type="paragraph" w:customStyle="1" w:styleId="41">
    <w:name w:val="正文_0"/>
    <w:next w:val="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Body Text First Indent1"/>
    <w:basedOn w:val="2"/>
    <w:qFormat/>
    <w:uiPriority w:val="0"/>
    <w:pPr>
      <w:ind w:firstLine="420" w:firstLineChars="100"/>
    </w:pPr>
  </w:style>
  <w:style w:type="paragraph" w:customStyle="1" w:styleId="44">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45">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46">
    <w:name w:val="表格文字"/>
    <w:basedOn w:val="1"/>
    <w:next w:val="2"/>
    <w:qFormat/>
    <w:uiPriority w:val="0"/>
    <w:pPr>
      <w:adjustRightInd w:val="0"/>
      <w:spacing w:line="420" w:lineRule="atLeast"/>
      <w:jc w:val="left"/>
      <w:textAlignment w:val="baseline"/>
    </w:pPr>
    <w:rPr>
      <w:kern w:val="0"/>
    </w:rPr>
  </w:style>
  <w:style w:type="paragraph" w:customStyle="1" w:styleId="47">
    <w:name w:val="p0"/>
    <w:basedOn w:val="48"/>
    <w:qFormat/>
    <w:uiPriority w:val="0"/>
    <w:pPr>
      <w:widowControl/>
    </w:pPr>
    <w:rPr>
      <w:kern w:val="0"/>
      <w:szCs w:val="21"/>
    </w:rPr>
  </w:style>
  <w:style w:type="paragraph" w:customStyle="1" w:styleId="48">
    <w:name w:val="正文1"/>
    <w:next w:val="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正文文本1"/>
    <w:basedOn w:val="48"/>
    <w:qFormat/>
    <w:uiPriority w:val="99"/>
    <w:rPr>
      <w:rFonts w:eastAsia="楷体_GB2312"/>
      <w:sz w:val="28"/>
    </w:rPr>
  </w:style>
  <w:style w:type="character" w:customStyle="1" w:styleId="50">
    <w:name w:val="NormalCharacter"/>
    <w:qFormat/>
    <w:uiPriority w:val="0"/>
    <w:rPr>
      <w:rFonts w:ascii="Book Antiqua" w:hAnsi="Book Antiqua" w:eastAsia="宋体" w:cs="Times New Roman"/>
      <w:kern w:val="2"/>
      <w:sz w:val="21"/>
      <w:szCs w:val="24"/>
      <w:lang w:val="en-US" w:eastAsia="zh-CN" w:bidi="ar-SA"/>
    </w:rPr>
  </w:style>
  <w:style w:type="paragraph" w:customStyle="1" w:styleId="51">
    <w:name w:val="BodyText1I"/>
    <w:basedOn w:val="52"/>
    <w:next w:val="54"/>
    <w:qFormat/>
    <w:uiPriority w:val="0"/>
    <w:pPr>
      <w:ind w:firstLine="420" w:firstLineChars="100"/>
    </w:pPr>
    <w:rPr>
      <w:rFonts w:ascii="楷体_GB2312"/>
      <w:sz w:val="32"/>
    </w:rPr>
  </w:style>
  <w:style w:type="paragraph" w:customStyle="1" w:styleId="52">
    <w:name w:val="BodyText"/>
    <w:basedOn w:val="1"/>
    <w:next w:val="53"/>
    <w:qFormat/>
    <w:uiPriority w:val="0"/>
    <w:pPr>
      <w:textAlignment w:val="baseline"/>
    </w:pPr>
    <w:rPr>
      <w:rFonts w:ascii="Calibri" w:hAnsi="Calibri" w:eastAsia="楷体_GB2312"/>
      <w:kern w:val="0"/>
      <w:sz w:val="28"/>
    </w:rPr>
  </w:style>
  <w:style w:type="paragraph" w:customStyle="1" w:styleId="53">
    <w:name w:val="BodyText2"/>
    <w:basedOn w:val="1"/>
    <w:next w:val="52"/>
    <w:qFormat/>
    <w:uiPriority w:val="0"/>
    <w:pPr>
      <w:spacing w:after="120" w:line="480" w:lineRule="auto"/>
      <w:textAlignment w:val="baseline"/>
    </w:pPr>
  </w:style>
  <w:style w:type="paragraph" w:customStyle="1" w:styleId="54">
    <w:name w:val="BodyText1I2"/>
    <w:basedOn w:val="55"/>
    <w:qFormat/>
    <w:uiPriority w:val="0"/>
    <w:pPr>
      <w:ind w:firstLine="420" w:firstLineChars="200"/>
    </w:pPr>
  </w:style>
  <w:style w:type="paragraph" w:customStyle="1" w:styleId="55">
    <w:name w:val="BodyTextIndent"/>
    <w:basedOn w:val="1"/>
    <w:qFormat/>
    <w:uiPriority w:val="0"/>
    <w:pPr>
      <w:spacing w:after="120"/>
      <w:ind w:left="420" w:leftChars="200"/>
      <w:textAlignment w:val="baseline"/>
    </w:pPr>
  </w:style>
  <w:style w:type="paragraph" w:customStyle="1" w:styleId="56">
    <w:name w:val="TOAHeading"/>
    <w:basedOn w:val="1"/>
    <w:next w:val="1"/>
    <w:qFormat/>
    <w:uiPriority w:val="0"/>
    <w:pPr>
      <w:spacing w:before="120"/>
      <w:textAlignment w:val="baseline"/>
    </w:pPr>
    <w:rPr>
      <w:rFonts w:ascii="Arial" w:hAnsi="Arial"/>
      <w:sz w:val="24"/>
      <w:szCs w:val="22"/>
    </w:rPr>
  </w:style>
  <w:style w:type="paragraph" w:customStyle="1" w:styleId="57">
    <w:name w:val="Table Paragraph"/>
    <w:basedOn w:val="1"/>
    <w:qFormat/>
    <w:uiPriority w:val="1"/>
    <w:rPr>
      <w:rFonts w:ascii="宋体" w:hAnsi="宋体" w:cs="宋体"/>
      <w:lang w:val="zh-CN" w:bidi="zh-CN"/>
    </w:rPr>
  </w:style>
  <w:style w:type="paragraph" w:styleId="58">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59">
    <w:name w:val="_Style 41"/>
    <w:basedOn w:val="1"/>
    <w:next w:val="58"/>
    <w:qFormat/>
    <w:uiPriority w:val="34"/>
    <w:pPr>
      <w:ind w:firstLine="420" w:firstLineChars="200"/>
    </w:pPr>
    <w:rPr>
      <w:rFonts w:ascii="等线" w:hAnsi="等线" w:eastAsia="等线"/>
      <w:szCs w:val="22"/>
    </w:rPr>
  </w:style>
  <w:style w:type="paragraph" w:customStyle="1" w:styleId="60">
    <w:name w:val="首行缩进"/>
    <w:basedOn w:val="1"/>
    <w:next w:val="1"/>
    <w:qFormat/>
    <w:uiPriority w:val="0"/>
    <w:pPr>
      <w:spacing w:line="360" w:lineRule="auto"/>
      <w:ind w:left="210" w:leftChars="100" w:firstLine="420" w:firstLineChars="200"/>
    </w:pPr>
    <w:rPr>
      <w:rFonts w:ascii="宋体" w:hAnsi="宋体"/>
    </w:rPr>
  </w:style>
  <w:style w:type="character" w:customStyle="1" w:styleId="61">
    <w:name w:val="hover16"/>
    <w:basedOn w:val="26"/>
    <w:qFormat/>
    <w:uiPriority w:val="0"/>
  </w:style>
  <w:style w:type="character" w:customStyle="1" w:styleId="62">
    <w:name w:val="hover17"/>
    <w:basedOn w:val="26"/>
    <w:qFormat/>
    <w:uiPriority w:val="0"/>
  </w:style>
  <w:style w:type="paragraph" w:customStyle="1" w:styleId="63">
    <w:name w:val="一级条标题"/>
    <w:basedOn w:val="1"/>
    <w:next w:val="64"/>
    <w:qFormat/>
    <w:uiPriority w:val="0"/>
    <w:pPr>
      <w:widowControl/>
      <w:tabs>
        <w:tab w:val="left" w:pos="810"/>
        <w:tab w:val="left" w:pos="907"/>
        <w:tab w:val="left" w:pos="1265"/>
      </w:tabs>
      <w:spacing w:line="1292" w:lineRule="atLeast"/>
      <w:ind w:left="907" w:hanging="907"/>
      <w:jc w:val="center"/>
      <w:outlineLvl w:val="2"/>
    </w:pPr>
    <w:rPr>
      <w:rFonts w:ascii="Arial" w:hAnsi="宋体" w:eastAsia="黑体" w:cs="黑体"/>
      <w:kern w:val="0"/>
      <w:sz w:val="20"/>
      <w:szCs w:val="20"/>
      <w:lang w:eastAsia="en-US" w:bidi="en-US"/>
    </w:rPr>
  </w:style>
  <w:style w:type="paragraph" w:customStyle="1" w:styleId="64">
    <w:name w:val="段"/>
    <w:basedOn w:val="1"/>
    <w:next w:val="1"/>
    <w:qFormat/>
    <w:uiPriority w:val="0"/>
    <w:pPr>
      <w:widowControl/>
      <w:autoSpaceDE w:val="0"/>
      <w:autoSpaceDN w:val="0"/>
    </w:pPr>
    <w:rPr>
      <w:rFonts w:hint="eastAsia" w:ascii="宋体" w:hAnsi="宋体" w:cs="宋体"/>
      <w:kern w:val="0"/>
    </w:rPr>
  </w:style>
  <w:style w:type="paragraph" w:customStyle="1" w:styleId="65">
    <w:name w:val="正文2"/>
    <w:qFormat/>
    <w:uiPriority w:val="0"/>
    <w:pPr>
      <w:jc w:val="both"/>
    </w:pPr>
    <w:rPr>
      <w:rFonts w:ascii="等线" w:hAnsi="等线" w:eastAsia="宋体" w:cs="宋体"/>
      <w:kern w:val="2"/>
      <w:sz w:val="21"/>
      <w:szCs w:val="21"/>
      <w:lang w:val="en-US" w:eastAsia="zh-CN" w:bidi="ar-SA"/>
    </w:rPr>
  </w:style>
  <w:style w:type="paragraph" w:customStyle="1" w:styleId="66">
    <w:name w:val="无间隔1"/>
    <w:basedOn w:val="1"/>
    <w:qFormat/>
    <w:uiPriority w:val="0"/>
    <w:rPr>
      <w:rFonts w:ascii="Times New Roman" w:hAnsi="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328B00-DE11-45F0-91B5-E37199CD6B2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20786</Words>
  <Characters>22587</Characters>
  <Lines>190</Lines>
  <Paragraphs>53</Paragraphs>
  <TotalTime>6</TotalTime>
  <ScaleCrop>false</ScaleCrop>
  <LinksUpToDate>false</LinksUpToDate>
  <CharactersWithSpaces>23913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2022-12-16T05:24:00Z</dcterms:created>
  <dc:creator>DELL</dc:creator>
  <cp:lastModifiedBy>Trumen</cp:lastModifiedBy>
  <cp:lastPrinted>2022-12-16T08:16:00Z</cp:lastPrinted>
  <dcterms:modified xsi:type="dcterms:W3CDTF">2023-01-19T07:47:04Z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A7EC9638BC9B4235AE9E56AAA0DD2A73</vt:lpwstr>
  </property>
</Properties>
</file>