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heme="minorEastAsia" w:hAnsiTheme="minorEastAsia" w:eastAsiaTheme="minorEastAsia" w:cstheme="minorEastAsia"/>
          <w:color w:val="auto"/>
          <w:highlight w:val="none"/>
        </w:rPr>
      </w:pPr>
      <w:bookmarkStart w:id="0" w:name="_Toc281574833"/>
      <w:bookmarkStart w:id="341" w:name="_GoBack"/>
      <w:bookmarkEnd w:id="341"/>
    </w:p>
    <w:p>
      <w:pPr>
        <w:spacing w:line="360" w:lineRule="auto"/>
        <w:jc w:val="center"/>
        <w:rPr>
          <w:rFonts w:hint="eastAsia" w:asciiTheme="majorEastAsia" w:hAnsiTheme="majorEastAsia" w:eastAsiaTheme="majorEastAsia" w:cstheme="majorEastAsia"/>
          <w:b/>
          <w:bCs/>
          <w:color w:val="auto"/>
          <w:kern w:val="2"/>
          <w:sz w:val="44"/>
          <w:szCs w:val="44"/>
          <w:highlight w:val="none"/>
          <w:lang w:val="en-US" w:eastAsia="zh-CN" w:bidi="ar-SA"/>
        </w:rPr>
      </w:pPr>
      <w:r>
        <w:rPr>
          <w:rFonts w:hint="eastAsia" w:asciiTheme="majorEastAsia" w:hAnsiTheme="majorEastAsia" w:eastAsiaTheme="majorEastAsia" w:cstheme="majorEastAsia"/>
          <w:b/>
          <w:bCs/>
          <w:color w:val="auto"/>
          <w:kern w:val="2"/>
          <w:sz w:val="44"/>
          <w:szCs w:val="44"/>
          <w:highlight w:val="none"/>
          <w:lang w:val="en-US" w:eastAsia="zh-CN" w:bidi="ar-SA"/>
        </w:rPr>
        <w:t>博爱县公安局建设完善“防控圈”感知设备</w:t>
      </w:r>
    </w:p>
    <w:p>
      <w:pPr>
        <w:spacing w:line="360" w:lineRule="auto"/>
        <w:jc w:val="center"/>
        <w:rPr>
          <w:rFonts w:hint="eastAsia" w:asciiTheme="majorEastAsia" w:hAnsiTheme="majorEastAsia" w:eastAsiaTheme="majorEastAsia" w:cstheme="majorEastAsia"/>
          <w:b/>
          <w:bCs/>
          <w:color w:val="auto"/>
          <w:kern w:val="2"/>
          <w:sz w:val="44"/>
          <w:szCs w:val="44"/>
          <w:highlight w:val="none"/>
          <w:lang w:val="en-US" w:eastAsia="zh-CN" w:bidi="ar-SA"/>
        </w:rPr>
      </w:pPr>
      <w:r>
        <w:rPr>
          <w:rFonts w:hint="eastAsia" w:asciiTheme="majorEastAsia" w:hAnsiTheme="majorEastAsia" w:eastAsiaTheme="majorEastAsia" w:cstheme="majorEastAsia"/>
          <w:b/>
          <w:bCs/>
          <w:color w:val="auto"/>
          <w:kern w:val="2"/>
          <w:sz w:val="44"/>
          <w:szCs w:val="44"/>
          <w:highlight w:val="none"/>
          <w:lang w:val="en-US" w:eastAsia="zh-CN" w:bidi="ar-SA"/>
        </w:rPr>
        <w:t>采购项目</w:t>
      </w:r>
    </w:p>
    <w:p>
      <w:pPr>
        <w:spacing w:line="360" w:lineRule="auto"/>
        <w:jc w:val="center"/>
        <w:rPr>
          <w:rFonts w:asciiTheme="minorEastAsia" w:hAnsiTheme="minorEastAsia" w:eastAsiaTheme="minorEastAsia" w:cstheme="minorEastAsia"/>
          <w:b/>
          <w:color w:val="auto"/>
          <w:sz w:val="120"/>
          <w:szCs w:val="120"/>
          <w:highlight w:val="none"/>
        </w:rPr>
      </w:pPr>
      <w:r>
        <w:rPr>
          <w:rFonts w:hint="eastAsia" w:asciiTheme="majorEastAsia" w:hAnsiTheme="majorEastAsia" w:eastAsiaTheme="majorEastAsia" w:cstheme="majorEastAsia"/>
          <w:b/>
          <w:bCs/>
          <w:color w:val="auto"/>
          <w:kern w:val="2"/>
          <w:sz w:val="44"/>
          <w:szCs w:val="44"/>
          <w:highlight w:val="none"/>
          <w:lang w:val="en-US" w:eastAsia="zh-CN" w:bidi="ar-SA"/>
        </w:rPr>
        <w:t xml:space="preserve"> </w:t>
      </w:r>
    </w:p>
    <w:p>
      <w:pPr>
        <w:pStyle w:val="2"/>
        <w:rPr>
          <w:color w:val="auto"/>
          <w:highlight w:val="none"/>
        </w:rPr>
      </w:pPr>
    </w:p>
    <w:p>
      <w:pPr>
        <w:spacing w:line="360" w:lineRule="auto"/>
        <w:jc w:val="center"/>
        <w:rPr>
          <w:rFonts w:asciiTheme="minorEastAsia" w:hAnsiTheme="minorEastAsia" w:eastAsiaTheme="minorEastAsia" w:cstheme="minorEastAsia"/>
          <w:b/>
          <w:color w:val="auto"/>
          <w:sz w:val="120"/>
          <w:szCs w:val="120"/>
          <w:highlight w:val="none"/>
        </w:rPr>
      </w:pPr>
      <w:r>
        <w:rPr>
          <w:rFonts w:hint="eastAsia" w:asciiTheme="minorEastAsia" w:hAnsiTheme="minorEastAsia" w:eastAsiaTheme="minorEastAsia" w:cstheme="minorEastAsia"/>
          <w:b/>
          <w:color w:val="auto"/>
          <w:sz w:val="120"/>
          <w:szCs w:val="120"/>
          <w:highlight w:val="none"/>
        </w:rPr>
        <w:t>招 标 文 件</w:t>
      </w:r>
    </w:p>
    <w:p>
      <w:pPr>
        <w:spacing w:line="360" w:lineRule="auto"/>
        <w:jc w:val="center"/>
        <w:rPr>
          <w:rFonts w:hint="eastAsia" w:asciiTheme="minorEastAsia" w:hAnsiTheme="minorEastAsia" w:eastAsiaTheme="minorEastAsia" w:cstheme="minorEastAsia"/>
          <w:b/>
          <w:bCs/>
          <w:color w:val="auto"/>
          <w:sz w:val="36"/>
          <w:szCs w:val="36"/>
          <w:highlight w:val="none"/>
          <w:lang w:eastAsia="zh-CN"/>
        </w:rPr>
      </w:pPr>
      <w:r>
        <w:rPr>
          <w:rFonts w:hint="eastAsia" w:asciiTheme="minorEastAsia" w:hAnsiTheme="minorEastAsia" w:eastAsiaTheme="minorEastAsia" w:cstheme="minorEastAsia"/>
          <w:b/>
          <w:bCs/>
          <w:color w:val="auto"/>
          <w:sz w:val="36"/>
          <w:szCs w:val="36"/>
          <w:highlight w:val="none"/>
        </w:rPr>
        <w:t>采购编号：</w:t>
      </w:r>
      <w:r>
        <w:rPr>
          <w:rFonts w:hint="eastAsia" w:asciiTheme="minorEastAsia" w:hAnsiTheme="minorEastAsia" w:eastAsiaTheme="minorEastAsia" w:cstheme="minorEastAsia"/>
          <w:b/>
          <w:bCs/>
          <w:color w:val="auto"/>
          <w:sz w:val="36"/>
          <w:szCs w:val="36"/>
          <w:highlight w:val="none"/>
          <w:lang w:eastAsia="zh-CN"/>
        </w:rPr>
        <w:t>博政采购〔2022〕109号</w:t>
      </w:r>
    </w:p>
    <w:p>
      <w:pPr>
        <w:jc w:val="center"/>
        <w:rPr>
          <w:rFonts w:asciiTheme="minorEastAsia" w:hAnsiTheme="minorEastAsia" w:eastAsiaTheme="minorEastAsia" w:cstheme="minorEastAsia"/>
          <w:color w:val="auto"/>
          <w:sz w:val="30"/>
          <w:highlight w:val="none"/>
        </w:rPr>
      </w:pPr>
    </w:p>
    <w:p>
      <w:pPr>
        <w:rPr>
          <w:rFonts w:asciiTheme="minorEastAsia" w:hAnsiTheme="minorEastAsia" w:eastAsiaTheme="minorEastAsia" w:cstheme="minorEastAsia"/>
          <w:color w:val="auto"/>
          <w:sz w:val="30"/>
          <w:highlight w:val="none"/>
        </w:rPr>
      </w:pPr>
    </w:p>
    <w:p>
      <w:pPr>
        <w:rPr>
          <w:rFonts w:asciiTheme="minorEastAsia" w:hAnsiTheme="minorEastAsia" w:eastAsiaTheme="minorEastAsia" w:cstheme="minorEastAsia"/>
          <w:color w:val="auto"/>
          <w:highlight w:val="none"/>
        </w:rPr>
      </w:pPr>
    </w:p>
    <w:p>
      <w:pPr>
        <w:pStyle w:val="2"/>
        <w:rPr>
          <w:rFonts w:asciiTheme="minorEastAsia" w:hAnsiTheme="minorEastAsia" w:eastAsiaTheme="minorEastAsia" w:cstheme="minorEastAsia"/>
          <w:color w:val="auto"/>
          <w:highlight w:val="none"/>
        </w:rPr>
      </w:pPr>
    </w:p>
    <w:p>
      <w:pPr>
        <w:pStyle w:val="3"/>
        <w:rPr>
          <w:rFonts w:asciiTheme="minorEastAsia" w:hAnsiTheme="minorEastAsia" w:eastAsiaTheme="minorEastAsia" w:cstheme="minorEastAsia"/>
          <w:color w:val="auto"/>
          <w:highlight w:val="none"/>
        </w:rPr>
      </w:pPr>
    </w:p>
    <w:p>
      <w:pPr>
        <w:pStyle w:val="2"/>
        <w:rPr>
          <w:color w:val="auto"/>
          <w:highlight w:val="none"/>
        </w:rPr>
      </w:pPr>
    </w:p>
    <w:p>
      <w:pPr>
        <w:ind w:firstLine="1928" w:firstLineChars="600"/>
        <w:rPr>
          <w:rFonts w:hint="eastAsia" w:asciiTheme="minorEastAsia" w:hAnsiTheme="minorEastAsia" w:eastAsiaTheme="minorEastAsia" w:cstheme="minorEastAsia"/>
          <w:b/>
          <w:bCs/>
          <w:color w:val="auto"/>
          <w:sz w:val="32"/>
          <w:szCs w:val="32"/>
          <w:highlight w:val="none"/>
          <w:lang w:eastAsia="zh-CN"/>
        </w:rPr>
      </w:pPr>
      <w:r>
        <w:rPr>
          <w:rFonts w:hint="eastAsia" w:asciiTheme="minorEastAsia" w:hAnsiTheme="minorEastAsia" w:eastAsiaTheme="minorEastAsia" w:cstheme="minorEastAsia"/>
          <w:b/>
          <w:bCs/>
          <w:color w:val="auto"/>
          <w:sz w:val="32"/>
          <w:szCs w:val="32"/>
          <w:highlight w:val="none"/>
        </w:rPr>
        <w:t>采 购 人：</w:t>
      </w:r>
      <w:r>
        <w:rPr>
          <w:rFonts w:hint="eastAsia" w:asciiTheme="minorEastAsia" w:hAnsiTheme="minorEastAsia" w:eastAsiaTheme="minorEastAsia" w:cstheme="minorEastAsia"/>
          <w:b/>
          <w:bCs/>
          <w:color w:val="auto"/>
          <w:sz w:val="32"/>
          <w:szCs w:val="32"/>
          <w:highlight w:val="none"/>
          <w:lang w:eastAsia="zh-CN"/>
        </w:rPr>
        <w:t>博爱县公安局</w:t>
      </w:r>
    </w:p>
    <w:p>
      <w:pPr>
        <w:ind w:firstLine="1928" w:firstLineChars="600"/>
        <w:rPr>
          <w:rFonts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代理机构：博爱县城市建设项目管理有限公司</w:t>
      </w:r>
    </w:p>
    <w:p>
      <w:pPr>
        <w:ind w:firstLine="1928" w:firstLineChars="600"/>
        <w:rPr>
          <w:rFonts w:asciiTheme="minorEastAsia" w:hAnsiTheme="minorEastAsia" w:eastAsiaTheme="minorEastAsia" w:cstheme="minorEastAsia"/>
          <w:b/>
          <w:bCs/>
          <w:color w:val="auto"/>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color w:val="auto"/>
          <w:sz w:val="32"/>
          <w:szCs w:val="32"/>
          <w:highlight w:val="none"/>
        </w:rPr>
        <w:t>日    期：202</w:t>
      </w:r>
      <w:r>
        <w:rPr>
          <w:rFonts w:hint="eastAsia" w:asciiTheme="minorEastAsia" w:hAnsiTheme="minorEastAsia" w:eastAsiaTheme="minorEastAsia" w:cstheme="minorEastAsia"/>
          <w:b/>
          <w:bCs/>
          <w:color w:val="auto"/>
          <w:sz w:val="32"/>
          <w:szCs w:val="32"/>
          <w:highlight w:val="none"/>
          <w:lang w:val="en-US" w:eastAsia="zh-CN"/>
        </w:rPr>
        <w:t>3</w:t>
      </w:r>
      <w:r>
        <w:rPr>
          <w:rFonts w:hint="eastAsia" w:asciiTheme="minorEastAsia" w:hAnsiTheme="minorEastAsia" w:eastAsiaTheme="minorEastAsia" w:cstheme="minorEastAsia"/>
          <w:b/>
          <w:bCs/>
          <w:color w:val="auto"/>
          <w:sz w:val="32"/>
          <w:szCs w:val="32"/>
          <w:highlight w:val="none"/>
        </w:rPr>
        <w:t>年</w:t>
      </w:r>
      <w:r>
        <w:rPr>
          <w:rFonts w:hint="eastAsia" w:asciiTheme="minorEastAsia" w:hAnsiTheme="minorEastAsia" w:eastAsiaTheme="minorEastAsia" w:cstheme="minorEastAsia"/>
          <w:b/>
          <w:bCs/>
          <w:color w:val="auto"/>
          <w:sz w:val="32"/>
          <w:szCs w:val="32"/>
          <w:highlight w:val="none"/>
          <w:lang w:val="en-US" w:eastAsia="zh-CN"/>
        </w:rPr>
        <w:t>1</w:t>
      </w:r>
      <w:r>
        <w:rPr>
          <w:rFonts w:hint="eastAsia" w:asciiTheme="minorEastAsia" w:hAnsiTheme="minorEastAsia" w:eastAsiaTheme="minorEastAsia" w:cstheme="minorEastAsia"/>
          <w:b/>
          <w:bCs/>
          <w:color w:val="auto"/>
          <w:sz w:val="32"/>
          <w:szCs w:val="32"/>
          <w:highlight w:val="none"/>
        </w:rPr>
        <w:t>月</w:t>
      </w:r>
    </w:p>
    <w:p>
      <w:pPr>
        <w:jc w:val="center"/>
        <w:rPr>
          <w:rFonts w:hint="eastAsia" w:asciiTheme="minorEastAsia" w:hAnsiTheme="minorEastAsia" w:eastAsiaTheme="minorEastAsia" w:cstheme="minorEastAsia"/>
          <w:b/>
          <w:bCs/>
          <w:color w:val="auto"/>
          <w:sz w:val="32"/>
          <w:szCs w:val="32"/>
          <w:highlight w:val="none"/>
        </w:rPr>
      </w:pPr>
    </w:p>
    <w:p>
      <w:pPr>
        <w:jc w:val="center"/>
        <w:rPr>
          <w:rFonts w:hint="eastAsia" w:asciiTheme="minorEastAsia" w:hAnsiTheme="minorEastAsia" w:eastAsiaTheme="minorEastAsia" w:cstheme="minorEastAsia"/>
          <w:b/>
          <w:bCs/>
          <w:color w:val="auto"/>
          <w:kern w:val="2"/>
          <w:sz w:val="44"/>
          <w:szCs w:val="44"/>
          <w:highlight w:val="none"/>
          <w:lang w:val="en-US" w:eastAsia="zh-CN" w:bidi="ar-SA"/>
        </w:rPr>
      </w:pPr>
      <w:r>
        <w:rPr>
          <w:rFonts w:hint="eastAsia" w:asciiTheme="minorEastAsia" w:hAnsiTheme="minorEastAsia" w:eastAsiaTheme="minorEastAsia" w:cstheme="minorEastAsia"/>
          <w:b/>
          <w:bCs/>
          <w:color w:val="auto"/>
          <w:sz w:val="44"/>
          <w:szCs w:val="44"/>
          <w:highlight w:val="none"/>
        </w:rPr>
        <w:t>目     录</w:t>
      </w:r>
    </w:p>
    <w:p>
      <w:pPr>
        <w:pStyle w:val="20"/>
        <w:tabs>
          <w:tab w:val="right" w:leader="dot" w:pos="9880"/>
        </w:tabs>
      </w:pPr>
      <w:r>
        <w:rPr>
          <w:rFonts w:hint="eastAsia" w:asciiTheme="minorEastAsia" w:hAnsiTheme="minorEastAsia" w:eastAsiaTheme="minorEastAsia" w:cstheme="minorEastAsia"/>
          <w:b/>
          <w:bCs/>
          <w:color w:val="auto"/>
          <w:szCs w:val="21"/>
          <w:highlight w:val="none"/>
          <w:lang w:val="zh-CN"/>
        </w:rPr>
        <w:fldChar w:fldCharType="begin"/>
      </w:r>
      <w:r>
        <w:rPr>
          <w:rFonts w:hint="eastAsia" w:asciiTheme="minorEastAsia" w:hAnsiTheme="minorEastAsia" w:eastAsiaTheme="minorEastAsia" w:cstheme="minorEastAsia"/>
          <w:b/>
          <w:bCs/>
          <w:color w:val="auto"/>
          <w:szCs w:val="21"/>
          <w:highlight w:val="none"/>
          <w:lang w:val="zh-CN"/>
        </w:rPr>
        <w:instrText xml:space="preserve"> TOC \o "1-3" \h \z \u </w:instrText>
      </w:r>
      <w:r>
        <w:rPr>
          <w:rFonts w:hint="eastAsia" w:asciiTheme="minorEastAsia" w:hAnsiTheme="minorEastAsia" w:eastAsiaTheme="minorEastAsia" w:cstheme="minorEastAsia"/>
          <w:b/>
          <w:bCs/>
          <w:color w:val="auto"/>
          <w:szCs w:val="21"/>
          <w:highlight w:val="none"/>
          <w:lang w:val="zh-CN"/>
        </w:rPr>
        <w:fldChar w:fldCharType="separate"/>
      </w: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szCs w:val="21"/>
          <w:highlight w:val="none"/>
          <w:lang w:val="zh-CN"/>
        </w:rPr>
        <w:instrText xml:space="preserve"> HYPERLINK \l _Toc31845 </w:instrText>
      </w:r>
      <w:r>
        <w:rPr>
          <w:rFonts w:hint="eastAsia" w:asciiTheme="minorEastAsia" w:hAnsiTheme="minorEastAsia" w:eastAsiaTheme="minorEastAsia" w:cstheme="minorEastAsia"/>
          <w:bCs/>
          <w:szCs w:val="21"/>
          <w:highlight w:val="none"/>
          <w:lang w:val="zh-CN"/>
        </w:rPr>
        <w:fldChar w:fldCharType="separate"/>
      </w:r>
      <w:r>
        <w:rPr>
          <w:rFonts w:hint="eastAsia"/>
          <w:highlight w:val="none"/>
          <w:lang w:val="en-US" w:eastAsia="zh-CN"/>
        </w:rPr>
        <w:t>重要事项提示</w:t>
      </w:r>
      <w:r>
        <w:tab/>
      </w:r>
      <w:r>
        <w:fldChar w:fldCharType="begin"/>
      </w:r>
      <w:r>
        <w:instrText xml:space="preserve"> PAGEREF _Toc31845 \h </w:instrText>
      </w:r>
      <w:r>
        <w:fldChar w:fldCharType="separate"/>
      </w:r>
      <w:r>
        <w:t>- 3 -</w:t>
      </w:r>
      <w:r>
        <w:fldChar w:fldCharType="end"/>
      </w:r>
      <w:r>
        <w:rPr>
          <w:rFonts w:hint="eastAsia" w:asciiTheme="minorEastAsia" w:hAnsiTheme="minorEastAsia" w:eastAsiaTheme="minorEastAsia" w:cstheme="minorEastAsia"/>
          <w:bC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_Toc7002 </w:instrText>
      </w:r>
      <w:r>
        <w:rPr>
          <w:rFonts w:hint="eastAsia" w:asciiTheme="minorEastAsia" w:hAnsiTheme="minorEastAsia" w:eastAsiaTheme="minorEastAsia" w:cstheme="minorEastAsia"/>
          <w:bCs/>
          <w:caps/>
          <w:szCs w:val="21"/>
          <w:highlight w:val="none"/>
          <w:lang w:val="zh-CN"/>
        </w:rPr>
        <w:fldChar w:fldCharType="separate"/>
      </w:r>
      <w:r>
        <w:rPr>
          <w:rFonts w:hint="eastAsia"/>
        </w:rPr>
        <w:t xml:space="preserve">第一章 </w:t>
      </w:r>
      <w:r>
        <w:rPr>
          <w:rFonts w:hint="eastAsia" w:asciiTheme="minorEastAsia" w:hAnsiTheme="minorEastAsia" w:eastAsiaTheme="minorEastAsia" w:cstheme="minorEastAsia"/>
          <w:bCs/>
          <w:highlight w:val="none"/>
        </w:rPr>
        <w:t>招标公告</w:t>
      </w:r>
      <w:r>
        <w:tab/>
      </w:r>
      <w:r>
        <w:fldChar w:fldCharType="begin"/>
      </w:r>
      <w:r>
        <w:instrText xml:space="preserve"> PAGEREF _Toc7002 \h </w:instrText>
      </w:r>
      <w:r>
        <w:fldChar w:fldCharType="separate"/>
      </w:r>
      <w:r>
        <w:t>- 5 -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_Toc28480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32"/>
          <w:highlight w:val="none"/>
        </w:rPr>
        <w:t>第二章  供应商须知</w:t>
      </w:r>
      <w:r>
        <w:tab/>
      </w:r>
      <w:r>
        <w:fldChar w:fldCharType="begin"/>
      </w:r>
      <w:r>
        <w:instrText xml:space="preserve"> PAGEREF _Toc28480 \h </w:instrText>
      </w:r>
      <w:r>
        <w:fldChar w:fldCharType="separate"/>
      </w:r>
      <w:r>
        <w:t>- 8 -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_Toc31723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30"/>
          <w:highlight w:val="none"/>
        </w:rPr>
        <w:t>供应商须知前附表</w:t>
      </w:r>
      <w:r>
        <w:tab/>
      </w:r>
      <w:r>
        <w:fldChar w:fldCharType="begin"/>
      </w:r>
      <w:r>
        <w:instrText xml:space="preserve"> PAGEREF _Toc31723 \h </w:instrText>
      </w:r>
      <w:r>
        <w:fldChar w:fldCharType="separate"/>
      </w:r>
      <w:r>
        <w:t>- 8 -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_Toc11465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24"/>
          <w:highlight w:val="none"/>
        </w:rPr>
        <w:t>1. 总则</w:t>
      </w:r>
      <w:r>
        <w:tab/>
      </w:r>
      <w:r>
        <w:fldChar w:fldCharType="begin"/>
      </w:r>
      <w:r>
        <w:instrText xml:space="preserve"> PAGEREF _Toc11465 \h </w:instrText>
      </w:r>
      <w:r>
        <w:fldChar w:fldCharType="separate"/>
      </w:r>
      <w:r>
        <w:t>- 12 -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_Toc11741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24"/>
          <w:highlight w:val="none"/>
        </w:rPr>
        <w:t>2. 招标文件</w:t>
      </w:r>
      <w:r>
        <w:tab/>
      </w:r>
      <w:r>
        <w:fldChar w:fldCharType="begin"/>
      </w:r>
      <w:r>
        <w:instrText xml:space="preserve"> PAGEREF _Toc11741 \h </w:instrText>
      </w:r>
      <w:r>
        <w:fldChar w:fldCharType="separate"/>
      </w:r>
      <w:r>
        <w:t>- 13 -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_Toc17131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24"/>
          <w:highlight w:val="none"/>
        </w:rPr>
        <w:t>3. 投标文件</w:t>
      </w:r>
      <w:r>
        <w:tab/>
      </w:r>
      <w:r>
        <w:fldChar w:fldCharType="begin"/>
      </w:r>
      <w:r>
        <w:instrText xml:space="preserve"> PAGEREF _Toc17131 \h </w:instrText>
      </w:r>
      <w:r>
        <w:fldChar w:fldCharType="separate"/>
      </w:r>
      <w:r>
        <w:t>- 14 -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_Toc2735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24"/>
          <w:highlight w:val="none"/>
        </w:rPr>
        <w:t>4. 投标</w:t>
      </w:r>
      <w:r>
        <w:tab/>
      </w:r>
      <w:r>
        <w:fldChar w:fldCharType="begin"/>
      </w:r>
      <w:r>
        <w:instrText xml:space="preserve"> PAGEREF _Toc2735 \h </w:instrText>
      </w:r>
      <w:r>
        <w:fldChar w:fldCharType="separate"/>
      </w:r>
      <w:r>
        <w:t>- 16 -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_Toc24840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24"/>
          <w:highlight w:val="none"/>
        </w:rPr>
        <w:t>5. 开标</w:t>
      </w:r>
      <w:r>
        <w:tab/>
      </w:r>
      <w:r>
        <w:fldChar w:fldCharType="begin"/>
      </w:r>
      <w:r>
        <w:instrText xml:space="preserve"> PAGEREF _Toc24840 \h </w:instrText>
      </w:r>
      <w:r>
        <w:fldChar w:fldCharType="separate"/>
      </w:r>
      <w:r>
        <w:t>- 16 -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_Toc19898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24"/>
          <w:highlight w:val="none"/>
        </w:rPr>
        <w:t>6. 评标</w:t>
      </w:r>
      <w:r>
        <w:tab/>
      </w:r>
      <w:r>
        <w:fldChar w:fldCharType="begin"/>
      </w:r>
      <w:r>
        <w:instrText xml:space="preserve"> PAGEREF _Toc19898 \h </w:instrText>
      </w:r>
      <w:r>
        <w:fldChar w:fldCharType="separate"/>
      </w:r>
      <w:r>
        <w:t>- 17 -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_Toc3678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24"/>
          <w:highlight w:val="none"/>
        </w:rPr>
        <w:t>7. 合同授予</w:t>
      </w:r>
      <w:r>
        <w:tab/>
      </w:r>
      <w:r>
        <w:fldChar w:fldCharType="begin"/>
      </w:r>
      <w:r>
        <w:instrText xml:space="preserve"> PAGEREF _Toc3678 \h </w:instrText>
      </w:r>
      <w:r>
        <w:fldChar w:fldCharType="separate"/>
      </w:r>
      <w:r>
        <w:t>- 18 -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_Toc30325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24"/>
          <w:highlight w:val="none"/>
        </w:rPr>
        <w:t>8. 重新招标</w:t>
      </w:r>
      <w:r>
        <w:tab/>
      </w:r>
      <w:r>
        <w:fldChar w:fldCharType="begin"/>
      </w:r>
      <w:r>
        <w:instrText xml:space="preserve"> PAGEREF _Toc30325 \h </w:instrText>
      </w:r>
      <w:r>
        <w:fldChar w:fldCharType="separate"/>
      </w:r>
      <w:r>
        <w:t>- 19 -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_Toc17817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24"/>
          <w:highlight w:val="none"/>
        </w:rPr>
        <w:t>9. 纪律和监督</w:t>
      </w:r>
      <w:r>
        <w:tab/>
      </w:r>
      <w:r>
        <w:fldChar w:fldCharType="begin"/>
      </w:r>
      <w:r>
        <w:instrText xml:space="preserve"> PAGEREF _Toc17817 \h </w:instrText>
      </w:r>
      <w:r>
        <w:fldChar w:fldCharType="separate"/>
      </w:r>
      <w:r>
        <w:t>- 19 -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_Toc29091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24"/>
          <w:highlight w:val="none"/>
        </w:rPr>
        <w:t>10. 需要补充的其他内容</w:t>
      </w:r>
      <w:r>
        <w:tab/>
      </w:r>
      <w:r>
        <w:fldChar w:fldCharType="begin"/>
      </w:r>
      <w:r>
        <w:instrText xml:space="preserve"> PAGEREF _Toc29091 \h </w:instrText>
      </w:r>
      <w:r>
        <w:fldChar w:fldCharType="separate"/>
      </w:r>
      <w:r>
        <w:t>- 20 -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_Toc21008 </w:instrText>
      </w:r>
      <w:r>
        <w:rPr>
          <w:rFonts w:hint="eastAsia" w:asciiTheme="minorEastAsia" w:hAnsiTheme="minorEastAsia" w:eastAsiaTheme="minorEastAsia" w:cstheme="minorEastAsia"/>
          <w:bCs/>
          <w:caps/>
          <w:szCs w:val="21"/>
          <w:highlight w:val="none"/>
          <w:lang w:val="zh-CN"/>
        </w:rPr>
        <w:fldChar w:fldCharType="separate"/>
      </w:r>
      <w:r>
        <w:rPr>
          <w:rFonts w:asciiTheme="minorEastAsia" w:hAnsiTheme="minorEastAsia" w:eastAsiaTheme="minorEastAsia" w:cstheme="minorEastAsia"/>
          <w:szCs w:val="36"/>
        </w:rPr>
        <w:t xml:space="preserve">第三章 </w:t>
      </w:r>
      <w:r>
        <w:rPr>
          <w:rFonts w:hint="eastAsia" w:asciiTheme="minorEastAsia" w:hAnsiTheme="minorEastAsia" w:eastAsiaTheme="minorEastAsia" w:cstheme="minorEastAsia"/>
          <w:szCs w:val="36"/>
          <w:highlight w:val="none"/>
        </w:rPr>
        <w:t>评标办法（综合评分法）</w:t>
      </w:r>
      <w:r>
        <w:tab/>
      </w:r>
      <w:r>
        <w:fldChar w:fldCharType="begin"/>
      </w:r>
      <w:r>
        <w:instrText xml:space="preserve"> PAGEREF _Toc21008 \h </w:instrText>
      </w:r>
      <w:r>
        <w:fldChar w:fldCharType="separate"/>
      </w:r>
      <w:r>
        <w:t>- 21 -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_Toc15098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36"/>
        </w:rPr>
        <w:t xml:space="preserve">第四章 </w:t>
      </w:r>
      <w:r>
        <w:rPr>
          <w:rFonts w:hint="eastAsia" w:asciiTheme="minorEastAsia" w:hAnsiTheme="minorEastAsia" w:eastAsiaTheme="minorEastAsia" w:cstheme="minorEastAsia"/>
          <w:szCs w:val="36"/>
          <w:highlight w:val="none"/>
        </w:rPr>
        <w:t>合同条款及格式</w:t>
      </w:r>
      <w:r>
        <w:tab/>
      </w:r>
      <w:r>
        <w:fldChar w:fldCharType="begin"/>
      </w:r>
      <w:r>
        <w:instrText xml:space="preserve"> PAGEREF _Toc15098 \h </w:instrText>
      </w:r>
      <w:r>
        <w:fldChar w:fldCharType="separate"/>
      </w:r>
      <w:r>
        <w:t>- 27 -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_Toc5848 </w:instrText>
      </w:r>
      <w:r>
        <w:rPr>
          <w:rFonts w:hint="eastAsia" w:asciiTheme="minorEastAsia" w:hAnsiTheme="minorEastAsia" w:eastAsiaTheme="minorEastAsia" w:cstheme="minorEastAsia"/>
          <w:bCs/>
          <w:caps/>
          <w:szCs w:val="21"/>
          <w:highlight w:val="none"/>
          <w:lang w:val="zh-CN"/>
        </w:rPr>
        <w:fldChar w:fldCharType="separate"/>
      </w:r>
      <w:r>
        <w:rPr>
          <w:rFonts w:hint="eastAsia"/>
          <w:bCs/>
          <w:szCs w:val="32"/>
          <w:lang w:val="en-US" w:eastAsia="zh-CN"/>
        </w:rPr>
        <w:t xml:space="preserve">第五章 </w:t>
      </w:r>
      <w:r>
        <w:rPr>
          <w:rFonts w:hint="eastAsia"/>
          <w:bCs/>
          <w:szCs w:val="32"/>
          <w:highlight w:val="none"/>
        </w:rPr>
        <w:t>采购需求及</w:t>
      </w:r>
      <w:r>
        <w:rPr>
          <w:rFonts w:hint="eastAsia"/>
          <w:bCs/>
          <w:szCs w:val="32"/>
          <w:highlight w:val="none"/>
          <w:lang w:val="en-US" w:eastAsia="zh-CN"/>
        </w:rPr>
        <w:t>技术</w:t>
      </w:r>
      <w:r>
        <w:rPr>
          <w:rFonts w:hint="eastAsia"/>
          <w:bCs/>
          <w:szCs w:val="32"/>
          <w:highlight w:val="none"/>
        </w:rPr>
        <w:t>参数</w:t>
      </w:r>
      <w:r>
        <w:rPr>
          <w:rFonts w:hint="eastAsia"/>
          <w:bCs/>
          <w:szCs w:val="32"/>
          <w:highlight w:val="none"/>
          <w:lang w:val="en-US" w:eastAsia="zh-CN"/>
        </w:rPr>
        <w:t>要求</w:t>
      </w:r>
      <w:r>
        <w:tab/>
      </w:r>
      <w:r>
        <w:fldChar w:fldCharType="begin"/>
      </w:r>
      <w:r>
        <w:instrText xml:space="preserve"> PAGEREF _Toc5848 \h </w:instrText>
      </w:r>
      <w:r>
        <w:fldChar w:fldCharType="separate"/>
      </w:r>
      <w:r>
        <w:rPr>
          <w:b/>
        </w:rPr>
        <w:t>错误！未定义书签。</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_Toc3770 </w:instrText>
      </w:r>
      <w:r>
        <w:rPr>
          <w:rFonts w:hint="eastAsia" w:asciiTheme="minorEastAsia" w:hAnsiTheme="minorEastAsia" w:eastAsiaTheme="minorEastAsia" w:cstheme="minorEastAsia"/>
          <w:bCs/>
          <w:caps/>
          <w:szCs w:val="21"/>
          <w:highlight w:val="none"/>
          <w:lang w:val="zh-CN"/>
        </w:rPr>
        <w:fldChar w:fldCharType="separate"/>
      </w:r>
      <w:r>
        <w:rPr>
          <w:rFonts w:hint="eastAsia"/>
          <w:szCs w:val="32"/>
          <w:highlight w:val="none"/>
          <w:lang w:eastAsia="zh-CN"/>
        </w:rPr>
        <w:t>第</w:t>
      </w:r>
      <w:r>
        <w:rPr>
          <w:rFonts w:hint="eastAsia"/>
          <w:szCs w:val="32"/>
          <w:highlight w:val="none"/>
          <w:lang w:val="en-US" w:eastAsia="zh-CN"/>
        </w:rPr>
        <w:t>六章 质疑与投诉</w:t>
      </w:r>
      <w:r>
        <w:tab/>
      </w:r>
      <w:r>
        <w:fldChar w:fldCharType="begin"/>
      </w:r>
      <w:r>
        <w:instrText xml:space="preserve"> PAGEREF _Toc3770 \h </w:instrText>
      </w:r>
      <w:r>
        <w:fldChar w:fldCharType="separate"/>
      </w:r>
      <w:r>
        <w:t>- 34 -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_Toc5413 </w:instrText>
      </w:r>
      <w:r>
        <w:rPr>
          <w:rFonts w:hint="eastAsia" w:asciiTheme="minorEastAsia" w:hAnsiTheme="minorEastAsia" w:eastAsiaTheme="minorEastAsia" w:cstheme="minorEastAsia"/>
          <w:bCs/>
          <w:caps/>
          <w:szCs w:val="21"/>
          <w:highlight w:val="none"/>
          <w:lang w:val="zh-CN"/>
        </w:rPr>
        <w:fldChar w:fldCharType="separate"/>
      </w:r>
      <w:r>
        <w:rPr>
          <w:rFonts w:hint="eastAsia" w:ascii="宋体" w:hAnsi="宋体" w:eastAsia="宋体" w:cs="宋体"/>
          <w:bCs w:val="0"/>
          <w:szCs w:val="21"/>
          <w:highlight w:val="none"/>
          <w:lang w:val="en-US" w:eastAsia="zh-CN"/>
        </w:rPr>
        <w:t>投诉联系电话：0391-8683273  地址：博爱县机关综合办公楼主楼1213室</w:t>
      </w:r>
      <w:r>
        <w:tab/>
      </w:r>
      <w:r>
        <w:fldChar w:fldCharType="begin"/>
      </w:r>
      <w:r>
        <w:instrText xml:space="preserve"> PAGEREF _Toc5413 \h </w:instrText>
      </w:r>
      <w:r>
        <w:fldChar w:fldCharType="separate"/>
      </w:r>
      <w:r>
        <w:t>- 35 -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20"/>
        <w:tabs>
          <w:tab w:val="right" w:leader="dot" w:pos="9880"/>
        </w:tabs>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szCs w:val="21"/>
          <w:highlight w:val="none"/>
          <w:lang w:val="zh-CN"/>
        </w:rPr>
        <w:instrText xml:space="preserve"> HYPERLINK \l _Toc28084 </w:instrText>
      </w:r>
      <w:r>
        <w:rPr>
          <w:rFonts w:hint="eastAsia" w:asciiTheme="minorEastAsia" w:hAnsiTheme="minorEastAsia" w:eastAsiaTheme="minorEastAsia" w:cstheme="minorEastAsia"/>
          <w:bCs/>
          <w:caps/>
          <w:szCs w:val="21"/>
          <w:highlight w:val="none"/>
          <w:lang w:val="zh-CN"/>
        </w:rPr>
        <w:fldChar w:fldCharType="separate"/>
      </w:r>
      <w:r>
        <w:rPr>
          <w:rFonts w:hint="eastAsia" w:asciiTheme="minorEastAsia" w:hAnsiTheme="minorEastAsia" w:eastAsiaTheme="minorEastAsia" w:cstheme="minorEastAsia"/>
          <w:szCs w:val="36"/>
          <w:highlight w:val="none"/>
        </w:rPr>
        <w:t>第</w:t>
      </w:r>
      <w:r>
        <w:rPr>
          <w:rFonts w:hint="eastAsia" w:asciiTheme="minorEastAsia" w:hAnsiTheme="minorEastAsia" w:eastAsiaTheme="minorEastAsia" w:cstheme="minorEastAsia"/>
          <w:szCs w:val="36"/>
          <w:highlight w:val="none"/>
          <w:lang w:val="en-US" w:eastAsia="zh-CN"/>
        </w:rPr>
        <w:t>八</w:t>
      </w:r>
      <w:r>
        <w:rPr>
          <w:rFonts w:hint="eastAsia" w:asciiTheme="minorEastAsia" w:hAnsiTheme="minorEastAsia" w:eastAsiaTheme="minorEastAsia" w:cstheme="minorEastAsia"/>
          <w:szCs w:val="36"/>
          <w:highlight w:val="none"/>
        </w:rPr>
        <w:t>章  投标文件格式</w:t>
      </w:r>
      <w:r>
        <w:tab/>
      </w:r>
      <w:r>
        <w:fldChar w:fldCharType="begin"/>
      </w:r>
      <w:r>
        <w:instrText xml:space="preserve"> PAGEREF _Toc28084 \h </w:instrText>
      </w:r>
      <w:r>
        <w:fldChar w:fldCharType="separate"/>
      </w:r>
      <w:r>
        <w:t>- 37 -</w:t>
      </w:r>
      <w: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spacing w:line="520" w:lineRule="exact"/>
        <w:ind w:right="-273" w:rightChars="-130"/>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aps/>
          <w:color w:val="auto"/>
          <w:szCs w:val="21"/>
          <w:highlight w:val="none"/>
          <w:lang w:val="zh-CN"/>
        </w:rPr>
        <w:fldChar w:fldCharType="end"/>
      </w:r>
    </w:p>
    <w:p>
      <w:pPr>
        <w:pStyle w:val="6"/>
        <w:spacing w:line="360" w:lineRule="auto"/>
        <w:ind w:right="-63" w:rightChars="-30"/>
        <w:rPr>
          <w:rFonts w:asciiTheme="minorEastAsia" w:hAnsiTheme="minorEastAsia" w:eastAsiaTheme="minorEastAsia" w:cstheme="minorEastAsia"/>
          <w:bCs/>
          <w:color w:val="auto"/>
          <w:highlight w:val="none"/>
        </w:rPr>
      </w:pPr>
    </w:p>
    <w:p>
      <w:pPr>
        <w:pStyle w:val="6"/>
        <w:spacing w:line="360" w:lineRule="auto"/>
        <w:ind w:right="-63" w:rightChars="-30"/>
        <w:rPr>
          <w:rFonts w:asciiTheme="minorEastAsia" w:hAnsiTheme="minorEastAsia" w:eastAsiaTheme="minorEastAsia" w:cstheme="minorEastAsia"/>
          <w:bCs/>
          <w:color w:val="auto"/>
          <w:highlight w:val="none"/>
        </w:rPr>
      </w:pPr>
    </w:p>
    <w:p>
      <w:pPr>
        <w:pStyle w:val="6"/>
        <w:spacing w:line="360" w:lineRule="auto"/>
        <w:ind w:right="-63" w:rightChars="-30"/>
        <w:rPr>
          <w:rFonts w:asciiTheme="minorEastAsia" w:hAnsiTheme="minorEastAsia" w:eastAsiaTheme="minorEastAsia" w:cstheme="minorEastAsia"/>
          <w:bCs/>
          <w:color w:val="auto"/>
          <w:highlight w:val="none"/>
        </w:rPr>
      </w:pPr>
    </w:p>
    <w:p>
      <w:pPr>
        <w:pStyle w:val="6"/>
        <w:spacing w:line="360" w:lineRule="auto"/>
        <w:ind w:right="-63" w:rightChars="-30"/>
        <w:rPr>
          <w:rFonts w:asciiTheme="minorEastAsia" w:hAnsiTheme="minorEastAsia" w:eastAsiaTheme="minorEastAsia" w:cstheme="minorEastAsia"/>
          <w:bCs/>
          <w:color w:val="auto"/>
          <w:highlight w:val="none"/>
        </w:rPr>
      </w:pPr>
    </w:p>
    <w:p>
      <w:pPr>
        <w:pStyle w:val="4"/>
        <w:bidi w:val="0"/>
        <w:rPr>
          <w:rFonts w:hint="eastAsia" w:ascii="宋体" w:hAnsi="宋体" w:eastAsia="宋体" w:cs="宋体"/>
          <w:b/>
          <w:bCs/>
          <w:color w:val="auto"/>
          <w:szCs w:val="44"/>
          <w:highlight w:val="none"/>
          <w:lang w:val="en-US" w:eastAsia="zh-CN"/>
        </w:rPr>
      </w:pPr>
      <w:bookmarkStart w:id="1" w:name="_Toc31845"/>
      <w:r>
        <w:rPr>
          <w:rFonts w:hint="eastAsia"/>
          <w:color w:val="auto"/>
          <w:highlight w:val="none"/>
          <w:lang w:val="en-US" w:eastAsia="zh-CN"/>
        </w:rPr>
        <w:t>重要事项提示</w:t>
      </w:r>
      <w:bookmarkEnd w:id="1"/>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各潜在投标人：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以下环节是此采购文件中需要重点关注的环节，对以下内容的忽视，可能是影响贵公司中标的重要因素。请在编制相应文件参与政府采购时高度重视。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1、采购文件应通过焦作市公共资源交易中心网站会员系统进行网上下载；未使用</w:t>
      </w:r>
      <w:r>
        <w:rPr>
          <w:rFonts w:hint="eastAsia" w:ascii="宋体" w:hAnsi="宋体" w:eastAsia="宋体" w:cs="Times New Roman"/>
          <w:b w:val="0"/>
          <w:bCs/>
          <w:color w:val="auto"/>
          <w:kern w:val="0"/>
          <w:sz w:val="24"/>
          <w:szCs w:val="24"/>
          <w:highlight w:val="none"/>
          <w:lang w:val="en-US" w:eastAsia="zh-CN" w:bidi="ar-SA"/>
        </w:rPr>
        <w:t>企业 CA 密匙</w:t>
      </w:r>
      <w:r>
        <w:rPr>
          <w:rFonts w:hint="eastAsia" w:ascii="宋体" w:hAnsi="宋体" w:eastAsia="宋体" w:cs="宋体"/>
          <w:color w:val="auto"/>
          <w:sz w:val="24"/>
          <w:szCs w:val="24"/>
          <w:highlight w:val="none"/>
          <w:lang w:val="en-US" w:eastAsia="zh-CN"/>
        </w:rPr>
        <w:t>登录焦作市公共资源交易中心网站会员系统进行网上下载文件的，投标视为无效；</w:t>
      </w:r>
    </w:p>
    <w:p>
      <w:pPr>
        <w:pStyle w:val="22"/>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具体要求详见招标文件。 平台统一技术服务电话：400-998-0000，服务 QQ：4008503300，服务时间：周一至周日 8：00-17：30。</w:t>
      </w:r>
    </w:p>
    <w:p>
      <w:pPr>
        <w:pStyle w:val="22"/>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无需到现场参加开标会议，无需到达现场提交原件资料。投标人应当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pStyle w:val="22"/>
        <w:keepNext w:val="0"/>
        <w:keepLines w:val="0"/>
        <w:pageBreakBefore w:val="0"/>
        <w:numPr>
          <w:ilvl w:val="0"/>
          <w:numId w:val="3"/>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有下列情形之一的，将作为自动放弃、无效投标或废标处理：</w:t>
      </w:r>
    </w:p>
    <w:p>
      <w:pPr>
        <w:pStyle w:val="22"/>
        <w:keepNext w:val="0"/>
        <w:keepLines w:val="0"/>
        <w:pageBreakBefore w:val="0"/>
        <w:numPr>
          <w:ilvl w:val="0"/>
          <w:numId w:val="4"/>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在</w:t>
      </w:r>
      <w:r>
        <w:rPr>
          <w:rFonts w:hint="eastAsia" w:cs="Times New Roman"/>
          <w:color w:val="auto"/>
          <w:kern w:val="0"/>
          <w:sz w:val="24"/>
          <w:highlight w:val="none"/>
          <w:lang w:val="en-US" w:eastAsia="zh-CN"/>
        </w:rPr>
        <w:t>投标</w:t>
      </w:r>
      <w:r>
        <w:rPr>
          <w:rFonts w:hint="eastAsia" w:ascii="宋体" w:hAnsi="宋体" w:eastAsia="宋体" w:cs="Times New Roman"/>
          <w:color w:val="auto"/>
          <w:kern w:val="0"/>
          <w:sz w:val="24"/>
          <w:highlight w:val="none"/>
          <w:lang w:val="en-US" w:eastAsia="zh-CN"/>
        </w:rPr>
        <w:t>文件中对同一采购项目有两个或多个报价，且未声明哪一个有效的；</w:t>
      </w:r>
    </w:p>
    <w:p>
      <w:pPr>
        <w:pStyle w:val="22"/>
        <w:keepNext w:val="0"/>
        <w:keepLines w:val="0"/>
        <w:pageBreakBefore w:val="0"/>
        <w:numPr>
          <w:ilvl w:val="0"/>
          <w:numId w:val="4"/>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响应文件的关键内容（采购报价、</w:t>
      </w:r>
      <w:r>
        <w:rPr>
          <w:rFonts w:hint="eastAsia" w:cs="宋体"/>
          <w:color w:val="auto"/>
          <w:kern w:val="0"/>
          <w:sz w:val="24"/>
          <w:highlight w:val="none"/>
          <w:lang w:val="en-US" w:eastAsia="zh-CN"/>
        </w:rPr>
        <w:t>供货安装期</w:t>
      </w:r>
      <w:r>
        <w:rPr>
          <w:rFonts w:hint="eastAsia" w:ascii="宋体" w:hAnsi="宋体" w:eastAsia="宋体" w:cs="Times New Roman"/>
          <w:color w:val="auto"/>
          <w:kern w:val="0"/>
          <w:sz w:val="24"/>
          <w:highlight w:val="none"/>
          <w:lang w:val="en-US" w:eastAsia="zh-CN"/>
        </w:rPr>
        <w:t>、质量</w:t>
      </w:r>
      <w:r>
        <w:rPr>
          <w:rFonts w:hint="eastAsia" w:cs="Times New Roman"/>
          <w:color w:val="auto"/>
          <w:kern w:val="0"/>
          <w:sz w:val="24"/>
          <w:highlight w:val="none"/>
          <w:lang w:val="en-US" w:eastAsia="zh-CN"/>
        </w:rPr>
        <w:t>标准</w:t>
      </w:r>
      <w:r>
        <w:rPr>
          <w:rFonts w:hint="eastAsia" w:ascii="宋体" w:hAnsi="宋体" w:eastAsia="宋体" w:cs="Times New Roman"/>
          <w:color w:val="auto"/>
          <w:kern w:val="0"/>
          <w:sz w:val="24"/>
          <w:highlight w:val="none"/>
          <w:lang w:val="en-US" w:eastAsia="zh-CN"/>
        </w:rPr>
        <w:t>、品牌、型号等）未填写或填写字迹模糊无法辨认的；</w:t>
      </w:r>
    </w:p>
    <w:p>
      <w:pPr>
        <w:pStyle w:val="22"/>
        <w:keepNext w:val="0"/>
        <w:keepLines w:val="0"/>
        <w:pageBreakBefore w:val="0"/>
        <w:numPr>
          <w:ilvl w:val="0"/>
          <w:numId w:val="4"/>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相关资格证明文件不合格的；</w:t>
      </w:r>
    </w:p>
    <w:p>
      <w:pPr>
        <w:pStyle w:val="22"/>
        <w:keepNext w:val="0"/>
        <w:keepLines w:val="0"/>
        <w:pageBreakBefore w:val="0"/>
        <w:numPr>
          <w:ilvl w:val="0"/>
          <w:numId w:val="4"/>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采购报价超出控制价的；</w:t>
      </w:r>
    </w:p>
    <w:p>
      <w:pPr>
        <w:pStyle w:val="22"/>
        <w:keepNext w:val="0"/>
        <w:keepLines w:val="0"/>
        <w:pageBreakBefore w:val="0"/>
        <w:numPr>
          <w:ilvl w:val="0"/>
          <w:numId w:val="4"/>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ascii="宋体" w:hAnsi="宋体" w:eastAsia="宋体" w:cs="Times New Roman"/>
          <w:color w:val="auto"/>
          <w:kern w:val="0"/>
          <w:sz w:val="24"/>
          <w:highlight w:val="none"/>
          <w:lang w:val="en-US" w:eastAsia="zh-CN"/>
        </w:rPr>
      </w:pPr>
      <w:r>
        <w:rPr>
          <w:rFonts w:hint="eastAsia" w:cs="Times New Roman"/>
          <w:color w:val="auto"/>
          <w:kern w:val="0"/>
          <w:sz w:val="24"/>
          <w:highlight w:val="none"/>
          <w:lang w:val="en-US" w:eastAsia="zh-CN"/>
        </w:rPr>
        <w:t>投标</w:t>
      </w:r>
      <w:r>
        <w:rPr>
          <w:rFonts w:hint="eastAsia" w:ascii="宋体" w:hAnsi="宋体" w:eastAsia="宋体" w:cs="Times New Roman"/>
          <w:color w:val="auto"/>
          <w:kern w:val="0"/>
          <w:sz w:val="24"/>
          <w:highlight w:val="none"/>
          <w:lang w:val="en-US" w:eastAsia="zh-CN"/>
        </w:rPr>
        <w:t>文件中附有采购人不能接受的条件的；</w:t>
      </w:r>
    </w:p>
    <w:p>
      <w:pPr>
        <w:pStyle w:val="22"/>
        <w:keepNext w:val="0"/>
        <w:keepLines w:val="0"/>
        <w:pageBreakBefore w:val="0"/>
        <w:numPr>
          <w:ilvl w:val="0"/>
          <w:numId w:val="4"/>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color w:val="auto"/>
          <w:highlight w:val="none"/>
          <w:lang w:val="en-US" w:eastAsia="zh-CN"/>
        </w:rPr>
      </w:pPr>
      <w:r>
        <w:rPr>
          <w:rFonts w:hint="eastAsia" w:cs="Times New Roman"/>
          <w:color w:val="auto"/>
          <w:kern w:val="0"/>
          <w:sz w:val="24"/>
          <w:highlight w:val="none"/>
          <w:lang w:val="en-US" w:eastAsia="zh-CN"/>
        </w:rPr>
        <w:t>投标</w:t>
      </w:r>
      <w:r>
        <w:rPr>
          <w:rFonts w:hint="eastAsia" w:ascii="宋体" w:hAnsi="宋体" w:eastAsia="宋体" w:cs="Times New Roman"/>
          <w:color w:val="auto"/>
          <w:kern w:val="0"/>
          <w:sz w:val="24"/>
          <w:highlight w:val="none"/>
          <w:lang w:val="en-US" w:eastAsia="zh-CN"/>
        </w:rPr>
        <w:t>文件有明显不符合采购文件其它要求和有关法律法规的；</w:t>
      </w:r>
    </w:p>
    <w:p>
      <w:pPr>
        <w:pStyle w:val="22"/>
        <w:keepNext w:val="0"/>
        <w:keepLines w:val="0"/>
        <w:pageBreakBefore w:val="0"/>
        <w:numPr>
          <w:ilvl w:val="0"/>
          <w:numId w:val="4"/>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ascii="宋体"/>
          <w:color w:val="auto"/>
          <w:kern w:val="0"/>
          <w:sz w:val="24"/>
          <w:highlight w:val="none"/>
        </w:rPr>
      </w:pPr>
      <w:r>
        <w:rPr>
          <w:rFonts w:hint="eastAsia" w:ascii="宋体" w:hAnsi="宋体" w:eastAsia="宋体" w:cs="Times New Roman"/>
          <w:color w:val="auto"/>
          <w:kern w:val="0"/>
          <w:sz w:val="24"/>
          <w:highlight w:val="none"/>
          <w:lang w:val="en-US" w:eastAsia="zh-CN"/>
        </w:rPr>
        <w:t>如因两个或两个以上投标人使用同一台计算或同一个IP上传响应文件，被不见面开标系统提示为“投标文件制作机器码一致”的，则视其投标无效。若经查实有《政府采购法实施条例》第七十四条情形，监管部门将依法做出处理；</w:t>
      </w:r>
    </w:p>
    <w:p>
      <w:pPr>
        <w:pStyle w:val="22"/>
        <w:keepNext w:val="0"/>
        <w:keepLines w:val="0"/>
        <w:pageBreakBefore w:val="0"/>
        <w:numPr>
          <w:ilvl w:val="0"/>
          <w:numId w:val="4"/>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ascii="宋体"/>
          <w:color w:val="auto"/>
          <w:kern w:val="0"/>
          <w:sz w:val="24"/>
          <w:highlight w:val="none"/>
        </w:rPr>
      </w:pPr>
      <w:r>
        <w:rPr>
          <w:rFonts w:hint="eastAsia" w:ascii="宋体" w:hAnsi="宋体"/>
          <w:color w:val="auto"/>
          <w:kern w:val="0"/>
          <w:sz w:val="24"/>
          <w:highlight w:val="none"/>
        </w:rPr>
        <w:t>在评标过程中，</w:t>
      </w:r>
      <w:r>
        <w:rPr>
          <w:rFonts w:hint="eastAsia"/>
          <w:color w:val="auto"/>
          <w:kern w:val="0"/>
          <w:sz w:val="24"/>
          <w:highlight w:val="none"/>
          <w:lang w:val="en-US" w:eastAsia="zh-CN"/>
        </w:rPr>
        <w:t>评标委员会</w:t>
      </w:r>
      <w:r>
        <w:rPr>
          <w:rFonts w:hint="eastAsia" w:ascii="宋体" w:hAnsi="宋体"/>
          <w:color w:val="auto"/>
          <w:kern w:val="0"/>
          <w:sz w:val="24"/>
          <w:highlight w:val="none"/>
        </w:rPr>
        <w:t>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w:t>
      </w:r>
      <w:r>
        <w:rPr>
          <w:rFonts w:hint="eastAsia"/>
          <w:color w:val="auto"/>
          <w:kern w:val="0"/>
          <w:sz w:val="24"/>
          <w:highlight w:val="none"/>
          <w:lang w:val="en-US" w:eastAsia="zh-CN"/>
        </w:rPr>
        <w:t>人</w:t>
      </w:r>
      <w:r>
        <w:rPr>
          <w:rFonts w:hint="eastAsia" w:ascii="宋体" w:hAnsi="宋体"/>
          <w:color w:val="auto"/>
          <w:kern w:val="0"/>
          <w:sz w:val="24"/>
          <w:highlight w:val="none"/>
        </w:rPr>
        <w:t>作出书面说明并提供相关证明材料。投标</w:t>
      </w:r>
      <w:r>
        <w:rPr>
          <w:rFonts w:hint="eastAsia"/>
          <w:color w:val="auto"/>
          <w:kern w:val="0"/>
          <w:sz w:val="24"/>
          <w:highlight w:val="none"/>
          <w:lang w:val="en-US" w:eastAsia="zh-CN"/>
        </w:rPr>
        <w:t>人</w:t>
      </w:r>
      <w:r>
        <w:rPr>
          <w:rFonts w:hint="eastAsia" w:ascii="宋体" w:hAnsi="宋体"/>
          <w:color w:val="auto"/>
          <w:kern w:val="0"/>
          <w:sz w:val="24"/>
          <w:highlight w:val="none"/>
        </w:rPr>
        <w:t>不能合理说明或者不能提供相关证明材料的，由</w:t>
      </w:r>
      <w:r>
        <w:rPr>
          <w:rFonts w:hint="eastAsia"/>
          <w:color w:val="auto"/>
          <w:kern w:val="0"/>
          <w:sz w:val="24"/>
          <w:highlight w:val="none"/>
          <w:lang w:val="en-US" w:eastAsia="zh-CN"/>
        </w:rPr>
        <w:t>评标委员会</w:t>
      </w:r>
      <w:r>
        <w:rPr>
          <w:rFonts w:hint="eastAsia" w:ascii="宋体" w:hAnsi="宋体"/>
          <w:color w:val="auto"/>
          <w:kern w:val="0"/>
          <w:sz w:val="24"/>
          <w:highlight w:val="none"/>
        </w:rPr>
        <w:t>认定该投标</w:t>
      </w:r>
      <w:r>
        <w:rPr>
          <w:rFonts w:hint="eastAsia"/>
          <w:color w:val="auto"/>
          <w:kern w:val="0"/>
          <w:sz w:val="24"/>
          <w:highlight w:val="none"/>
          <w:lang w:val="en-US" w:eastAsia="zh-CN"/>
        </w:rPr>
        <w:t>人</w:t>
      </w:r>
      <w:r>
        <w:rPr>
          <w:rFonts w:hint="eastAsia" w:ascii="宋体" w:hAnsi="宋体"/>
          <w:color w:val="auto"/>
          <w:kern w:val="0"/>
          <w:sz w:val="24"/>
          <w:highlight w:val="none"/>
        </w:rPr>
        <w:t>以低于成本报价竞标</w:t>
      </w:r>
      <w:r>
        <w:rPr>
          <w:rFonts w:hint="eastAsia" w:ascii="宋体" w:hAnsi="宋体"/>
          <w:color w:val="auto"/>
          <w:kern w:val="0"/>
          <w:sz w:val="24"/>
          <w:highlight w:val="none"/>
          <w:lang w:val="en-US" w:eastAsia="zh-CN"/>
        </w:rPr>
        <w:t>的</w:t>
      </w:r>
      <w:r>
        <w:rPr>
          <w:rFonts w:hint="eastAsia" w:ascii="宋体" w:hAnsi="宋体"/>
          <w:color w:val="auto"/>
          <w:kern w:val="0"/>
          <w:sz w:val="24"/>
          <w:highlight w:val="none"/>
        </w:rPr>
        <w:t>。</w:t>
      </w:r>
    </w:p>
    <w:p>
      <w:pPr>
        <w:pStyle w:val="4"/>
        <w:pageBreakBefore w:val="0"/>
        <w:kinsoku/>
        <w:wordWrap/>
        <w:overflowPunct/>
        <w:topLinePunct w:val="0"/>
        <w:autoSpaceDN/>
        <w:bidi w:val="0"/>
        <w:spacing w:before="0" w:beforeAutospacing="0" w:after="0" w:afterAutospacing="0" w:line="360" w:lineRule="auto"/>
        <w:ind w:firstLine="643" w:firstLineChars="200"/>
        <w:jc w:val="center"/>
        <w:textAlignment w:val="auto"/>
        <w:rPr>
          <w:rFonts w:hint="eastAsia" w:ascii="宋体" w:hAnsi="宋体" w:eastAsia="宋体" w:cs="宋体"/>
          <w:b/>
          <w:bCs/>
          <w:color w:val="auto"/>
          <w:sz w:val="32"/>
          <w:szCs w:val="32"/>
          <w:highlight w:val="yellow"/>
          <w:lang w:eastAsia="zh-CN"/>
        </w:rPr>
      </w:pPr>
    </w:p>
    <w:p>
      <w:pPr>
        <w:pStyle w:val="4"/>
        <w:pageBreakBefore w:val="0"/>
        <w:kinsoku/>
        <w:wordWrap/>
        <w:overflowPunct/>
        <w:topLinePunct w:val="0"/>
        <w:autoSpaceDN/>
        <w:bidi w:val="0"/>
        <w:spacing w:before="0" w:beforeAutospacing="0" w:after="0" w:afterAutospacing="0" w:line="360" w:lineRule="auto"/>
        <w:ind w:firstLine="643" w:firstLineChars="200"/>
        <w:jc w:val="center"/>
        <w:textAlignment w:val="auto"/>
        <w:rPr>
          <w:rFonts w:hint="eastAsia" w:ascii="宋体" w:hAnsi="宋体" w:eastAsia="宋体" w:cs="宋体"/>
          <w:b/>
          <w:bCs/>
          <w:color w:val="auto"/>
          <w:sz w:val="32"/>
          <w:szCs w:val="32"/>
          <w:highlight w:val="none"/>
          <w:lang w:eastAsia="zh-CN"/>
        </w:rPr>
      </w:pPr>
    </w:p>
    <w:p>
      <w:pPr>
        <w:rPr>
          <w:rFonts w:hint="eastAsia" w:ascii="宋体" w:hAnsi="宋体" w:eastAsia="宋体" w:cs="宋体"/>
          <w:b/>
          <w:bCs/>
          <w:color w:val="auto"/>
          <w:sz w:val="32"/>
          <w:szCs w:val="32"/>
          <w:highlight w:val="none"/>
          <w:lang w:eastAsia="zh-CN"/>
        </w:rPr>
      </w:pPr>
    </w:p>
    <w:p>
      <w:pPr>
        <w:jc w:val="center"/>
        <w:rPr>
          <w:rFonts w:hint="eastAsia" w:asciiTheme="minorEastAsia" w:hAnsiTheme="minorEastAsia" w:eastAsiaTheme="minorEastAsia" w:cstheme="minorEastAsia"/>
          <w:b/>
          <w:bCs/>
          <w:color w:val="auto"/>
          <w:sz w:val="32"/>
          <w:szCs w:val="32"/>
          <w:highlight w:val="none"/>
        </w:rPr>
      </w:pPr>
    </w:p>
    <w:p>
      <w:pPr>
        <w:pStyle w:val="6"/>
        <w:spacing w:line="360" w:lineRule="auto"/>
        <w:ind w:right="-63" w:rightChars="-30"/>
        <w:jc w:val="both"/>
        <w:rPr>
          <w:rFonts w:asciiTheme="minorEastAsia" w:hAnsiTheme="minorEastAsia" w:eastAsiaTheme="minorEastAsia" w:cstheme="minorEastAsia"/>
          <w:bCs/>
          <w:color w:val="auto"/>
          <w:highlight w:val="none"/>
        </w:rPr>
      </w:pPr>
    </w:p>
    <w:p>
      <w:pPr>
        <w:rPr>
          <w:rFonts w:asciiTheme="minorEastAsia" w:hAnsiTheme="minorEastAsia" w:eastAsiaTheme="minorEastAsia" w:cstheme="minorEastAsia"/>
          <w:bCs/>
          <w:color w:val="auto"/>
          <w:highlight w:val="none"/>
        </w:rPr>
      </w:pPr>
    </w:p>
    <w:p>
      <w:pPr>
        <w:pStyle w:val="2"/>
        <w:rPr>
          <w:rFonts w:asciiTheme="minorEastAsia" w:hAnsiTheme="minorEastAsia" w:eastAsiaTheme="minorEastAsia" w:cstheme="minorEastAsia"/>
          <w:bCs/>
          <w:color w:val="auto"/>
          <w:highlight w:val="none"/>
        </w:rPr>
      </w:pPr>
    </w:p>
    <w:p>
      <w:pPr>
        <w:pStyle w:val="3"/>
        <w:rPr>
          <w:rFonts w:asciiTheme="minorEastAsia" w:hAnsiTheme="minorEastAsia" w:eastAsiaTheme="minorEastAsia" w:cstheme="minorEastAsia"/>
          <w:bCs/>
          <w:color w:val="auto"/>
          <w:highlight w:val="none"/>
        </w:rPr>
      </w:pPr>
    </w:p>
    <w:p>
      <w:pPr>
        <w:pStyle w:val="2"/>
        <w:rPr>
          <w:rFonts w:asciiTheme="minorEastAsia" w:hAnsiTheme="minorEastAsia" w:eastAsiaTheme="minorEastAsia" w:cstheme="minorEastAsia"/>
          <w:bCs/>
          <w:color w:val="auto"/>
          <w:highlight w:val="none"/>
        </w:rPr>
      </w:pPr>
    </w:p>
    <w:p>
      <w:pPr>
        <w:pStyle w:val="3"/>
        <w:rPr>
          <w:color w:val="auto"/>
        </w:rPr>
      </w:pPr>
    </w:p>
    <w:p>
      <w:pPr>
        <w:pStyle w:val="2"/>
        <w:rPr>
          <w:color w:val="auto"/>
        </w:rPr>
      </w:pPr>
    </w:p>
    <w:p>
      <w:pPr>
        <w:pStyle w:val="3"/>
        <w:rPr>
          <w:color w:val="auto"/>
        </w:rPr>
      </w:pPr>
    </w:p>
    <w:p>
      <w:pPr>
        <w:pStyle w:val="2"/>
      </w:pPr>
    </w:p>
    <w:p>
      <w:pPr>
        <w:pStyle w:val="6"/>
        <w:numPr>
          <w:ilvl w:val="0"/>
          <w:numId w:val="5"/>
        </w:numPr>
        <w:spacing w:line="360" w:lineRule="auto"/>
        <w:ind w:right="-63" w:rightChars="-30"/>
        <w:rPr>
          <w:color w:val="auto"/>
          <w:highlight w:val="none"/>
        </w:rPr>
      </w:pPr>
      <w:r>
        <w:rPr>
          <w:rFonts w:hint="eastAsia" w:asciiTheme="minorEastAsia" w:hAnsiTheme="minorEastAsia" w:eastAsiaTheme="minorEastAsia" w:cstheme="minorEastAsia"/>
          <w:bCs/>
          <w:color w:val="auto"/>
          <w:highlight w:val="none"/>
        </w:rPr>
        <w:t xml:space="preserve">  </w:t>
      </w:r>
      <w:bookmarkStart w:id="2" w:name="_Toc7002"/>
      <w:r>
        <w:rPr>
          <w:rFonts w:hint="eastAsia" w:asciiTheme="minorEastAsia" w:hAnsiTheme="minorEastAsia" w:eastAsiaTheme="minorEastAsia" w:cstheme="minorEastAsia"/>
          <w:bCs/>
          <w:color w:val="auto"/>
          <w:highlight w:val="none"/>
        </w:rPr>
        <w:t>招标公告</w:t>
      </w:r>
      <w:bookmarkEnd w:id="2"/>
    </w:p>
    <w:p>
      <w:pPr>
        <w:jc w:val="center"/>
        <w:rPr>
          <w:rFonts w:hint="eastAsia" w:asciiTheme="minorEastAsia" w:hAnsiTheme="minorEastAsia" w:eastAsiaTheme="minorEastAsia" w:cstheme="minorEastAsia"/>
          <w:b/>
          <w:bCs/>
          <w:color w:val="auto"/>
          <w:sz w:val="32"/>
          <w:szCs w:val="32"/>
          <w:highlight w:val="none"/>
          <w:lang w:eastAsia="zh-CN"/>
        </w:rPr>
      </w:pPr>
      <w:r>
        <w:rPr>
          <w:rFonts w:hint="eastAsia" w:asciiTheme="minorEastAsia" w:hAnsiTheme="minorEastAsia" w:eastAsiaTheme="minorEastAsia" w:cstheme="minorEastAsia"/>
          <w:b/>
          <w:bCs/>
          <w:color w:val="auto"/>
          <w:sz w:val="32"/>
          <w:szCs w:val="32"/>
          <w:highlight w:val="none"/>
          <w:lang w:eastAsia="zh-CN"/>
        </w:rPr>
        <w:t>博爱县公安局建设完善“防控圈”感知设备采购项目招标公告</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lang w:eastAsia="zh-CN"/>
        </w:rPr>
        <w:t>（不见面开标）</w:t>
      </w:r>
      <w:r>
        <w:rPr>
          <w:rFonts w:hint="eastAsia" w:asciiTheme="minorEastAsia" w:hAnsiTheme="minorEastAsia" w:eastAsiaTheme="minorEastAsia" w:cstheme="minorEastAsia"/>
          <w:b/>
          <w:bCs/>
          <w:color w:val="auto"/>
          <w:sz w:val="32"/>
          <w:szCs w:val="32"/>
          <w:highlight w:val="none"/>
          <w:lang w:val="en-US" w:eastAsia="zh-CN"/>
        </w:rPr>
        <w:t xml:space="preserve"> </w:t>
      </w:r>
    </w:p>
    <w:tbl>
      <w:tblPr>
        <w:tblStyle w:val="25"/>
        <w:tblW w:w="87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732" w:type="dxa"/>
          </w:tcPr>
          <w:p>
            <w:pPr>
              <w:pStyle w:val="24"/>
              <w:spacing w:line="440" w:lineRule="exact"/>
              <w:ind w:firstLine="480"/>
              <w:jc w:val="left"/>
              <w:rPr>
                <w:rFonts w:ascii="宋体" w:hAnsi="宋体" w:cs="宋体"/>
                <w:color w:val="auto"/>
                <w:sz w:val="24"/>
                <w:highlight w:val="none"/>
              </w:rPr>
            </w:pPr>
            <w:r>
              <w:rPr>
                <w:rFonts w:hint="eastAsia" w:ascii="宋体" w:hAnsi="宋体" w:cs="宋体"/>
                <w:color w:val="auto"/>
                <w:sz w:val="24"/>
                <w:highlight w:val="none"/>
              </w:rPr>
              <w:t>项目概况：</w:t>
            </w:r>
            <w:r>
              <w:rPr>
                <w:rFonts w:hint="eastAsia" w:ascii="宋体" w:hAnsi="宋体" w:cs="宋体"/>
                <w:color w:val="auto"/>
                <w:sz w:val="24"/>
                <w:highlight w:val="none"/>
                <w:lang w:eastAsia="zh-CN"/>
              </w:rPr>
              <w:t>博爱县公安局建设完善“防控圈”感知设备采购项目</w:t>
            </w:r>
            <w:r>
              <w:rPr>
                <w:rFonts w:hint="eastAsia" w:ascii="宋体" w:hAnsi="宋体" w:cs="宋体"/>
                <w:color w:val="auto"/>
                <w:sz w:val="24"/>
                <w:highlight w:val="none"/>
              </w:rPr>
              <w:t>的潜在供应商应在焦作市公共资源交易中心网站获取采购文件，并于</w:t>
            </w:r>
            <w:r>
              <w:rPr>
                <w:rFonts w:hint="eastAsia" w:ascii="宋体" w:hAnsi="宋体" w:cs="宋体"/>
                <w:color w:val="auto"/>
                <w:kern w:val="0"/>
                <w:sz w:val="24"/>
                <w:highlight w:val="none"/>
                <w:u w:val="single"/>
              </w:rPr>
              <w:t>202</w:t>
            </w:r>
            <w:r>
              <w:rPr>
                <w:rFonts w:hint="eastAsia" w:ascii="宋体" w:hAnsi="宋体" w:cs="宋体"/>
                <w:color w:val="auto"/>
                <w:kern w:val="0"/>
                <w:sz w:val="24"/>
                <w:highlight w:val="none"/>
                <w:u w:val="single"/>
                <w:lang w:val="en-US" w:eastAsia="zh-CN"/>
              </w:rPr>
              <w:t>3</w:t>
            </w:r>
            <w:r>
              <w:rPr>
                <w:rFonts w:hint="eastAsia" w:ascii="宋体" w:hAnsi="宋体" w:cs="宋体"/>
                <w:color w:val="auto"/>
                <w:kern w:val="0"/>
                <w:sz w:val="24"/>
                <w:highlight w:val="none"/>
                <w:u w:val="single"/>
              </w:rPr>
              <w:t>年</w:t>
            </w:r>
            <w:r>
              <w:rPr>
                <w:rFonts w:hint="eastAsia" w:ascii="宋体" w:hAnsi="宋体" w:cs="宋体"/>
                <w:color w:val="auto"/>
                <w:kern w:val="0"/>
                <w:sz w:val="24"/>
                <w:highlight w:val="none"/>
                <w:u w:val="single"/>
                <w:lang w:val="en-US" w:eastAsia="zh-CN"/>
              </w:rPr>
              <w:t>2</w:t>
            </w:r>
            <w:r>
              <w:rPr>
                <w:rFonts w:hint="eastAsia" w:ascii="宋体" w:hAnsi="宋体" w:cs="宋体"/>
                <w:color w:val="auto"/>
                <w:kern w:val="0"/>
                <w:sz w:val="24"/>
                <w:highlight w:val="none"/>
                <w:u w:val="single"/>
              </w:rPr>
              <w:t>月</w:t>
            </w:r>
            <w:r>
              <w:rPr>
                <w:rFonts w:hint="eastAsia" w:ascii="宋体" w:hAnsi="宋体" w:cs="宋体"/>
                <w:color w:val="auto"/>
                <w:kern w:val="0"/>
                <w:sz w:val="24"/>
                <w:highlight w:val="none"/>
                <w:u w:val="single"/>
                <w:lang w:val="en-US" w:eastAsia="zh-CN"/>
              </w:rPr>
              <w:t>7</w:t>
            </w:r>
            <w:r>
              <w:rPr>
                <w:rFonts w:hint="eastAsia" w:ascii="宋体" w:hAnsi="宋体" w:cs="宋体"/>
                <w:color w:val="auto"/>
                <w:kern w:val="0"/>
                <w:sz w:val="24"/>
                <w:highlight w:val="none"/>
                <w:u w:val="single"/>
              </w:rPr>
              <w:t>日上午</w:t>
            </w:r>
            <w:r>
              <w:rPr>
                <w:rFonts w:hint="eastAsia" w:ascii="宋体" w:hAnsi="宋体" w:cs="宋体"/>
                <w:color w:val="auto"/>
                <w:kern w:val="0"/>
                <w:sz w:val="24"/>
                <w:highlight w:val="none"/>
                <w:u w:val="single"/>
                <w:lang w:val="en-US" w:eastAsia="zh-CN"/>
              </w:rPr>
              <w:t>9</w:t>
            </w:r>
            <w:r>
              <w:rPr>
                <w:rFonts w:hint="eastAsia" w:ascii="宋体" w:hAnsi="宋体" w:cs="宋体"/>
                <w:color w:val="auto"/>
                <w:kern w:val="0"/>
                <w:sz w:val="24"/>
                <w:highlight w:val="none"/>
                <w:u w:val="single"/>
              </w:rPr>
              <w:t>点</w:t>
            </w:r>
            <w:r>
              <w:rPr>
                <w:rFonts w:hint="eastAsia" w:ascii="宋体" w:hAnsi="宋体" w:cs="宋体"/>
                <w:color w:val="auto"/>
                <w:kern w:val="0"/>
                <w:sz w:val="24"/>
                <w:highlight w:val="none"/>
                <w:u w:val="single"/>
                <w:lang w:val="en-US" w:eastAsia="zh-CN"/>
              </w:rPr>
              <w:t>00</w:t>
            </w:r>
            <w:r>
              <w:rPr>
                <w:rFonts w:hint="eastAsia" w:ascii="宋体" w:hAnsi="宋体" w:cs="宋体"/>
                <w:color w:val="auto"/>
                <w:kern w:val="0"/>
                <w:sz w:val="24"/>
                <w:highlight w:val="none"/>
                <w:u w:val="single"/>
              </w:rPr>
              <w:t>分</w:t>
            </w:r>
            <w:r>
              <w:rPr>
                <w:rFonts w:hint="eastAsia" w:ascii="宋体" w:hAnsi="宋体" w:cs="宋体"/>
                <w:color w:val="auto"/>
                <w:sz w:val="24"/>
                <w:highlight w:val="none"/>
                <w:u w:val="single"/>
              </w:rPr>
              <w:t>（北京时间）</w:t>
            </w:r>
            <w:r>
              <w:rPr>
                <w:rFonts w:hint="eastAsia" w:ascii="宋体" w:hAnsi="宋体" w:cs="宋体"/>
                <w:color w:val="auto"/>
                <w:sz w:val="24"/>
                <w:highlight w:val="none"/>
              </w:rPr>
              <w:t>前提交响应文件。</w:t>
            </w:r>
          </w:p>
        </w:tc>
      </w:tr>
    </w:tbl>
    <w:p>
      <w:pPr>
        <w:pStyle w:val="35"/>
        <w:spacing w:line="440" w:lineRule="exact"/>
        <w:ind w:left="0" w:firstLine="0"/>
        <w:rPr>
          <w:b/>
          <w:bCs/>
          <w:color w:val="auto"/>
          <w:sz w:val="24"/>
          <w:highlight w:val="none"/>
          <w:lang w:eastAsia="zh-CN"/>
        </w:rPr>
      </w:pPr>
      <w:r>
        <w:rPr>
          <w:rFonts w:hint="eastAsia"/>
          <w:b/>
          <w:bCs/>
          <w:color w:val="auto"/>
          <w:sz w:val="24"/>
          <w:highlight w:val="none"/>
          <w:lang w:eastAsia="zh-CN"/>
        </w:rPr>
        <w:t>一、项目基本情况</w:t>
      </w:r>
    </w:p>
    <w:p>
      <w:pPr>
        <w:pStyle w:val="35"/>
        <w:spacing w:line="440" w:lineRule="exact"/>
        <w:ind w:left="0" w:firstLine="480" w:firstLineChars="200"/>
        <w:rPr>
          <w:color w:val="auto"/>
          <w:sz w:val="24"/>
          <w:highlight w:val="none"/>
          <w:lang w:eastAsia="zh-CN"/>
        </w:rPr>
      </w:pPr>
      <w:r>
        <w:rPr>
          <w:rFonts w:hint="eastAsia"/>
          <w:color w:val="auto"/>
          <w:sz w:val="24"/>
          <w:highlight w:val="none"/>
          <w:lang w:val="en-US" w:eastAsia="zh-CN"/>
        </w:rPr>
        <w:t>采购</w:t>
      </w:r>
      <w:r>
        <w:rPr>
          <w:rFonts w:hint="eastAsia"/>
          <w:color w:val="auto"/>
          <w:sz w:val="24"/>
          <w:highlight w:val="none"/>
          <w:lang w:eastAsia="zh-CN"/>
        </w:rPr>
        <w:t>编号：博政采购〔2022〕109号</w:t>
      </w:r>
    </w:p>
    <w:p>
      <w:pPr>
        <w:pStyle w:val="35"/>
        <w:spacing w:line="440" w:lineRule="exact"/>
        <w:ind w:left="0" w:firstLine="480" w:firstLineChars="200"/>
        <w:rPr>
          <w:color w:val="auto"/>
          <w:sz w:val="24"/>
          <w:highlight w:val="none"/>
          <w:lang w:eastAsia="zh-CN"/>
        </w:rPr>
      </w:pPr>
      <w:r>
        <w:rPr>
          <w:rFonts w:hint="eastAsia"/>
          <w:color w:val="auto"/>
          <w:sz w:val="24"/>
          <w:highlight w:val="none"/>
          <w:lang w:eastAsia="zh-CN"/>
        </w:rPr>
        <w:t>项目名称：博爱县公安局建设完善“防控圈”感知设备采购项目</w:t>
      </w:r>
    </w:p>
    <w:p>
      <w:pPr>
        <w:pStyle w:val="35"/>
        <w:spacing w:line="440" w:lineRule="exact"/>
        <w:ind w:left="0" w:firstLine="480" w:firstLineChars="200"/>
        <w:rPr>
          <w:color w:val="auto"/>
          <w:sz w:val="24"/>
          <w:highlight w:val="none"/>
          <w:lang w:eastAsia="zh-CN"/>
        </w:rPr>
      </w:pPr>
      <w:r>
        <w:rPr>
          <w:rFonts w:hint="eastAsia"/>
          <w:color w:val="auto"/>
          <w:sz w:val="24"/>
          <w:highlight w:val="none"/>
          <w:lang w:eastAsia="zh-CN"/>
        </w:rPr>
        <w:t>采购方式：公开招标</w:t>
      </w:r>
    </w:p>
    <w:p>
      <w:pPr>
        <w:widowControl/>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预算金额：</w:t>
      </w:r>
      <w:r>
        <w:rPr>
          <w:rFonts w:hint="eastAsia" w:ascii="宋体" w:hAnsi="宋体" w:cs="宋体"/>
          <w:color w:val="auto"/>
          <w:kern w:val="0"/>
          <w:sz w:val="24"/>
          <w:highlight w:val="none"/>
          <w:lang w:val="en-US" w:eastAsia="zh-CN"/>
        </w:rPr>
        <w:t>2000000</w:t>
      </w:r>
      <w:r>
        <w:rPr>
          <w:rFonts w:hint="eastAsia" w:ascii="宋体" w:hAnsi="宋体" w:cs="宋体"/>
          <w:color w:val="auto"/>
          <w:kern w:val="0"/>
          <w:sz w:val="24"/>
          <w:highlight w:val="none"/>
        </w:rPr>
        <w:t>元</w:t>
      </w:r>
    </w:p>
    <w:p>
      <w:pPr>
        <w:widowControl/>
        <w:spacing w:line="440" w:lineRule="exact"/>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采购内容：</w:t>
      </w:r>
      <w:r>
        <w:rPr>
          <w:rFonts w:hint="eastAsia" w:ascii="宋体" w:hAnsi="宋体" w:cs="宋体"/>
          <w:color w:val="auto"/>
          <w:kern w:val="0"/>
          <w:sz w:val="24"/>
          <w:highlight w:val="none"/>
          <w:lang w:val="en-US" w:eastAsia="zh-CN"/>
        </w:rPr>
        <w:t>采购900W环保车辆人脸卡口抓拍单元、红外白光爆闪一体灯、卡口终端服务器、400万像素红外全景球机、800万黑光级双舱全结构化摄像机、云计算服务器、数据分析服务器等</w:t>
      </w:r>
      <w:r>
        <w:rPr>
          <w:rFonts w:hint="eastAsia" w:ascii="宋体" w:hAnsi="宋体" w:cs="宋体"/>
          <w:color w:val="auto"/>
          <w:kern w:val="0"/>
          <w:sz w:val="24"/>
          <w:highlight w:val="none"/>
        </w:rPr>
        <w:t>（详见招标文件）。</w:t>
      </w:r>
    </w:p>
    <w:p>
      <w:pPr>
        <w:widowControl/>
        <w:spacing w:line="440" w:lineRule="exact"/>
        <w:ind w:firstLine="480" w:firstLineChars="200"/>
        <w:jc w:val="left"/>
        <w:rPr>
          <w:rFonts w:hint="eastAsia" w:ascii="宋体" w:hAnsi="宋体" w:eastAsia="宋体" w:cs="宋体"/>
          <w:color w:val="auto"/>
          <w:kern w:val="0"/>
          <w:sz w:val="24"/>
          <w:highlight w:val="none"/>
          <w:lang w:val="en-US" w:eastAsia="zh-CN"/>
        </w:rPr>
      </w:pPr>
      <w:r>
        <w:rPr>
          <w:rFonts w:hint="eastAsia" w:cs="宋体"/>
          <w:color w:val="auto"/>
          <w:kern w:val="0"/>
          <w:sz w:val="24"/>
          <w:highlight w:val="none"/>
          <w:lang w:val="en-US" w:eastAsia="zh-CN"/>
        </w:rPr>
        <w:t>供货安装期</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30日历天</w:t>
      </w:r>
    </w:p>
    <w:p>
      <w:pPr>
        <w:widowControl/>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质量标准：合格，符合国家</w:t>
      </w:r>
      <w:r>
        <w:rPr>
          <w:rFonts w:hint="eastAsia" w:ascii="宋体" w:hAnsi="宋体" w:cs="宋体"/>
          <w:color w:val="auto"/>
          <w:kern w:val="0"/>
          <w:sz w:val="24"/>
          <w:highlight w:val="none"/>
          <w:lang w:eastAsia="zh-CN"/>
        </w:rPr>
        <w:t>及</w:t>
      </w:r>
      <w:r>
        <w:rPr>
          <w:rFonts w:hint="eastAsia" w:ascii="宋体" w:hAnsi="宋体" w:cs="宋体"/>
          <w:color w:val="auto"/>
          <w:kern w:val="0"/>
          <w:sz w:val="24"/>
          <w:highlight w:val="none"/>
        </w:rPr>
        <w:t>行业规范标准。</w:t>
      </w:r>
    </w:p>
    <w:p>
      <w:pPr>
        <w:adjustRightInd w:val="0"/>
        <w:snapToGrid w:val="0"/>
        <w:spacing w:line="440" w:lineRule="exact"/>
        <w:rPr>
          <w:rFonts w:ascii="宋体" w:hAnsi="宋体" w:cs="宋体"/>
          <w:color w:val="auto"/>
          <w:kern w:val="0"/>
          <w:sz w:val="24"/>
          <w:highlight w:val="none"/>
        </w:rPr>
      </w:pPr>
      <w:r>
        <w:rPr>
          <w:rFonts w:hint="eastAsia" w:ascii="宋体" w:hAnsi="宋体" w:cs="宋体"/>
          <w:b/>
          <w:bCs/>
          <w:color w:val="auto"/>
          <w:kern w:val="0"/>
          <w:sz w:val="24"/>
          <w:highlight w:val="none"/>
        </w:rPr>
        <w:t>二、申请人资格要求：</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1、符合《中华人民共和国政府采购法》第二十二条之规定；</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3、本项目的特定资格要求：</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税收违法</w:t>
      </w:r>
      <w:r>
        <w:rPr>
          <w:rFonts w:hint="eastAsia" w:ascii="宋体" w:hAnsi="宋体" w:cs="宋体"/>
          <w:color w:val="auto"/>
          <w:sz w:val="24"/>
          <w:highlight w:val="none"/>
          <w:shd w:val="clear" w:color="auto" w:fill="FFFFFF"/>
          <w:lang w:val="en-US" w:eastAsia="zh-CN"/>
        </w:rPr>
        <w:t>黑名单</w:t>
      </w:r>
      <w:r>
        <w:rPr>
          <w:rFonts w:hint="eastAsia" w:ascii="宋体" w:hAnsi="宋体" w:cs="宋体"/>
          <w:color w:val="auto"/>
          <w:sz w:val="24"/>
          <w:highlight w:val="none"/>
          <w:shd w:val="clear" w:color="auto" w:fill="FFFFFF"/>
        </w:rPr>
        <w:t>、政府采购严重违法失信行为记录名单的供应商，拒绝参与政府采购活动，同时对信用信息查询记录和证据进行打印存档； </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3.3本项目不接受联合体投标；</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3.4资格审查方式：资格后审。</w:t>
      </w:r>
    </w:p>
    <w:p>
      <w:pPr>
        <w:widowControl/>
        <w:spacing w:line="44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三、获取采购文件</w:t>
      </w:r>
    </w:p>
    <w:p>
      <w:pPr>
        <w:pStyle w:val="22"/>
        <w:shd w:val="clear" w:color="auto" w:fill="FFFFFF"/>
        <w:autoSpaceDE w:val="0"/>
        <w:spacing w:before="0" w:beforeAutospacing="0" w:after="0" w:afterAutospacing="0" w:line="440" w:lineRule="atLeast"/>
        <w:ind w:firstLine="480" w:firstLineChars="200"/>
        <w:rPr>
          <w:rFonts w:hint="eastAsia" w:eastAsia="宋体"/>
          <w:color w:val="auto"/>
          <w:highlight w:val="none"/>
          <w:u w:val="none"/>
          <w:lang w:eastAsia="zh-CN"/>
        </w:rPr>
      </w:pPr>
      <w:r>
        <w:rPr>
          <w:rFonts w:hint="eastAsia"/>
          <w:color w:val="auto"/>
          <w:highlight w:val="none"/>
        </w:rPr>
        <w:t>1.时间：</w:t>
      </w:r>
      <w:r>
        <w:rPr>
          <w:rFonts w:hint="eastAsia"/>
          <w:color w:val="auto"/>
          <w:highlight w:val="none"/>
          <w:u w:val="single"/>
        </w:rPr>
        <w:t>202</w:t>
      </w:r>
      <w:r>
        <w:rPr>
          <w:rFonts w:hint="eastAsia"/>
          <w:color w:val="auto"/>
          <w:highlight w:val="none"/>
          <w:u w:val="single"/>
          <w:lang w:val="en-US" w:eastAsia="zh-CN"/>
        </w:rPr>
        <w:t>3</w:t>
      </w:r>
      <w:r>
        <w:rPr>
          <w:rFonts w:hint="eastAsia"/>
          <w:color w:val="auto"/>
          <w:highlight w:val="none"/>
          <w:u w:val="single"/>
        </w:rPr>
        <w:t>年</w:t>
      </w:r>
      <w:r>
        <w:rPr>
          <w:rFonts w:hint="eastAsia"/>
          <w:color w:val="auto"/>
          <w:highlight w:val="none"/>
          <w:u w:val="single"/>
          <w:lang w:val="en-US" w:eastAsia="zh-CN"/>
        </w:rPr>
        <w:t>1</w:t>
      </w:r>
      <w:r>
        <w:rPr>
          <w:rFonts w:hint="eastAsia"/>
          <w:color w:val="auto"/>
          <w:highlight w:val="none"/>
          <w:u w:val="single"/>
        </w:rPr>
        <w:t>月</w:t>
      </w:r>
      <w:r>
        <w:rPr>
          <w:rFonts w:hint="eastAsia"/>
          <w:color w:val="auto"/>
          <w:highlight w:val="none"/>
          <w:u w:val="single"/>
          <w:lang w:val="en-US" w:eastAsia="zh-CN"/>
        </w:rPr>
        <w:t>10</w:t>
      </w:r>
      <w:r>
        <w:rPr>
          <w:rFonts w:hint="eastAsia"/>
          <w:color w:val="auto"/>
          <w:highlight w:val="none"/>
          <w:u w:val="single"/>
        </w:rPr>
        <w:t>日至202</w:t>
      </w:r>
      <w:r>
        <w:rPr>
          <w:rFonts w:hint="eastAsia"/>
          <w:color w:val="auto"/>
          <w:highlight w:val="none"/>
          <w:u w:val="single"/>
          <w:lang w:val="en-US" w:eastAsia="zh-CN"/>
        </w:rPr>
        <w:t>3年1</w:t>
      </w:r>
      <w:r>
        <w:rPr>
          <w:rFonts w:hint="eastAsia"/>
          <w:color w:val="auto"/>
          <w:highlight w:val="none"/>
          <w:u w:val="single"/>
        </w:rPr>
        <w:t>月</w:t>
      </w:r>
      <w:r>
        <w:rPr>
          <w:rFonts w:hint="eastAsia"/>
          <w:color w:val="auto"/>
          <w:highlight w:val="none"/>
          <w:u w:val="single"/>
          <w:lang w:val="en-US" w:eastAsia="zh-CN"/>
        </w:rPr>
        <w:t>16</w:t>
      </w:r>
      <w:r>
        <w:rPr>
          <w:rFonts w:hint="eastAsia"/>
          <w:color w:val="auto"/>
          <w:highlight w:val="none"/>
          <w:u w:val="single"/>
        </w:rPr>
        <w:t>日（北京时间）</w:t>
      </w:r>
      <w:r>
        <w:rPr>
          <w:rFonts w:hint="eastAsia"/>
          <w:color w:val="auto"/>
          <w:highlight w:val="none"/>
          <w:u w:val="none"/>
        </w:rPr>
        <w:t>；</w:t>
      </w:r>
    </w:p>
    <w:p>
      <w:pPr>
        <w:pStyle w:val="22"/>
        <w:shd w:val="clear" w:color="auto" w:fill="FFFFFF"/>
        <w:autoSpaceDE w:val="0"/>
        <w:spacing w:before="0" w:beforeAutospacing="0" w:after="0" w:afterAutospacing="0" w:line="440" w:lineRule="atLeast"/>
        <w:ind w:firstLine="480" w:firstLineChars="200"/>
        <w:rPr>
          <w:color w:val="auto"/>
          <w:highlight w:val="none"/>
        </w:rPr>
      </w:pPr>
      <w:r>
        <w:rPr>
          <w:rFonts w:hint="eastAsia"/>
          <w:color w:val="auto"/>
          <w:highlight w:val="none"/>
        </w:rPr>
        <w:t>2.地点：</w:t>
      </w:r>
      <w:r>
        <w:rPr>
          <w:rFonts w:hint="eastAsia"/>
          <w:color w:val="auto"/>
          <w:highlight w:val="none"/>
          <w:shd w:val="clear" w:color="auto" w:fill="FFFFFF"/>
        </w:rPr>
        <w:t>凡有意参加投标者，请登</w:t>
      </w:r>
      <w:r>
        <w:rPr>
          <w:rFonts w:hint="eastAsia"/>
          <w:color w:val="auto"/>
          <w:highlight w:val="none"/>
          <w:shd w:val="clear" w:color="auto" w:fill="FFFFFF"/>
          <w:lang w:val="en-US" w:eastAsia="zh-CN"/>
        </w:rPr>
        <w:t>录</w:t>
      </w:r>
      <w:r>
        <w:rPr>
          <w:rFonts w:hint="eastAsia"/>
          <w:color w:val="auto"/>
          <w:highlight w:val="none"/>
          <w:shd w:val="clear" w:color="auto" w:fill="FFFFFF"/>
        </w:rPr>
        <w:t>焦作市公共资源交易中心网站会员系统进行网上下载。（联系电话：0391-3568920，QQ：232850725、361532918（群）；</w:t>
      </w:r>
    </w:p>
    <w:p>
      <w:pPr>
        <w:pStyle w:val="22"/>
        <w:shd w:val="clear" w:color="auto" w:fill="FFFFFF"/>
        <w:autoSpaceDE w:val="0"/>
        <w:spacing w:before="0" w:beforeAutospacing="0" w:after="0" w:afterAutospacing="0" w:line="440" w:lineRule="atLeast"/>
        <w:rPr>
          <w:color w:val="auto"/>
          <w:highlight w:val="none"/>
        </w:rPr>
      </w:pPr>
      <w:r>
        <w:rPr>
          <w:rFonts w:hint="eastAsia"/>
          <w:color w:val="auto"/>
          <w:highlight w:val="none"/>
        </w:rPr>
        <w:t>  3.方式：</w:t>
      </w:r>
      <w:r>
        <w:rPr>
          <w:rFonts w:hint="eastAsia"/>
          <w:color w:val="auto"/>
          <w:sz w:val="24"/>
          <w:szCs w:val="24"/>
          <w:highlight w:val="none"/>
        </w:rPr>
        <w:t>网上下载</w:t>
      </w:r>
      <w:r>
        <w:rPr>
          <w:rFonts w:hint="eastAsia"/>
          <w:color w:val="auto"/>
          <w:highlight w:val="none"/>
        </w:rPr>
        <w:t>；</w:t>
      </w:r>
    </w:p>
    <w:p>
      <w:pP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四、响应文件提交</w:t>
      </w:r>
    </w:p>
    <w:p>
      <w:pPr>
        <w:adjustRightInd w:val="0"/>
        <w:snapToGrid w:val="0"/>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1.截止时间：</w:t>
      </w:r>
      <w:r>
        <w:rPr>
          <w:rFonts w:hint="eastAsia" w:ascii="宋体" w:hAnsi="宋体" w:cs="宋体"/>
          <w:color w:val="auto"/>
          <w:kern w:val="0"/>
          <w:sz w:val="24"/>
          <w:highlight w:val="none"/>
          <w:u w:val="single"/>
        </w:rPr>
        <w:t>202</w:t>
      </w:r>
      <w:r>
        <w:rPr>
          <w:rFonts w:hint="eastAsia" w:ascii="宋体" w:hAnsi="宋体" w:cs="宋体"/>
          <w:color w:val="auto"/>
          <w:kern w:val="0"/>
          <w:sz w:val="24"/>
          <w:highlight w:val="none"/>
          <w:u w:val="single"/>
          <w:lang w:val="en-US" w:eastAsia="zh-CN"/>
        </w:rPr>
        <w:t>3</w:t>
      </w:r>
      <w:r>
        <w:rPr>
          <w:rFonts w:hint="eastAsia" w:ascii="宋体" w:hAnsi="宋体" w:cs="宋体"/>
          <w:color w:val="auto"/>
          <w:kern w:val="0"/>
          <w:sz w:val="24"/>
          <w:highlight w:val="none"/>
          <w:u w:val="single"/>
        </w:rPr>
        <w:t>年</w:t>
      </w:r>
      <w:r>
        <w:rPr>
          <w:rFonts w:hint="eastAsia" w:ascii="宋体" w:hAnsi="宋体" w:cs="宋体"/>
          <w:color w:val="auto"/>
          <w:kern w:val="0"/>
          <w:sz w:val="24"/>
          <w:highlight w:val="none"/>
          <w:u w:val="single"/>
          <w:lang w:val="en-US" w:eastAsia="zh-CN"/>
        </w:rPr>
        <w:t>2</w:t>
      </w:r>
      <w:r>
        <w:rPr>
          <w:rFonts w:hint="eastAsia" w:ascii="宋体" w:hAnsi="宋体" w:cs="宋体"/>
          <w:color w:val="auto"/>
          <w:kern w:val="0"/>
          <w:sz w:val="24"/>
          <w:highlight w:val="none"/>
          <w:u w:val="single"/>
        </w:rPr>
        <w:t>月</w:t>
      </w:r>
      <w:r>
        <w:rPr>
          <w:rFonts w:hint="eastAsia" w:ascii="宋体" w:hAnsi="宋体" w:cs="宋体"/>
          <w:color w:val="auto"/>
          <w:kern w:val="0"/>
          <w:sz w:val="24"/>
          <w:highlight w:val="none"/>
          <w:u w:val="single"/>
          <w:lang w:val="en-US" w:eastAsia="zh-CN"/>
        </w:rPr>
        <w:t>7</w:t>
      </w:r>
      <w:r>
        <w:rPr>
          <w:rFonts w:hint="eastAsia" w:ascii="宋体" w:hAnsi="宋体" w:cs="宋体"/>
          <w:color w:val="auto"/>
          <w:kern w:val="0"/>
          <w:sz w:val="24"/>
          <w:highlight w:val="none"/>
          <w:u w:val="single"/>
        </w:rPr>
        <w:t>日上午</w:t>
      </w:r>
      <w:r>
        <w:rPr>
          <w:rFonts w:hint="eastAsia" w:ascii="宋体" w:hAnsi="宋体" w:cs="宋体"/>
          <w:color w:val="auto"/>
          <w:kern w:val="0"/>
          <w:sz w:val="24"/>
          <w:highlight w:val="none"/>
          <w:u w:val="single"/>
          <w:lang w:val="en-US" w:eastAsia="zh-CN"/>
        </w:rPr>
        <w:t>09</w:t>
      </w:r>
      <w:r>
        <w:rPr>
          <w:rFonts w:hint="eastAsia" w:ascii="宋体" w:hAnsi="宋体" w:cs="宋体"/>
          <w:color w:val="auto"/>
          <w:kern w:val="0"/>
          <w:sz w:val="24"/>
          <w:highlight w:val="none"/>
          <w:u w:val="single"/>
        </w:rPr>
        <w:t>点</w:t>
      </w:r>
      <w:r>
        <w:rPr>
          <w:rFonts w:hint="eastAsia" w:ascii="宋体" w:hAnsi="宋体" w:cs="宋体"/>
          <w:color w:val="auto"/>
          <w:kern w:val="0"/>
          <w:sz w:val="24"/>
          <w:highlight w:val="none"/>
          <w:u w:val="single"/>
          <w:lang w:val="en-US" w:eastAsia="zh-CN"/>
        </w:rPr>
        <w:t>00</w:t>
      </w:r>
      <w:r>
        <w:rPr>
          <w:rFonts w:hint="eastAsia" w:ascii="宋体" w:hAnsi="宋体" w:cs="宋体"/>
          <w:color w:val="auto"/>
          <w:kern w:val="0"/>
          <w:sz w:val="24"/>
          <w:highlight w:val="none"/>
          <w:u w:val="single"/>
        </w:rPr>
        <w:t>分（北京时间）</w:t>
      </w:r>
      <w:r>
        <w:rPr>
          <w:rFonts w:hint="eastAsia" w:ascii="宋体" w:hAnsi="宋体" w:cs="宋体"/>
          <w:color w:val="auto"/>
          <w:kern w:val="0"/>
          <w:sz w:val="24"/>
          <w:highlight w:val="none"/>
          <w:u w:val="none"/>
        </w:rPr>
        <w:t>；</w:t>
      </w:r>
    </w:p>
    <w:p>
      <w:pPr>
        <w:adjustRightInd w:val="0"/>
        <w:snapToGrid w:val="0"/>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2.地点：博爱县公共资源交易中心二楼不见面开标二室；</w:t>
      </w:r>
    </w:p>
    <w:p>
      <w:pP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五、开启</w:t>
      </w:r>
    </w:p>
    <w:p>
      <w:pPr>
        <w:adjustRightInd w:val="0"/>
        <w:snapToGrid w:val="0"/>
        <w:spacing w:line="44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1.时间：</w:t>
      </w:r>
      <w:r>
        <w:rPr>
          <w:rFonts w:hint="eastAsia" w:ascii="宋体" w:hAnsi="宋体" w:cs="宋体"/>
          <w:color w:val="auto"/>
          <w:kern w:val="0"/>
          <w:sz w:val="24"/>
          <w:highlight w:val="none"/>
          <w:u w:val="single"/>
        </w:rPr>
        <w:t>202</w:t>
      </w:r>
      <w:r>
        <w:rPr>
          <w:rFonts w:hint="eastAsia" w:ascii="宋体" w:hAnsi="宋体" w:cs="宋体"/>
          <w:color w:val="auto"/>
          <w:kern w:val="0"/>
          <w:sz w:val="24"/>
          <w:highlight w:val="none"/>
          <w:u w:val="single"/>
          <w:lang w:val="en-US" w:eastAsia="zh-CN"/>
        </w:rPr>
        <w:t>3</w:t>
      </w:r>
      <w:r>
        <w:rPr>
          <w:rFonts w:hint="eastAsia" w:ascii="宋体" w:hAnsi="宋体" w:cs="宋体"/>
          <w:color w:val="auto"/>
          <w:kern w:val="0"/>
          <w:sz w:val="24"/>
          <w:highlight w:val="none"/>
          <w:u w:val="single"/>
        </w:rPr>
        <w:t>年</w:t>
      </w:r>
      <w:r>
        <w:rPr>
          <w:rFonts w:hint="eastAsia" w:ascii="宋体" w:hAnsi="宋体" w:cs="宋体"/>
          <w:color w:val="auto"/>
          <w:kern w:val="0"/>
          <w:sz w:val="24"/>
          <w:highlight w:val="none"/>
          <w:u w:val="single"/>
          <w:lang w:val="en-US" w:eastAsia="zh-CN"/>
        </w:rPr>
        <w:t>2</w:t>
      </w:r>
      <w:r>
        <w:rPr>
          <w:rFonts w:hint="eastAsia" w:ascii="宋体" w:hAnsi="宋体" w:cs="宋体"/>
          <w:color w:val="auto"/>
          <w:kern w:val="0"/>
          <w:sz w:val="24"/>
          <w:highlight w:val="none"/>
          <w:u w:val="single"/>
        </w:rPr>
        <w:t>月</w:t>
      </w:r>
      <w:r>
        <w:rPr>
          <w:rFonts w:hint="eastAsia" w:ascii="宋体" w:hAnsi="宋体" w:cs="宋体"/>
          <w:color w:val="auto"/>
          <w:kern w:val="0"/>
          <w:sz w:val="24"/>
          <w:highlight w:val="none"/>
          <w:u w:val="single"/>
          <w:lang w:val="en-US" w:eastAsia="zh-CN"/>
        </w:rPr>
        <w:t>7</w:t>
      </w:r>
      <w:r>
        <w:rPr>
          <w:rFonts w:hint="eastAsia" w:ascii="宋体" w:hAnsi="宋体" w:cs="宋体"/>
          <w:color w:val="auto"/>
          <w:kern w:val="0"/>
          <w:sz w:val="24"/>
          <w:highlight w:val="none"/>
          <w:u w:val="single"/>
        </w:rPr>
        <w:t>日上午</w:t>
      </w:r>
      <w:r>
        <w:rPr>
          <w:rFonts w:hint="eastAsia" w:ascii="宋体" w:hAnsi="宋体" w:cs="宋体"/>
          <w:color w:val="auto"/>
          <w:kern w:val="0"/>
          <w:sz w:val="24"/>
          <w:highlight w:val="none"/>
          <w:u w:val="single"/>
          <w:lang w:val="en-US" w:eastAsia="zh-CN"/>
        </w:rPr>
        <w:t>09</w:t>
      </w:r>
      <w:r>
        <w:rPr>
          <w:rFonts w:hint="eastAsia" w:ascii="宋体" w:hAnsi="宋体" w:cs="宋体"/>
          <w:color w:val="auto"/>
          <w:kern w:val="0"/>
          <w:sz w:val="24"/>
          <w:highlight w:val="none"/>
          <w:u w:val="single"/>
        </w:rPr>
        <w:t>点</w:t>
      </w:r>
      <w:r>
        <w:rPr>
          <w:rFonts w:hint="eastAsia" w:ascii="宋体" w:hAnsi="宋体" w:cs="宋体"/>
          <w:color w:val="auto"/>
          <w:kern w:val="0"/>
          <w:sz w:val="24"/>
          <w:highlight w:val="none"/>
          <w:u w:val="single"/>
          <w:lang w:val="en-US" w:eastAsia="zh-CN"/>
        </w:rPr>
        <w:t>00</w:t>
      </w:r>
      <w:r>
        <w:rPr>
          <w:rFonts w:hint="eastAsia" w:ascii="宋体" w:hAnsi="宋体" w:cs="宋体"/>
          <w:color w:val="auto"/>
          <w:kern w:val="0"/>
          <w:sz w:val="24"/>
          <w:highlight w:val="none"/>
          <w:u w:val="single"/>
        </w:rPr>
        <w:t>分（北京时间）</w:t>
      </w:r>
      <w:r>
        <w:rPr>
          <w:rFonts w:hint="eastAsia" w:ascii="宋体" w:hAnsi="宋体" w:cs="宋体"/>
          <w:color w:val="auto"/>
          <w:kern w:val="0"/>
          <w:sz w:val="24"/>
          <w:highlight w:val="none"/>
          <w:u w:val="none"/>
        </w:rPr>
        <w:t>；</w:t>
      </w:r>
    </w:p>
    <w:p>
      <w:pPr>
        <w:adjustRightInd w:val="0"/>
        <w:snapToGrid w:val="0"/>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2.地点：博爱县公共资源交易中心二楼不见面开标二室；</w:t>
      </w:r>
    </w:p>
    <w:p>
      <w:pPr>
        <w:adjustRightInd w:val="0"/>
        <w:snapToGrid w:val="0"/>
        <w:spacing w:line="440" w:lineRule="exact"/>
        <w:rPr>
          <w:rFonts w:ascii="宋体" w:hAnsi="宋体" w:cs="宋体"/>
          <w:b/>
          <w:bCs/>
          <w:color w:val="auto"/>
          <w:sz w:val="24"/>
          <w:highlight w:val="none"/>
        </w:rPr>
      </w:pPr>
      <w:r>
        <w:rPr>
          <w:rFonts w:hint="eastAsia" w:ascii="宋体" w:hAnsi="宋体" w:cs="宋体"/>
          <w:b/>
          <w:bCs/>
          <w:color w:val="auto"/>
          <w:sz w:val="24"/>
          <w:highlight w:val="none"/>
        </w:rPr>
        <w:t>六、公告期限</w:t>
      </w:r>
    </w:p>
    <w:p>
      <w:pPr>
        <w:adjustRightInd w:val="0"/>
        <w:snapToGrid w:val="0"/>
        <w:spacing w:line="440" w:lineRule="exact"/>
        <w:ind w:firstLine="480" w:firstLineChars="200"/>
        <w:rPr>
          <w:rFonts w:ascii="宋体" w:hAnsi="宋体" w:cs="宋体"/>
          <w:color w:val="auto"/>
          <w:kern w:val="0"/>
          <w:sz w:val="24"/>
          <w:highlight w:val="none"/>
        </w:rPr>
      </w:pPr>
      <w:r>
        <w:rPr>
          <w:rFonts w:hint="eastAsia" w:ascii="宋体" w:hAnsi="宋体" w:cs="宋体"/>
          <w:color w:val="auto"/>
          <w:sz w:val="24"/>
          <w:highlight w:val="none"/>
        </w:rPr>
        <w:t>自本公告发布之</w:t>
      </w:r>
      <w:r>
        <w:rPr>
          <w:rFonts w:hint="eastAsia" w:ascii="宋体" w:hAnsi="宋体" w:cs="宋体"/>
          <w:color w:val="auto"/>
          <w:kern w:val="0"/>
          <w:sz w:val="24"/>
          <w:highlight w:val="none"/>
        </w:rPr>
        <w:t>日起5个工作日。</w:t>
      </w:r>
    </w:p>
    <w:p>
      <w:pPr>
        <w:pStyle w:val="22"/>
        <w:numPr>
          <w:ilvl w:val="0"/>
          <w:numId w:val="6"/>
        </w:numPr>
        <w:shd w:val="clear" w:color="auto" w:fill="FFFFFF"/>
        <w:autoSpaceDE w:val="0"/>
        <w:spacing w:before="0" w:beforeAutospacing="0" w:after="0" w:afterAutospacing="0" w:line="440" w:lineRule="exact"/>
        <w:rPr>
          <w:b/>
          <w:color w:val="auto"/>
          <w:highlight w:val="none"/>
          <w:shd w:val="clear" w:color="auto" w:fill="FFFFFF"/>
        </w:rPr>
      </w:pPr>
      <w:r>
        <w:rPr>
          <w:rFonts w:hint="eastAsia"/>
          <w:b/>
          <w:color w:val="auto"/>
          <w:highlight w:val="none"/>
          <w:shd w:val="clear" w:color="auto" w:fill="FFFFFF"/>
        </w:rPr>
        <w:t>其他补充事宜</w:t>
      </w:r>
    </w:p>
    <w:p>
      <w:pPr>
        <w:pStyle w:val="22"/>
        <w:shd w:val="clear" w:color="auto" w:fill="FFFFFF"/>
        <w:autoSpaceDE w:val="0"/>
        <w:spacing w:before="0" w:beforeAutospacing="0" w:after="0" w:afterAutospacing="0" w:line="440" w:lineRule="exact"/>
        <w:ind w:firstLine="480" w:firstLineChars="200"/>
        <w:rPr>
          <w:color w:val="auto"/>
          <w:highlight w:val="none"/>
          <w:shd w:val="clear" w:color="auto" w:fill="FFFFFF"/>
        </w:rPr>
      </w:pPr>
      <w:r>
        <w:rPr>
          <w:rFonts w:hint="eastAsia"/>
          <w:color w:val="auto"/>
          <w:highlight w:val="none"/>
          <w:shd w:val="clear" w:color="auto" w:fill="FFFFFF"/>
        </w:rPr>
        <w:t>1.本次本公告在</w:t>
      </w:r>
      <w:r>
        <w:rPr>
          <w:rFonts w:hint="eastAsia" w:ascii="宋体" w:hAnsi="宋体" w:eastAsia="宋体" w:cs="宋体"/>
          <w:bCs/>
          <w:color w:val="auto"/>
          <w:sz w:val="24"/>
          <w:szCs w:val="24"/>
          <w:highlight w:val="none"/>
        </w:rPr>
        <w:t>中国招标投标公共服务平台、</w:t>
      </w:r>
      <w:r>
        <w:rPr>
          <w:rFonts w:hint="eastAsia"/>
          <w:color w:val="auto"/>
          <w:highlight w:val="none"/>
          <w:shd w:val="clear" w:color="auto" w:fill="FFFFFF"/>
        </w:rPr>
        <w:t>河南省政府采购网、焦作市政府采购网、焦作市公共资源交易中心网、博爱县人民政府网、博爱县公共资源交易中心网http://www.baxggzyjyzx.cn/上发布。</w:t>
      </w:r>
    </w:p>
    <w:p>
      <w:pPr>
        <w:pStyle w:val="22"/>
        <w:spacing w:beforeAutospacing="0" w:afterAutospacing="0" w:line="440" w:lineRule="exact"/>
        <w:ind w:firstLine="468" w:firstLineChars="195"/>
        <w:jc w:val="both"/>
        <w:rPr>
          <w:color w:val="auto"/>
          <w:highlight w:val="none"/>
        </w:rPr>
      </w:pPr>
      <w:r>
        <w:rPr>
          <w:rFonts w:hint="eastAsia"/>
          <w:color w:val="auto"/>
          <w:highlight w:val="none"/>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具体要求详见招标文件。 平台统一技术服务电话：400-998-0000，服务 QQ：4008503300，服务时间：周一至周日 8：00-17：30。</w:t>
      </w:r>
    </w:p>
    <w:p>
      <w:pPr>
        <w:pStyle w:val="22"/>
        <w:spacing w:beforeAutospacing="0" w:afterAutospacing="0" w:line="440" w:lineRule="exact"/>
        <w:ind w:firstLine="468" w:firstLineChars="195"/>
        <w:jc w:val="both"/>
        <w:rPr>
          <w:color w:val="auto"/>
          <w:highlight w:val="none"/>
        </w:rPr>
      </w:pPr>
      <w:r>
        <w:rPr>
          <w:rFonts w:hint="eastAsia"/>
          <w:color w:val="auto"/>
          <w:highlight w:val="none"/>
        </w:rPr>
        <w:t>3.投标人无需到现场参加开标会议，无需到达现场提交原件资料。投标人应当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八、</w:t>
      </w:r>
      <w:r>
        <w:rPr>
          <w:rFonts w:hint="eastAsia" w:ascii="宋体" w:hAnsi="宋体" w:cs="宋体"/>
          <w:b/>
          <w:color w:val="auto"/>
          <w:sz w:val="24"/>
          <w:highlight w:val="none"/>
          <w:shd w:val="clear" w:color="auto" w:fill="FFFFFF"/>
        </w:rPr>
        <w:t>凡对本次采购提出询问，请按以下方式联系</w:t>
      </w:r>
    </w:p>
    <w:p>
      <w:pPr>
        <w:widowControl/>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1.采购人信息：</w:t>
      </w:r>
    </w:p>
    <w:p>
      <w:pPr>
        <w:widowControl/>
        <w:spacing w:line="440" w:lineRule="exact"/>
        <w:ind w:firstLine="480" w:firstLineChars="200"/>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采购人：</w:t>
      </w:r>
      <w:r>
        <w:rPr>
          <w:rFonts w:hint="eastAsia" w:ascii="宋体" w:hAnsi="宋体" w:cs="宋体"/>
          <w:color w:val="auto"/>
          <w:kern w:val="0"/>
          <w:sz w:val="24"/>
          <w:highlight w:val="none"/>
          <w:lang w:eastAsia="zh-CN"/>
        </w:rPr>
        <w:t>博爱县公安局</w:t>
      </w:r>
      <w:r>
        <w:rPr>
          <w:rFonts w:hint="eastAsia" w:ascii="宋体" w:hAnsi="宋体" w:cs="宋体"/>
          <w:color w:val="auto"/>
          <w:kern w:val="0"/>
          <w:sz w:val="24"/>
          <w:highlight w:val="none"/>
          <w:lang w:val="en-US" w:eastAsia="zh-CN"/>
        </w:rPr>
        <w:t xml:space="preserve"> </w:t>
      </w:r>
    </w:p>
    <w:p>
      <w:pPr>
        <w:adjustRightInd w:val="0"/>
        <w:snapToGrid w:val="0"/>
        <w:spacing w:line="440" w:lineRule="exact"/>
        <w:ind w:firstLine="480" w:firstLineChars="200"/>
        <w:rPr>
          <w:rFonts w:hint="eastAsia" w:ascii="宋体" w:hAnsi="宋体" w:eastAsia="宋体" w:cs="宋体"/>
          <w:bCs/>
          <w:color w:val="auto"/>
          <w:sz w:val="24"/>
          <w:highlight w:val="none"/>
          <w:lang w:eastAsia="zh-CN"/>
        </w:rPr>
      </w:pPr>
      <w:r>
        <w:rPr>
          <w:rFonts w:hint="eastAsia" w:ascii="宋体" w:hAnsi="宋体" w:cs="宋体"/>
          <w:color w:val="auto"/>
          <w:kern w:val="0"/>
          <w:sz w:val="24"/>
          <w:highlight w:val="none"/>
        </w:rPr>
        <w:t>地址：</w:t>
      </w:r>
      <w:r>
        <w:rPr>
          <w:rFonts w:hint="eastAsia" w:ascii="宋体" w:hAnsi="宋体" w:cs="宋体"/>
          <w:color w:val="auto"/>
          <w:kern w:val="0"/>
          <w:sz w:val="24"/>
          <w:szCs w:val="24"/>
          <w:highlight w:val="none"/>
          <w:lang w:eastAsia="zh-CN"/>
        </w:rPr>
        <w:t>博爱县海华路</w:t>
      </w:r>
    </w:p>
    <w:p>
      <w:pPr>
        <w:adjustRightInd w:val="0"/>
        <w:snapToGrid w:val="0"/>
        <w:spacing w:line="440" w:lineRule="exact"/>
        <w:ind w:firstLine="480" w:firstLineChars="200"/>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联系人：</w:t>
      </w:r>
      <w:r>
        <w:rPr>
          <w:rFonts w:hint="eastAsia" w:ascii="宋体" w:hAnsi="宋体" w:cs="宋体"/>
          <w:color w:val="auto"/>
          <w:sz w:val="24"/>
          <w:szCs w:val="24"/>
          <w:highlight w:val="none"/>
          <w:lang w:val="en-US" w:eastAsia="zh-CN"/>
        </w:rPr>
        <w:t>胡先生</w:t>
      </w:r>
      <w:r>
        <w:rPr>
          <w:rFonts w:hint="eastAsia" w:ascii="宋体" w:hAnsi="宋体" w:cs="宋体"/>
          <w:color w:val="auto"/>
          <w:sz w:val="24"/>
          <w:szCs w:val="24"/>
          <w:highlight w:val="none"/>
          <w:lang w:val="en-US" w:eastAsia="zh-CN"/>
        </w:rPr>
        <w:tab/>
      </w:r>
    </w:p>
    <w:p>
      <w:pPr>
        <w:adjustRightInd w:val="0"/>
        <w:snapToGrid w:val="0"/>
        <w:spacing w:line="44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kern w:val="0"/>
          <w:sz w:val="24"/>
          <w:highlight w:val="none"/>
        </w:rPr>
        <w:t>电话：</w:t>
      </w:r>
      <w:r>
        <w:rPr>
          <w:rFonts w:hint="eastAsia" w:ascii="宋体" w:hAnsi="宋体" w:cs="宋体"/>
          <w:color w:val="auto"/>
          <w:kern w:val="0"/>
          <w:sz w:val="24"/>
          <w:szCs w:val="24"/>
          <w:highlight w:val="none"/>
          <w:lang w:val="en-US" w:eastAsia="zh-CN"/>
        </w:rPr>
        <w:t>18339132667</w:t>
      </w:r>
    </w:p>
    <w:p>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2.采购代理机构信息：</w:t>
      </w:r>
    </w:p>
    <w:p>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名称：博爱县城市建设项目管理有限公司 </w:t>
      </w:r>
    </w:p>
    <w:p>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strike w:val="0"/>
          <w:dstrike w:val="0"/>
          <w:color w:val="auto"/>
          <w:sz w:val="24"/>
          <w:highlight w:val="none"/>
          <w:shd w:val="clear" w:color="auto" w:fill="FFFFFF"/>
          <w:lang w:val="en-US" w:eastAsia="zh-CN"/>
        </w:rPr>
        <w:t>博爱县发展大道188号机关办公楼东配楼806室</w:t>
      </w:r>
    </w:p>
    <w:p>
      <w:pPr>
        <w:adjustRightInd w:val="0"/>
        <w:snapToGrid w:val="0"/>
        <w:spacing w:line="440" w:lineRule="exact"/>
        <w:ind w:firstLine="480" w:firstLineChars="200"/>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联系人：</w:t>
      </w:r>
      <w:r>
        <w:rPr>
          <w:rFonts w:hint="eastAsia" w:ascii="宋体" w:hAnsi="宋体" w:cs="宋体"/>
          <w:color w:val="auto"/>
          <w:sz w:val="24"/>
          <w:szCs w:val="24"/>
          <w:highlight w:val="none"/>
          <w:lang w:val="en-US" w:eastAsia="zh-CN"/>
        </w:rPr>
        <w:t>贾先生</w:t>
      </w:r>
    </w:p>
    <w:p>
      <w:pPr>
        <w:adjustRightInd w:val="0"/>
        <w:snapToGrid w:val="0"/>
        <w:spacing w:line="44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电话：</w:t>
      </w:r>
      <w:r>
        <w:rPr>
          <w:rFonts w:hint="eastAsia" w:ascii="宋体" w:hAnsi="宋体" w:cs="宋体"/>
          <w:color w:val="auto"/>
          <w:sz w:val="24"/>
          <w:highlight w:val="none"/>
          <w:lang w:val="en-US" w:eastAsia="zh-CN"/>
        </w:rPr>
        <w:t>15139166295</w:t>
      </w:r>
    </w:p>
    <w:p>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3.项目联系方式</w:t>
      </w:r>
    </w:p>
    <w:p>
      <w:pPr>
        <w:adjustRightInd w:val="0"/>
        <w:snapToGrid w:val="0"/>
        <w:spacing w:line="440"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项目联系人：</w:t>
      </w:r>
      <w:r>
        <w:rPr>
          <w:rFonts w:hint="eastAsia" w:ascii="宋体" w:hAnsi="宋体" w:cs="宋体"/>
          <w:color w:val="auto"/>
          <w:sz w:val="24"/>
          <w:szCs w:val="24"/>
          <w:highlight w:val="none"/>
          <w:lang w:val="en-US" w:eastAsia="zh-CN"/>
        </w:rPr>
        <w:t>胡先生</w:t>
      </w:r>
      <w:r>
        <w:rPr>
          <w:rFonts w:hint="eastAsia" w:ascii="宋体" w:hAnsi="宋体" w:cs="宋体"/>
          <w:color w:val="auto"/>
          <w:sz w:val="24"/>
          <w:highlight w:val="none"/>
          <w:lang w:val="en-US" w:eastAsia="zh-CN"/>
        </w:rPr>
        <w:t xml:space="preserve"> </w:t>
      </w:r>
    </w:p>
    <w:p>
      <w:pPr>
        <w:adjustRightInd w:val="0"/>
        <w:snapToGrid w:val="0"/>
        <w:spacing w:line="440" w:lineRule="exact"/>
        <w:ind w:firstLine="480" w:firstLineChars="200"/>
        <w:rPr>
          <w:rFonts w:hint="default" w:ascii="宋体" w:hAnsi="宋体" w:eastAsia="宋体" w:cs="宋体"/>
          <w:color w:val="auto"/>
          <w:kern w:val="0"/>
          <w:sz w:val="24"/>
          <w:highlight w:val="none"/>
          <w:lang w:val="en-US" w:eastAsia="zh-CN"/>
        </w:rPr>
      </w:pPr>
      <w:r>
        <w:rPr>
          <w:rFonts w:hint="eastAsia" w:ascii="宋体" w:hAnsi="宋体" w:cs="宋体"/>
          <w:color w:val="auto"/>
          <w:sz w:val="24"/>
          <w:highlight w:val="none"/>
        </w:rPr>
        <w:t>电话：</w:t>
      </w:r>
      <w:r>
        <w:rPr>
          <w:rFonts w:hint="eastAsia" w:ascii="宋体" w:hAnsi="宋体" w:cs="宋体"/>
          <w:color w:val="auto"/>
          <w:kern w:val="0"/>
          <w:sz w:val="24"/>
          <w:szCs w:val="24"/>
          <w:highlight w:val="none"/>
          <w:lang w:val="en-US" w:eastAsia="zh-CN"/>
        </w:rPr>
        <w:t>18339132667</w:t>
      </w:r>
    </w:p>
    <w:p>
      <w:pPr>
        <w:widowControl/>
        <w:spacing w:line="440" w:lineRule="exact"/>
        <w:ind w:left="2940" w:firstLine="420"/>
        <w:rPr>
          <w:rFonts w:ascii="宋体" w:hAnsi="宋体" w:cs="宋体"/>
          <w:color w:val="auto"/>
          <w:sz w:val="24"/>
          <w:highlight w:val="none"/>
        </w:rPr>
      </w:pPr>
    </w:p>
    <w:p>
      <w:pPr>
        <w:widowControl/>
        <w:spacing w:line="440" w:lineRule="exact"/>
        <w:ind w:left="2940" w:firstLine="420"/>
        <w:rPr>
          <w:rFonts w:ascii="宋体" w:hAnsi="宋体" w:cs="宋体"/>
          <w:color w:val="auto"/>
          <w:sz w:val="24"/>
          <w:highlight w:val="none"/>
        </w:rPr>
      </w:pPr>
    </w:p>
    <w:p>
      <w:pPr>
        <w:widowControl/>
        <w:spacing w:line="440" w:lineRule="exact"/>
        <w:ind w:left="2940" w:firstLine="420"/>
        <w:rPr>
          <w:rFonts w:ascii="宋体" w:hAnsi="宋体" w:cs="宋体"/>
          <w:color w:val="auto"/>
          <w:sz w:val="24"/>
          <w:highlight w:val="none"/>
        </w:rPr>
      </w:pPr>
    </w:p>
    <w:p>
      <w:pPr>
        <w:widowControl/>
        <w:spacing w:line="440" w:lineRule="exact"/>
        <w:ind w:left="2940" w:firstLine="420"/>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rPr>
        <w:t>采购人：</w:t>
      </w:r>
      <w:r>
        <w:rPr>
          <w:rFonts w:hint="eastAsia" w:ascii="宋体" w:hAnsi="宋体" w:cs="宋体"/>
          <w:color w:val="auto"/>
          <w:sz w:val="24"/>
          <w:highlight w:val="none"/>
          <w:shd w:val="clear" w:color="auto" w:fill="FFFFFF"/>
          <w:lang w:eastAsia="zh-CN"/>
        </w:rPr>
        <w:t>博爱县公安局</w:t>
      </w:r>
    </w:p>
    <w:p>
      <w:pPr>
        <w:widowControl/>
        <w:spacing w:line="440" w:lineRule="exact"/>
        <w:ind w:firstLine="2880" w:firstLineChars="1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采购代理机构：博爱县城市建设项目管理有限公司</w:t>
      </w:r>
    </w:p>
    <w:p>
      <w:pPr>
        <w:widowControl/>
        <w:spacing w:line="440" w:lineRule="exact"/>
        <w:ind w:left="2940" w:firstLine="420"/>
        <w:rPr>
          <w:color w:val="auto"/>
          <w:highlight w:val="none"/>
        </w:rPr>
      </w:pPr>
      <w:r>
        <w:rPr>
          <w:rFonts w:hint="eastAsia" w:ascii="宋体" w:hAnsi="宋体" w:cs="宋体"/>
          <w:color w:val="auto"/>
          <w:sz w:val="24"/>
          <w:highlight w:val="none"/>
        </w:rPr>
        <w:t>发布时间：202</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日</w:t>
      </w:r>
    </w:p>
    <w:p>
      <w:pPr>
        <w:rPr>
          <w:color w:val="auto"/>
          <w:highlight w:val="none"/>
        </w:rPr>
      </w:pPr>
    </w:p>
    <w:p>
      <w:pPr>
        <w:widowControl/>
        <w:spacing w:line="440" w:lineRule="exact"/>
        <w:ind w:left="2940" w:firstLine="420"/>
        <w:rPr>
          <w:color w:val="auto"/>
          <w:highlight w:val="none"/>
        </w:rPr>
      </w:pPr>
    </w:p>
    <w:p>
      <w:pPr>
        <w:rPr>
          <w:color w:val="auto"/>
          <w:highlight w:val="none"/>
        </w:rPr>
      </w:pPr>
    </w:p>
    <w:p/>
    <w:p>
      <w:pPr>
        <w:pStyle w:val="2"/>
        <w:rPr>
          <w:rFonts w:hint="eastAsia" w:asciiTheme="minorEastAsia" w:hAnsiTheme="minorEastAsia" w:eastAsiaTheme="minorEastAsia" w:cstheme="minorEastAsia"/>
          <w:b/>
          <w:color w:val="auto"/>
          <w:sz w:val="32"/>
          <w:szCs w:val="32"/>
          <w:highlight w:val="none"/>
        </w:rPr>
      </w:pPr>
    </w:p>
    <w:p>
      <w:pPr>
        <w:pStyle w:val="3"/>
        <w:rPr>
          <w:rFonts w:hint="eastAsia" w:asciiTheme="minorEastAsia" w:hAnsiTheme="minorEastAsia" w:eastAsiaTheme="minorEastAsia" w:cstheme="minorEastAsia"/>
          <w:b/>
          <w:color w:val="auto"/>
          <w:sz w:val="32"/>
          <w:szCs w:val="32"/>
          <w:highlight w:val="none"/>
        </w:rPr>
      </w:pPr>
    </w:p>
    <w:p>
      <w:pPr>
        <w:pStyle w:val="2"/>
        <w:rPr>
          <w:rFonts w:hint="eastAsia" w:asciiTheme="minorEastAsia" w:hAnsiTheme="minorEastAsia" w:eastAsiaTheme="minorEastAsia" w:cstheme="minorEastAsia"/>
          <w:b/>
          <w:color w:val="auto"/>
          <w:sz w:val="32"/>
          <w:szCs w:val="32"/>
          <w:highlight w:val="none"/>
        </w:rPr>
      </w:pPr>
    </w:p>
    <w:p>
      <w:pPr>
        <w:pStyle w:val="3"/>
        <w:rPr>
          <w:rFonts w:hint="eastAsia" w:asciiTheme="minorEastAsia" w:hAnsiTheme="minorEastAsia" w:eastAsiaTheme="minorEastAsia" w:cstheme="minorEastAsia"/>
          <w:b/>
          <w:color w:val="auto"/>
          <w:sz w:val="32"/>
          <w:szCs w:val="32"/>
          <w:highlight w:val="none"/>
        </w:rPr>
      </w:pPr>
    </w:p>
    <w:p>
      <w:pPr>
        <w:pStyle w:val="2"/>
        <w:rPr>
          <w:rFonts w:hint="eastAsia"/>
          <w:color w:val="auto"/>
          <w:highlight w:val="none"/>
        </w:rPr>
      </w:pPr>
    </w:p>
    <w:p>
      <w:pPr>
        <w:pStyle w:val="3"/>
        <w:rPr>
          <w:rFonts w:hint="eastAsia"/>
          <w:color w:val="auto"/>
          <w:highlight w:val="none"/>
        </w:rPr>
      </w:pPr>
    </w:p>
    <w:p>
      <w:pPr>
        <w:pStyle w:val="2"/>
        <w:rPr>
          <w:rFonts w:hint="eastAsia"/>
          <w:color w:val="auto"/>
        </w:rPr>
      </w:pPr>
    </w:p>
    <w:p>
      <w:pPr>
        <w:autoSpaceDE w:val="0"/>
        <w:autoSpaceDN w:val="0"/>
        <w:adjustRightInd w:val="0"/>
        <w:spacing w:line="360" w:lineRule="auto"/>
        <w:jc w:val="center"/>
        <w:outlineLvl w:val="0"/>
        <w:rPr>
          <w:rFonts w:asciiTheme="minorEastAsia" w:hAnsiTheme="minorEastAsia" w:eastAsiaTheme="minorEastAsia" w:cstheme="minorEastAsia"/>
          <w:b/>
          <w:color w:val="auto"/>
          <w:sz w:val="32"/>
          <w:szCs w:val="32"/>
          <w:highlight w:val="none"/>
        </w:rPr>
      </w:pPr>
      <w:bookmarkStart w:id="3" w:name="_Toc28480"/>
      <w:r>
        <w:rPr>
          <w:rFonts w:hint="eastAsia" w:asciiTheme="minorEastAsia" w:hAnsiTheme="minorEastAsia" w:eastAsiaTheme="minorEastAsia" w:cstheme="minorEastAsia"/>
          <w:b/>
          <w:color w:val="auto"/>
          <w:sz w:val="32"/>
          <w:szCs w:val="32"/>
          <w:highlight w:val="none"/>
        </w:rPr>
        <w:t>第二章  供应商须知</w:t>
      </w:r>
      <w:bookmarkEnd w:id="3"/>
    </w:p>
    <w:bookmarkEnd w:id="0"/>
    <w:p>
      <w:pPr>
        <w:pStyle w:val="6"/>
        <w:spacing w:before="0" w:after="0" w:line="360" w:lineRule="auto"/>
        <w:ind w:right="-23" w:rightChars="-11"/>
        <w:rPr>
          <w:rFonts w:asciiTheme="minorEastAsia" w:hAnsiTheme="minorEastAsia" w:eastAsiaTheme="minorEastAsia" w:cstheme="minorEastAsia"/>
          <w:color w:val="auto"/>
          <w:sz w:val="30"/>
          <w:szCs w:val="30"/>
          <w:highlight w:val="none"/>
        </w:rPr>
      </w:pPr>
      <w:bookmarkStart w:id="4" w:name="_Toc403122490"/>
      <w:bookmarkStart w:id="5" w:name="_Toc9161"/>
      <w:bookmarkStart w:id="6" w:name="_Toc14655"/>
      <w:bookmarkStart w:id="7" w:name="_Toc31723"/>
      <w:bookmarkStart w:id="8" w:name="_Toc426369478"/>
      <w:bookmarkStart w:id="9" w:name="_Toc32497"/>
      <w:r>
        <w:rPr>
          <w:rFonts w:hint="eastAsia" w:asciiTheme="minorEastAsia" w:hAnsiTheme="minorEastAsia" w:eastAsiaTheme="minorEastAsia" w:cstheme="minorEastAsia"/>
          <w:color w:val="auto"/>
          <w:sz w:val="30"/>
          <w:szCs w:val="30"/>
          <w:highlight w:val="none"/>
        </w:rPr>
        <w:t>供应商须知前附表</w:t>
      </w:r>
      <w:bookmarkEnd w:id="4"/>
      <w:bookmarkEnd w:id="5"/>
      <w:bookmarkEnd w:id="6"/>
      <w:bookmarkEnd w:id="7"/>
      <w:bookmarkEnd w:id="8"/>
      <w:bookmarkEnd w:id="9"/>
    </w:p>
    <w:tbl>
      <w:tblPr>
        <w:tblStyle w:val="25"/>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b/>
                <w:color w:val="auto"/>
                <w:highlight w:val="none"/>
              </w:rPr>
            </w:pPr>
            <w:r>
              <w:rPr>
                <w:rFonts w:asciiTheme="minorEastAsia" w:hAnsiTheme="minorEastAsia" w:eastAsiaTheme="minorEastAsia" w:cstheme="minorEastAsia"/>
                <w:b/>
                <w:color w:val="auto"/>
                <w:highlight w:val="none"/>
              </w:rPr>
              <w:t>条款号</w:t>
            </w:r>
          </w:p>
        </w:tc>
        <w:tc>
          <w:tcPr>
            <w:tcW w:w="2318" w:type="dxa"/>
            <w:vAlign w:val="center"/>
          </w:tcPr>
          <w:p>
            <w:pPr>
              <w:pStyle w:val="17"/>
              <w:spacing w:line="360" w:lineRule="exact"/>
              <w:jc w:val="center"/>
              <w:rPr>
                <w:rFonts w:hint="default" w:asciiTheme="minorEastAsia" w:hAnsiTheme="minorEastAsia" w:eastAsiaTheme="minorEastAsia" w:cstheme="minorEastAsia"/>
                <w:b/>
                <w:color w:val="auto"/>
                <w:highlight w:val="none"/>
              </w:rPr>
            </w:pPr>
            <w:r>
              <w:rPr>
                <w:rFonts w:asciiTheme="minorEastAsia" w:hAnsiTheme="minorEastAsia" w:eastAsiaTheme="minorEastAsia" w:cstheme="minorEastAsia"/>
                <w:b/>
                <w:color w:val="auto"/>
                <w:highlight w:val="none"/>
              </w:rPr>
              <w:t>条款名称</w:t>
            </w:r>
          </w:p>
        </w:tc>
        <w:tc>
          <w:tcPr>
            <w:tcW w:w="6112" w:type="dxa"/>
            <w:vAlign w:val="center"/>
          </w:tcPr>
          <w:p>
            <w:pPr>
              <w:pStyle w:val="17"/>
              <w:spacing w:line="360" w:lineRule="exact"/>
              <w:jc w:val="center"/>
              <w:rPr>
                <w:rFonts w:hint="default" w:asciiTheme="minorEastAsia" w:hAnsiTheme="minorEastAsia" w:eastAsiaTheme="minorEastAsia" w:cstheme="minorEastAsia"/>
                <w:b/>
                <w:color w:val="auto"/>
                <w:highlight w:val="none"/>
              </w:rPr>
            </w:pPr>
            <w:r>
              <w:rPr>
                <w:rFonts w:asciiTheme="minorEastAsia" w:hAnsiTheme="minorEastAsia" w:eastAsiaTheme="minorEastAsia" w:cstheme="minorEastAsia"/>
                <w:b/>
                <w:color w:val="auto"/>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1.1.2</w:t>
            </w:r>
          </w:p>
        </w:tc>
        <w:tc>
          <w:tcPr>
            <w:tcW w:w="2318" w:type="dxa"/>
            <w:vAlign w:val="center"/>
          </w:tcPr>
          <w:p>
            <w:pPr>
              <w:pStyle w:val="17"/>
              <w:spacing w:line="360" w:lineRule="exact"/>
              <w:jc w:val="center"/>
              <w:rPr>
                <w:rFonts w:hint="default" w:asciiTheme="minorEastAsia" w:hAnsiTheme="minorEastAsia" w:eastAsiaTheme="minorEastAsia" w:cstheme="minorEastAsia"/>
                <w:b w:val="0"/>
                <w:bCs w:val="0"/>
                <w:color w:val="auto"/>
                <w:highlight w:val="none"/>
              </w:rPr>
            </w:pPr>
            <w:r>
              <w:rPr>
                <w:rFonts w:asciiTheme="minorEastAsia" w:hAnsiTheme="minorEastAsia" w:eastAsiaTheme="minorEastAsia" w:cstheme="minorEastAsia"/>
                <w:b w:val="0"/>
                <w:bCs w:val="0"/>
                <w:color w:val="auto"/>
                <w:highlight w:val="none"/>
              </w:rPr>
              <w:t>采购人</w:t>
            </w:r>
          </w:p>
        </w:tc>
        <w:tc>
          <w:tcPr>
            <w:tcW w:w="6112" w:type="dxa"/>
            <w:vAlign w:val="center"/>
          </w:tcPr>
          <w:p>
            <w:pPr>
              <w:pStyle w:val="17"/>
              <w:spacing w:line="360" w:lineRule="exact"/>
              <w:rPr>
                <w:rFonts w:hint="eastAsia" w:asciiTheme="minorEastAsia" w:hAnsiTheme="minorEastAsia" w:eastAsiaTheme="minorEastAsia" w:cstheme="minorEastAsia"/>
                <w:b w:val="0"/>
                <w:bCs w:val="0"/>
                <w:color w:val="auto"/>
                <w:highlight w:val="none"/>
                <w:lang w:eastAsia="zh-CN"/>
              </w:rPr>
            </w:pPr>
            <w:r>
              <w:rPr>
                <w:rFonts w:asciiTheme="minorEastAsia" w:hAnsiTheme="minorEastAsia" w:eastAsiaTheme="minorEastAsia" w:cstheme="minorEastAsia"/>
                <w:b w:val="0"/>
                <w:bCs w:val="0"/>
                <w:color w:val="auto"/>
                <w:highlight w:val="none"/>
              </w:rPr>
              <w:t>名称：</w:t>
            </w:r>
            <w:r>
              <w:rPr>
                <w:rFonts w:hint="eastAsia" w:asciiTheme="minorEastAsia" w:hAnsiTheme="minorEastAsia" w:eastAsiaTheme="minorEastAsia" w:cstheme="minorEastAsia"/>
                <w:b w:val="0"/>
                <w:bCs w:val="0"/>
                <w:color w:val="auto"/>
                <w:highlight w:val="none"/>
                <w:lang w:eastAsia="zh-CN"/>
              </w:rPr>
              <w:t>博爱县公安局</w:t>
            </w:r>
          </w:p>
          <w:p>
            <w:pPr>
              <w:pStyle w:val="17"/>
              <w:spacing w:line="360" w:lineRule="exact"/>
              <w:rPr>
                <w:rFonts w:hint="eastAsia" w:asciiTheme="minorEastAsia" w:hAnsiTheme="minorEastAsia" w:eastAsiaTheme="minorEastAsia" w:cstheme="minorEastAsia"/>
                <w:b w:val="0"/>
                <w:bCs w:val="0"/>
                <w:color w:val="auto"/>
                <w:highlight w:val="none"/>
                <w:lang w:eastAsia="zh-CN"/>
              </w:rPr>
            </w:pPr>
            <w:r>
              <w:rPr>
                <w:rFonts w:hint="eastAsia" w:asciiTheme="minorEastAsia" w:hAnsiTheme="minorEastAsia" w:eastAsiaTheme="minorEastAsia" w:cstheme="minorEastAsia"/>
                <w:b w:val="0"/>
                <w:bCs w:val="0"/>
                <w:color w:val="auto"/>
                <w:highlight w:val="none"/>
                <w:lang w:val="en-US" w:eastAsia="zh-CN"/>
              </w:rPr>
              <w:t xml:space="preserve">联系人：胡先生   </w:t>
            </w:r>
          </w:p>
          <w:p>
            <w:pPr>
              <w:pStyle w:val="17"/>
              <w:spacing w:line="360" w:lineRule="exact"/>
              <w:rPr>
                <w:rFonts w:hint="default" w:asciiTheme="minorEastAsia" w:hAnsiTheme="minorEastAsia" w:eastAsiaTheme="minorEastAsia" w:cstheme="minorEastAsia"/>
                <w:b w:val="0"/>
                <w:bCs w:val="0"/>
                <w:color w:val="auto"/>
                <w:highlight w:val="none"/>
                <w:lang w:val="en-US" w:eastAsia="zh-CN"/>
              </w:rPr>
            </w:pPr>
            <w:r>
              <w:rPr>
                <w:rFonts w:hint="eastAsia" w:asciiTheme="minorEastAsia" w:hAnsiTheme="minorEastAsia" w:eastAsiaTheme="minorEastAsia" w:cstheme="minorEastAsia"/>
                <w:b w:val="0"/>
                <w:bCs w:val="0"/>
                <w:color w:val="auto"/>
                <w:highlight w:val="none"/>
                <w:lang w:eastAsia="zh-CN"/>
              </w:rPr>
              <w:t>电话：</w:t>
            </w:r>
            <w:r>
              <w:rPr>
                <w:rFonts w:hint="eastAsia" w:asciiTheme="minorEastAsia" w:hAnsiTheme="minorEastAsia" w:eastAsiaTheme="minorEastAsia" w:cstheme="minorEastAsia"/>
                <w:b w:val="0"/>
                <w:bCs w:val="0"/>
                <w:color w:val="auto"/>
                <w:highlight w:val="none"/>
                <w:lang w:val="en-US" w:eastAsia="zh-CN"/>
              </w:rPr>
              <w:t>18339132667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1.1.3</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采购代理机构</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 xml:space="preserve">采购代理机构：博爱县城市建设项目管理有限公司  </w:t>
            </w:r>
          </w:p>
          <w:p>
            <w:pPr>
              <w:pStyle w:val="17"/>
              <w:spacing w:line="360" w:lineRule="exact"/>
              <w:rPr>
                <w:rFonts w:hint="default" w:asciiTheme="minorEastAsia" w:hAnsiTheme="minorEastAsia" w:eastAsiaTheme="minorEastAsia" w:cstheme="minorEastAsia"/>
                <w:bCs/>
                <w:iCs/>
                <w:color w:val="auto"/>
                <w:highlight w:val="none"/>
              </w:rPr>
            </w:pPr>
            <w:r>
              <w:rPr>
                <w:rFonts w:asciiTheme="minorEastAsia" w:hAnsiTheme="minorEastAsia" w:eastAsiaTheme="minorEastAsia" w:cstheme="minorEastAsia"/>
                <w:color w:val="auto"/>
                <w:highlight w:val="none"/>
              </w:rPr>
              <w:t>联</w:t>
            </w:r>
            <w:r>
              <w:rPr>
                <w:rFonts w:asciiTheme="minorEastAsia" w:hAnsiTheme="minorEastAsia" w:eastAsiaTheme="minorEastAsia" w:cstheme="minorEastAsia"/>
                <w:bCs/>
                <w:iCs/>
                <w:color w:val="auto"/>
                <w:highlight w:val="none"/>
              </w:rPr>
              <w:t>系人：</w:t>
            </w:r>
            <w:r>
              <w:rPr>
                <w:rFonts w:hint="eastAsia" w:asciiTheme="minorEastAsia" w:hAnsiTheme="minorEastAsia" w:eastAsiaTheme="minorEastAsia" w:cstheme="minorEastAsia"/>
                <w:bCs/>
                <w:iCs/>
                <w:color w:val="auto"/>
                <w:highlight w:val="none"/>
                <w:lang w:eastAsia="zh-CN"/>
              </w:rPr>
              <w:t>贾先生</w:t>
            </w:r>
            <w:r>
              <w:rPr>
                <w:rFonts w:asciiTheme="minorEastAsia" w:hAnsiTheme="minorEastAsia" w:eastAsiaTheme="minorEastAsia" w:cstheme="minorEastAsia"/>
                <w:bCs/>
                <w:iCs/>
                <w:color w:val="auto"/>
                <w:highlight w:val="none"/>
              </w:rPr>
              <w:t xml:space="preserve">      </w:t>
            </w:r>
          </w:p>
          <w:p>
            <w:pPr>
              <w:pStyle w:val="17"/>
              <w:spacing w:line="360" w:lineRule="exact"/>
              <w:rPr>
                <w:rFonts w:hint="default" w:asciiTheme="minorEastAsia" w:hAnsiTheme="minorEastAsia" w:eastAsiaTheme="minorEastAsia" w:cstheme="minorEastAsia"/>
                <w:color w:val="auto"/>
                <w:highlight w:val="none"/>
                <w:lang w:val="en-US" w:eastAsia="zh-CN"/>
              </w:rPr>
            </w:pPr>
            <w:r>
              <w:rPr>
                <w:rFonts w:asciiTheme="minorEastAsia" w:hAnsiTheme="minorEastAsia" w:eastAsiaTheme="minorEastAsia" w:cstheme="minorEastAsia"/>
                <w:bCs/>
                <w:iCs/>
                <w:color w:val="auto"/>
                <w:highlight w:val="none"/>
              </w:rPr>
              <w:t>电话</w:t>
            </w:r>
            <w:r>
              <w:rPr>
                <w:rFonts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15139166295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1.1.4</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项目名称</w:t>
            </w:r>
          </w:p>
        </w:tc>
        <w:tc>
          <w:tcPr>
            <w:tcW w:w="6112" w:type="dxa"/>
            <w:vAlign w:val="center"/>
          </w:tcPr>
          <w:p>
            <w:pPr>
              <w:adjustRightInd w:val="0"/>
              <w:snapToGrid w:val="0"/>
              <w:spacing w:line="460" w:lineRule="exac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iCs/>
                <w:color w:val="auto"/>
                <w:szCs w:val="21"/>
                <w:highlight w:val="none"/>
                <w:lang w:eastAsia="zh-CN"/>
              </w:rPr>
              <w:t>博爱县公安局建设完善“防控圈”感知设备采购项目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1.1.5</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iCs/>
                <w:color w:val="auto"/>
                <w:szCs w:val="21"/>
                <w:highlight w:val="none"/>
              </w:rPr>
              <w:t>项目地点</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1.2.1</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资金来源</w:t>
            </w:r>
          </w:p>
        </w:tc>
        <w:tc>
          <w:tcPr>
            <w:tcW w:w="6112" w:type="dxa"/>
            <w:vAlign w:val="center"/>
          </w:tcPr>
          <w:p>
            <w:pPr>
              <w:pStyle w:val="17"/>
              <w:spacing w:line="360" w:lineRule="exac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eastAsia="zh-CN"/>
              </w:rPr>
              <w:t>本级财政资金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1.2.2</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资金落实情况</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1.3.1</w:t>
            </w:r>
          </w:p>
        </w:tc>
        <w:tc>
          <w:tcPr>
            <w:tcW w:w="2318" w:type="dxa"/>
            <w:vAlign w:val="center"/>
          </w:tcPr>
          <w:p>
            <w:pPr>
              <w:pStyle w:val="17"/>
              <w:spacing w:line="360" w:lineRule="exact"/>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采购内容</w:t>
            </w:r>
          </w:p>
        </w:tc>
        <w:tc>
          <w:tcPr>
            <w:tcW w:w="6112" w:type="dxa"/>
          </w:tcPr>
          <w:p>
            <w:pPr>
              <w:pStyle w:val="17"/>
              <w:spacing w:line="360" w:lineRule="exac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采购900W环保车辆人脸卡口抓拍单元、红外白光爆闪一体灯、卡口终端服务器、400万像素红外全景球机、800万黑光级双舱全结构化摄像机、云计算服务器、数据分析服务器等</w:t>
            </w:r>
            <w:r>
              <w:rPr>
                <w:rFonts w:hint="eastAsia" w:asciiTheme="minorEastAsia" w:hAnsiTheme="minorEastAsia" w:eastAsiaTheme="minorEastAsia" w:cstheme="minorEastAsia"/>
                <w:color w:val="auto"/>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1.3.2</w:t>
            </w:r>
          </w:p>
        </w:tc>
        <w:tc>
          <w:tcPr>
            <w:tcW w:w="2318" w:type="dxa"/>
            <w:vAlign w:val="center"/>
          </w:tcPr>
          <w:p>
            <w:pPr>
              <w:pStyle w:val="17"/>
              <w:spacing w:line="360" w:lineRule="exact"/>
              <w:jc w:val="center"/>
              <w:rPr>
                <w:rFonts w:hint="eastAsia" w:hAnsi="宋体" w:eastAsia="宋体" w:cs="宋体"/>
                <w:color w:val="auto"/>
                <w:kern w:val="0"/>
                <w:sz w:val="21"/>
                <w:szCs w:val="21"/>
                <w:highlight w:val="none"/>
                <w:lang w:eastAsia="zh-CN"/>
              </w:rPr>
            </w:pPr>
            <w:r>
              <w:rPr>
                <w:rFonts w:hint="eastAsia" w:hAnsi="宋体" w:cs="宋体"/>
                <w:color w:val="auto"/>
                <w:kern w:val="0"/>
                <w:sz w:val="21"/>
                <w:szCs w:val="21"/>
                <w:highlight w:val="none"/>
                <w:lang w:val="en-US" w:eastAsia="zh-CN"/>
              </w:rPr>
              <w:t>供货安装期</w:t>
            </w:r>
          </w:p>
        </w:tc>
        <w:tc>
          <w:tcPr>
            <w:tcW w:w="6112" w:type="dxa"/>
            <w:vAlign w:val="center"/>
          </w:tcPr>
          <w:p>
            <w:pPr>
              <w:adjustRightInd w:val="0"/>
              <w:snapToGrid w:val="0"/>
              <w:spacing w:line="560" w:lineRule="exac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1.3.3</w:t>
            </w:r>
          </w:p>
        </w:tc>
        <w:tc>
          <w:tcPr>
            <w:tcW w:w="2318" w:type="dxa"/>
            <w:vAlign w:val="center"/>
          </w:tcPr>
          <w:p>
            <w:pPr>
              <w:pStyle w:val="17"/>
              <w:spacing w:line="360" w:lineRule="exact"/>
              <w:jc w:val="center"/>
              <w:rPr>
                <w:rFonts w:hint="default" w:hAnsi="宋体" w:cs="宋体"/>
                <w:color w:val="auto"/>
                <w:kern w:val="0"/>
                <w:sz w:val="21"/>
                <w:szCs w:val="21"/>
                <w:highlight w:val="none"/>
              </w:rPr>
            </w:pPr>
            <w:r>
              <w:rPr>
                <w:rFonts w:hint="default" w:hAnsi="宋体" w:cs="宋体"/>
                <w:color w:val="auto"/>
                <w:kern w:val="0"/>
                <w:sz w:val="21"/>
                <w:szCs w:val="21"/>
                <w:highlight w:val="none"/>
              </w:rPr>
              <w:t>质量标准</w:t>
            </w:r>
          </w:p>
        </w:tc>
        <w:tc>
          <w:tcPr>
            <w:tcW w:w="6112" w:type="dxa"/>
            <w:vAlign w:val="center"/>
          </w:tcPr>
          <w:p>
            <w:pPr>
              <w:spacing w:line="400" w:lineRule="exact"/>
              <w:rPr>
                <w:rFonts w:ascii="宋体" w:hAnsi="宋体" w:cs="宋体"/>
                <w:color w:val="auto"/>
                <w:kern w:val="0"/>
                <w:sz w:val="21"/>
                <w:szCs w:val="21"/>
                <w:highlight w:val="none"/>
              </w:rPr>
            </w:pPr>
            <w:r>
              <w:rPr>
                <w:rFonts w:ascii="宋体" w:hAnsi="宋体" w:cs="宋体"/>
                <w:color w:val="auto"/>
                <w:kern w:val="0"/>
                <w:sz w:val="21"/>
                <w:szCs w:val="21"/>
                <w:highlight w:val="none"/>
              </w:rPr>
              <w:t>合格，符合国家</w:t>
            </w:r>
            <w:r>
              <w:rPr>
                <w:rFonts w:hint="eastAsia" w:ascii="宋体" w:hAnsi="宋体" w:cs="宋体"/>
                <w:color w:val="auto"/>
                <w:kern w:val="0"/>
                <w:sz w:val="21"/>
                <w:szCs w:val="21"/>
                <w:highlight w:val="none"/>
                <w:lang w:eastAsia="zh-CN"/>
              </w:rPr>
              <w:t>及</w:t>
            </w:r>
            <w:r>
              <w:rPr>
                <w:rFonts w:ascii="宋体" w:hAnsi="宋体" w:cs="宋体"/>
                <w:color w:val="auto"/>
                <w:kern w:val="0"/>
                <w:sz w:val="21"/>
                <w:szCs w:val="21"/>
                <w:highlight w:val="none"/>
              </w:rPr>
              <w:t>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1.3.4</w:t>
            </w:r>
          </w:p>
        </w:tc>
        <w:tc>
          <w:tcPr>
            <w:tcW w:w="2318" w:type="dxa"/>
            <w:vAlign w:val="center"/>
          </w:tcPr>
          <w:p>
            <w:pPr>
              <w:pStyle w:val="17"/>
              <w:spacing w:line="360" w:lineRule="exact"/>
              <w:jc w:val="center"/>
              <w:rPr>
                <w:rFonts w:hint="default" w:hAnsi="宋体" w:cs="宋体"/>
                <w:color w:val="auto"/>
                <w:kern w:val="0"/>
                <w:highlight w:val="red"/>
              </w:rPr>
            </w:pPr>
            <w:r>
              <w:rPr>
                <w:rFonts w:hAnsi="宋体" w:cs="宋体"/>
                <w:color w:val="auto"/>
                <w:kern w:val="0"/>
                <w:highlight w:val="none"/>
              </w:rPr>
              <w:t>质保期</w:t>
            </w:r>
          </w:p>
        </w:tc>
        <w:tc>
          <w:tcPr>
            <w:tcW w:w="6112" w:type="dxa"/>
            <w:vAlign w:val="center"/>
          </w:tcPr>
          <w:p>
            <w:pPr>
              <w:spacing w:line="400" w:lineRule="exact"/>
              <w:rPr>
                <w:rFonts w:ascii="宋体" w:hAnsi="宋体" w:cs="宋体"/>
                <w:color w:val="auto"/>
                <w:kern w:val="0"/>
                <w:szCs w:val="21"/>
                <w:highlight w:val="red"/>
              </w:rPr>
            </w:pP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1.3.5</w:t>
            </w:r>
          </w:p>
        </w:tc>
        <w:tc>
          <w:tcPr>
            <w:tcW w:w="2318" w:type="dxa"/>
            <w:vAlign w:val="center"/>
          </w:tcPr>
          <w:p>
            <w:pPr>
              <w:pStyle w:val="17"/>
              <w:spacing w:line="360"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服务期</w:t>
            </w:r>
          </w:p>
        </w:tc>
        <w:tc>
          <w:tcPr>
            <w:tcW w:w="6112" w:type="dxa"/>
            <w:vAlign w:val="center"/>
          </w:tcPr>
          <w:p>
            <w:pPr>
              <w:pStyle w:val="17"/>
              <w:spacing w:line="360" w:lineRule="exac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1.4.1</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供应商资质条件</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1、符合《中华人民共和国政府采购法》第二十二条之规定；</w:t>
            </w:r>
          </w:p>
          <w:p>
            <w:pPr>
              <w:pStyle w:val="17"/>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2、落实政府采购政策需满足的资格要求：促进中小企业和监狱企业发展扶持政策、政府强制采购节能产品、节能产品及环境标志产品优先采购。</w:t>
            </w:r>
          </w:p>
          <w:p>
            <w:pPr>
              <w:pStyle w:val="17"/>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3、本项目的特定资格要求：</w:t>
            </w:r>
          </w:p>
          <w:p>
            <w:pPr>
              <w:pStyle w:val="17"/>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3.1供应商须具有有效的营业执照，并具有实施完成本项目的经营实力和完善的售后服务体系；</w:t>
            </w:r>
          </w:p>
          <w:p>
            <w:pPr>
              <w:pStyle w:val="17"/>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3.2信誉要求：按照《财政部关于在政府采购活动中查询及使用信用记录有关问题的通知》（财库〔2016〕125号）的要求，根据开标当日“信用中国”网站（www.creditchina.gov.cn）、中国政府采购网（www.ccgp.gov.cn）的信息，对列入失信被执行人、税收违法</w:t>
            </w:r>
            <w:r>
              <w:rPr>
                <w:rFonts w:hint="default" w:asciiTheme="minorEastAsia" w:hAnsiTheme="minorEastAsia" w:eastAsiaTheme="minorEastAsia" w:cstheme="minorEastAsia"/>
                <w:color w:val="auto"/>
                <w:highlight w:val="none"/>
                <w:lang w:val="en-US" w:eastAsia="zh-CN"/>
              </w:rPr>
              <w:t>黑名单</w:t>
            </w:r>
            <w:r>
              <w:rPr>
                <w:rFonts w:hint="default" w:asciiTheme="minorEastAsia" w:hAnsiTheme="minorEastAsia" w:eastAsiaTheme="minorEastAsia" w:cstheme="minorEastAsia"/>
                <w:color w:val="auto"/>
                <w:highlight w:val="none"/>
              </w:rPr>
              <w:t>、政府采购严重违法失信行为记录名单的供应商，拒绝参与政府采购活动，同时对信用信息查询记录和证据进行打印存档； </w:t>
            </w:r>
          </w:p>
          <w:p>
            <w:pPr>
              <w:pStyle w:val="17"/>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3.3本项目不接受联合体投标；</w:t>
            </w:r>
          </w:p>
          <w:p>
            <w:pPr>
              <w:pStyle w:val="17"/>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1.4.2</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是否接受联合体</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1.10.1</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投标预备会</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1.10.2</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供应商提出问题的</w:t>
            </w:r>
          </w:p>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截止时间</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1.10.3</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采购人说明澄清的时间</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1.11</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分包</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2.2.1</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供应商要求澄清招标文件的截止时间</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2.2.2</w:t>
            </w:r>
          </w:p>
        </w:tc>
        <w:tc>
          <w:tcPr>
            <w:tcW w:w="2318" w:type="dxa"/>
            <w:vAlign w:val="center"/>
          </w:tcPr>
          <w:p>
            <w:pPr>
              <w:pStyle w:val="17"/>
              <w:spacing w:line="360" w:lineRule="exact"/>
              <w:jc w:val="center"/>
              <w:rPr>
                <w:rFonts w:hint="default" w:asciiTheme="minorEastAsia" w:hAnsiTheme="minorEastAsia" w:eastAsiaTheme="minorEastAsia" w:cstheme="minorEastAsia"/>
                <w:b/>
                <w:bCs/>
                <w:color w:val="auto"/>
                <w:highlight w:val="none"/>
              </w:rPr>
            </w:pPr>
            <w:r>
              <w:rPr>
                <w:rFonts w:asciiTheme="minorEastAsia" w:hAnsiTheme="minorEastAsia" w:eastAsiaTheme="minorEastAsia" w:cstheme="minorEastAsia"/>
                <w:color w:val="auto"/>
                <w:highlight w:val="none"/>
              </w:rPr>
              <w:t>投标截止时间</w:t>
            </w:r>
          </w:p>
        </w:tc>
        <w:tc>
          <w:tcPr>
            <w:tcW w:w="6112" w:type="dxa"/>
            <w:vAlign w:val="center"/>
          </w:tcPr>
          <w:p>
            <w:pPr>
              <w:spacing w:line="360" w:lineRule="exact"/>
              <w:jc w:val="left"/>
              <w:rPr>
                <w:rFonts w:asciiTheme="minorEastAsia" w:hAnsiTheme="minorEastAsia" w:eastAsiaTheme="minorEastAsia" w:cstheme="minorEastAsia"/>
                <w:b/>
                <w:bCs/>
                <w:color w:val="auto"/>
                <w:highlight w:val="none"/>
              </w:rPr>
            </w:pPr>
            <w:r>
              <w:rPr>
                <w:rFonts w:hint="eastAsia" w:ascii="宋体" w:hAnsi="宋体" w:cs="宋体"/>
                <w:b/>
                <w:bCs/>
                <w:color w:val="auto"/>
                <w:kern w:val="0"/>
                <w:szCs w:val="21"/>
                <w:highlight w:val="none"/>
                <w:u w:val="none"/>
              </w:rPr>
              <w:t>202</w:t>
            </w:r>
            <w:r>
              <w:rPr>
                <w:rFonts w:hint="eastAsia" w:ascii="宋体" w:hAnsi="宋体" w:cs="宋体"/>
                <w:b/>
                <w:bCs/>
                <w:color w:val="auto"/>
                <w:kern w:val="0"/>
                <w:szCs w:val="21"/>
                <w:highlight w:val="none"/>
                <w:u w:val="none"/>
                <w:lang w:val="en-US" w:eastAsia="zh-CN"/>
              </w:rPr>
              <w:t>3</w:t>
            </w:r>
            <w:r>
              <w:rPr>
                <w:rFonts w:hint="eastAsia" w:ascii="宋体" w:hAnsi="宋体" w:cs="宋体"/>
                <w:b/>
                <w:bCs/>
                <w:color w:val="auto"/>
                <w:kern w:val="0"/>
                <w:szCs w:val="21"/>
                <w:highlight w:val="none"/>
                <w:u w:val="none"/>
              </w:rPr>
              <w:t>年</w:t>
            </w:r>
            <w:r>
              <w:rPr>
                <w:rFonts w:hint="eastAsia" w:ascii="宋体" w:hAnsi="宋体" w:cs="宋体"/>
                <w:b/>
                <w:bCs/>
                <w:color w:val="auto"/>
                <w:kern w:val="0"/>
                <w:szCs w:val="21"/>
                <w:highlight w:val="none"/>
                <w:u w:val="none"/>
                <w:lang w:val="en-US" w:eastAsia="zh-CN"/>
              </w:rPr>
              <w:t>2</w:t>
            </w:r>
            <w:r>
              <w:rPr>
                <w:rFonts w:hint="eastAsia" w:ascii="宋体" w:hAnsi="宋体" w:cs="宋体"/>
                <w:b/>
                <w:bCs/>
                <w:color w:val="auto"/>
                <w:kern w:val="0"/>
                <w:szCs w:val="21"/>
                <w:highlight w:val="none"/>
                <w:u w:val="none"/>
              </w:rPr>
              <w:t>月</w:t>
            </w:r>
            <w:r>
              <w:rPr>
                <w:rFonts w:hint="eastAsia" w:ascii="宋体" w:hAnsi="宋体" w:cs="宋体"/>
                <w:b/>
                <w:bCs/>
                <w:color w:val="auto"/>
                <w:kern w:val="0"/>
                <w:szCs w:val="21"/>
                <w:highlight w:val="none"/>
                <w:u w:val="none"/>
                <w:lang w:val="en-US" w:eastAsia="zh-CN"/>
              </w:rPr>
              <w:t>7</w:t>
            </w:r>
            <w:r>
              <w:rPr>
                <w:rFonts w:hint="eastAsia" w:ascii="宋体" w:hAnsi="宋体" w:cs="宋体"/>
                <w:b/>
                <w:bCs/>
                <w:color w:val="auto"/>
                <w:kern w:val="0"/>
                <w:szCs w:val="21"/>
                <w:highlight w:val="none"/>
                <w:u w:val="none"/>
              </w:rPr>
              <w:t>日上午</w:t>
            </w:r>
            <w:r>
              <w:rPr>
                <w:rFonts w:hint="eastAsia" w:ascii="宋体" w:hAnsi="宋体" w:cs="宋体"/>
                <w:b/>
                <w:bCs/>
                <w:color w:val="auto"/>
                <w:kern w:val="0"/>
                <w:szCs w:val="21"/>
                <w:highlight w:val="none"/>
                <w:u w:val="none"/>
                <w:lang w:val="en-US" w:eastAsia="zh-CN"/>
              </w:rPr>
              <w:t>09</w:t>
            </w:r>
            <w:r>
              <w:rPr>
                <w:rFonts w:hint="eastAsia" w:ascii="宋体" w:hAnsi="宋体" w:cs="宋体"/>
                <w:b/>
                <w:bCs/>
                <w:color w:val="auto"/>
                <w:kern w:val="0"/>
                <w:szCs w:val="21"/>
                <w:highlight w:val="none"/>
                <w:u w:val="none"/>
              </w:rPr>
              <w:t>点</w:t>
            </w:r>
            <w:r>
              <w:rPr>
                <w:rFonts w:hint="eastAsia" w:ascii="宋体" w:hAnsi="宋体" w:cs="宋体"/>
                <w:b/>
                <w:bCs/>
                <w:color w:val="auto"/>
                <w:kern w:val="0"/>
                <w:szCs w:val="21"/>
                <w:highlight w:val="none"/>
                <w:u w:val="none"/>
                <w:lang w:val="en-US" w:eastAsia="zh-CN"/>
              </w:rPr>
              <w:t>00</w:t>
            </w:r>
            <w:r>
              <w:rPr>
                <w:rFonts w:hint="eastAsia" w:ascii="宋体" w:hAnsi="宋体" w:cs="宋体"/>
                <w:b/>
                <w:bCs/>
                <w:color w:val="auto"/>
                <w:kern w:val="0"/>
                <w:szCs w:val="21"/>
                <w:highlight w:val="none"/>
                <w:u w:val="none"/>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3.1.1</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构成投标文件的</w:t>
            </w:r>
          </w:p>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其他材料</w:t>
            </w:r>
          </w:p>
        </w:tc>
        <w:tc>
          <w:tcPr>
            <w:tcW w:w="6112" w:type="dxa"/>
            <w:vAlign w:val="center"/>
          </w:tcPr>
          <w:p>
            <w:pPr>
              <w:spacing w:line="36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3.3.1</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投标有效期</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3.6</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是否允许递交备选</w:t>
            </w:r>
          </w:p>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投标方案</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签字盖章要求</w:t>
            </w:r>
          </w:p>
        </w:tc>
        <w:tc>
          <w:tcPr>
            <w:tcW w:w="6112" w:type="dxa"/>
            <w:shd w:val="clear" w:color="auto" w:fill="auto"/>
            <w:vAlign w:val="center"/>
          </w:tcPr>
          <w:p>
            <w:pPr>
              <w:spacing w:line="360" w:lineRule="exact"/>
              <w:jc w:val="left"/>
              <w:rPr>
                <w:rFonts w:ascii="宋体" w:hAnsi="宋体" w:cs="宋体"/>
                <w:b/>
                <w:bCs/>
                <w:color w:val="auto"/>
                <w:szCs w:val="21"/>
                <w:highlight w:val="none"/>
              </w:rPr>
            </w:pPr>
            <w:r>
              <w:rPr>
                <w:rFonts w:hint="eastAsia" w:ascii="宋体" w:hAnsi="宋体" w:cs="宋体"/>
                <w:b/>
                <w:bCs/>
                <w:color w:val="auto"/>
                <w:szCs w:val="21"/>
                <w:highlight w:val="none"/>
              </w:rPr>
              <w:t>（1）所有要求投标人加盖公章的地方都须加盖投标人单位的 CA 印章。</w:t>
            </w:r>
          </w:p>
          <w:p>
            <w:pPr>
              <w:pStyle w:val="17"/>
              <w:spacing w:line="360" w:lineRule="exact"/>
              <w:rPr>
                <w:rFonts w:hint="default" w:asciiTheme="minorEastAsia" w:hAnsiTheme="minorEastAsia" w:eastAsiaTheme="minorEastAsia" w:cstheme="minorEastAsia"/>
                <w:color w:val="auto"/>
                <w:highlight w:val="none"/>
              </w:rPr>
            </w:pPr>
            <w:r>
              <w:rPr>
                <w:rFonts w:hAnsi="宋体" w:cs="宋体"/>
                <w:b/>
                <w:bCs/>
                <w:color w:val="auto"/>
                <w:highlight w:val="none"/>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3.7.4</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投标文件份数</w:t>
            </w:r>
          </w:p>
        </w:tc>
        <w:tc>
          <w:tcPr>
            <w:tcW w:w="6112" w:type="dxa"/>
            <w:vAlign w:val="center"/>
          </w:tcPr>
          <w:p>
            <w:pPr>
              <w:pStyle w:val="17"/>
              <w:spacing w:line="360" w:lineRule="exact"/>
              <w:rPr>
                <w:rFonts w:hint="default" w:asciiTheme="minorEastAsia" w:hAnsiTheme="minorEastAsia" w:cstheme="minorEastAsia"/>
                <w:color w:val="auto"/>
                <w:highlight w:val="none"/>
              </w:rPr>
            </w:pPr>
            <w:r>
              <w:rPr>
                <w:b/>
                <w:bCs/>
                <w:color w:val="auto"/>
                <w:highlight w:val="none"/>
              </w:rPr>
              <w:t>加密的电子投标文件壹份（.jztf 格式在会员系统指定位置上传）；自备非加密的电子投标文件一份，如有紧急情况，在不见面开标</w:t>
            </w:r>
            <w:r>
              <w:rPr>
                <w:rFonts w:hint="eastAsia"/>
                <w:b/>
                <w:bCs/>
                <w:color w:val="auto"/>
                <w:highlight w:val="none"/>
                <w:lang w:eastAsia="zh-CN"/>
              </w:rPr>
              <w:t>会员系统</w:t>
            </w:r>
            <w:r>
              <w:rPr>
                <w:b/>
                <w:bCs/>
                <w:color w:val="auto"/>
                <w:highlight w:val="none"/>
              </w:rPr>
              <w:t>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4.2.2</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递交投标文件方式和</w:t>
            </w:r>
          </w:p>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地点</w:t>
            </w:r>
          </w:p>
        </w:tc>
        <w:tc>
          <w:tcPr>
            <w:tcW w:w="6112" w:type="dxa"/>
            <w:vAlign w:val="center"/>
          </w:tcPr>
          <w:p>
            <w:pPr>
              <w:pStyle w:val="17"/>
              <w:spacing w:line="400" w:lineRule="exact"/>
              <w:rPr>
                <w:rFonts w:hint="default" w:hAnsi="宋体"/>
                <w:color w:val="auto"/>
                <w:highlight w:val="none"/>
              </w:rPr>
            </w:pPr>
            <w:r>
              <w:rPr>
                <w:rFonts w:hAnsi="宋体"/>
                <w:color w:val="auto"/>
                <w:highlight w:val="none"/>
              </w:rPr>
              <w:t xml:space="preserve">本项目采用“远程不见面”开标方式，远程开标大厅网址为http://122.112.246.33/BidOpening/bidopeninghallaction/hall/login。投标人不需到开标现场参加开标会议，不需提交原件资料等。 </w:t>
            </w:r>
          </w:p>
          <w:p>
            <w:pPr>
              <w:pStyle w:val="17"/>
              <w:spacing w:line="400" w:lineRule="exact"/>
              <w:rPr>
                <w:rFonts w:hint="default" w:hAnsi="宋体"/>
                <w:color w:val="auto"/>
                <w:highlight w:val="none"/>
              </w:rPr>
            </w:pPr>
            <w:r>
              <w:rPr>
                <w:rFonts w:hAnsi="宋体"/>
                <w:color w:val="auto"/>
                <w:highlight w:val="none"/>
              </w:rPr>
              <w:t>（1）电子投标文件的递交</w:t>
            </w:r>
          </w:p>
          <w:p>
            <w:pPr>
              <w:pStyle w:val="17"/>
              <w:spacing w:line="400" w:lineRule="exact"/>
              <w:rPr>
                <w:rFonts w:hint="default" w:hAnsi="宋体"/>
                <w:color w:val="auto"/>
                <w:highlight w:val="none"/>
              </w:rPr>
            </w:pPr>
            <w:r>
              <w:rPr>
                <w:rFonts w:hAnsi="宋体"/>
                <w:color w:val="auto"/>
                <w:highlight w:val="none"/>
              </w:rPr>
              <w:t>a、各投标人应在投标截止时间前上传加密的电子投标文件</w:t>
            </w:r>
          </w:p>
          <w:p>
            <w:pPr>
              <w:pStyle w:val="17"/>
              <w:spacing w:line="400" w:lineRule="exact"/>
              <w:rPr>
                <w:rFonts w:hint="default" w:hAnsi="宋体"/>
                <w:color w:val="auto"/>
                <w:highlight w:val="none"/>
              </w:rPr>
            </w:pPr>
            <w:r>
              <w:rPr>
                <w:rFonts w:hAnsi="宋体"/>
                <w:color w:val="auto"/>
                <w:highlight w:val="none"/>
              </w:rPr>
              <w:t>（.jztf 格式）到会员系统的指定位置。上传时必须得到电脑“上传成功”的确认回复。请投标人在上传时认真检查上传投标文件是否完整、正确。</w:t>
            </w:r>
          </w:p>
          <w:p>
            <w:pPr>
              <w:pStyle w:val="17"/>
              <w:spacing w:line="400" w:lineRule="exact"/>
              <w:rPr>
                <w:rFonts w:hint="eastAsia" w:eastAsia="宋体"/>
                <w:color w:val="auto"/>
                <w:highlight w:val="none"/>
                <w:lang w:eastAsia="zh-CN"/>
              </w:rPr>
            </w:pPr>
            <w:r>
              <w:rPr>
                <w:rFonts w:hAnsi="宋体"/>
                <w:color w:val="auto"/>
                <w:highlight w:val="none"/>
              </w:rPr>
              <w:t>b、如系统故故障需上传非加密文件时，投标人应按照</w:t>
            </w:r>
            <w:r>
              <w:rPr>
                <w:rFonts w:hint="eastAsia" w:hAnsi="宋体"/>
                <w:color w:val="auto"/>
                <w:highlight w:val="none"/>
                <w:lang w:eastAsia="zh-CN"/>
              </w:rPr>
              <w:t>采购人</w:t>
            </w:r>
            <w:r>
              <w:rPr>
                <w:rFonts w:hAnsi="宋体"/>
                <w:color w:val="auto"/>
                <w:highlight w:val="none"/>
              </w:rPr>
              <w:t>指示将非加密文件递交给</w:t>
            </w:r>
            <w:r>
              <w:rPr>
                <w:rFonts w:hint="eastAsia" w:hAnsi="宋体"/>
                <w:color w:val="auto"/>
                <w:highlight w:val="none"/>
                <w:lang w:eastAsia="zh-CN"/>
              </w:rPr>
              <w:t>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4.2.3</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是否退还投标文件</w:t>
            </w:r>
          </w:p>
        </w:tc>
        <w:tc>
          <w:tcPr>
            <w:tcW w:w="6112" w:type="dxa"/>
            <w:vAlign w:val="center"/>
          </w:tcPr>
          <w:p>
            <w:pPr>
              <w:pStyle w:val="17"/>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5.1</w:t>
            </w:r>
          </w:p>
        </w:tc>
        <w:tc>
          <w:tcPr>
            <w:tcW w:w="2318"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开标时间和地点</w:t>
            </w:r>
          </w:p>
        </w:tc>
        <w:tc>
          <w:tcPr>
            <w:tcW w:w="6112" w:type="dxa"/>
            <w:vAlign w:val="center"/>
          </w:tcPr>
          <w:p>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开标时间：同投标截止时间。登录远程开标大厅，凭制作投标文件所用的企业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color w:val="auto"/>
                <w:highlight w:val="none"/>
              </w:rPr>
            </w:pPr>
            <w:r>
              <w:rPr>
                <w:rFonts w:hint="eastAsia" w:ascii="宋体" w:hAnsi="宋体"/>
                <w:color w:val="auto"/>
                <w:szCs w:val="21"/>
                <w:highlight w:val="none"/>
              </w:rPr>
              <w:t>现场开标地点：博爱县公共资源交易中心二楼第</w:t>
            </w:r>
            <w:r>
              <w:rPr>
                <w:rFonts w:hint="eastAsia" w:ascii="宋体" w:hAnsi="宋体"/>
                <w:color w:val="auto"/>
                <w:szCs w:val="21"/>
                <w:highlight w:val="none"/>
                <w:lang w:val="en-US" w:eastAsia="zh-CN"/>
              </w:rPr>
              <w:t>二</w:t>
            </w:r>
            <w:r>
              <w:rPr>
                <w:rFonts w:hint="eastAsia" w:ascii="宋体" w:hAnsi="宋体"/>
                <w:color w:val="auto"/>
                <w:szCs w:val="21"/>
                <w:highlight w:val="none"/>
              </w:rPr>
              <w:t>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评标委员会的组建</w:t>
            </w:r>
          </w:p>
        </w:tc>
        <w:tc>
          <w:tcPr>
            <w:tcW w:w="6112" w:type="dxa"/>
            <w:vAlign w:val="center"/>
          </w:tcPr>
          <w:p>
            <w:pPr>
              <w:spacing w:line="360" w:lineRule="exact"/>
              <w:ind w:left="700" w:hanging="7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取的评审专家4名共5人组成。</w:t>
            </w:r>
          </w:p>
          <w:p>
            <w:pPr>
              <w:spacing w:line="360" w:lineRule="exact"/>
              <w:jc w:val="left"/>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highlight w:val="none"/>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7.3.1</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履约保证金</w:t>
            </w:r>
          </w:p>
        </w:tc>
        <w:tc>
          <w:tcPr>
            <w:tcW w:w="6112" w:type="dxa"/>
            <w:vAlign w:val="center"/>
          </w:tcPr>
          <w:p>
            <w:pPr>
              <w:spacing w:line="38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7"/>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7.3.2</w:t>
            </w:r>
          </w:p>
        </w:tc>
        <w:tc>
          <w:tcPr>
            <w:tcW w:w="2318" w:type="dxa"/>
            <w:shd w:val="clear" w:color="auto" w:fill="auto"/>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7"/>
              <w:spacing w:line="360" w:lineRule="exact"/>
              <w:jc w:val="center"/>
              <w:rPr>
                <w:rFonts w:hint="default"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7.3.3</w:t>
            </w:r>
          </w:p>
        </w:tc>
        <w:tc>
          <w:tcPr>
            <w:tcW w:w="2318" w:type="dxa"/>
            <w:shd w:val="clear" w:color="auto" w:fill="auto"/>
            <w:vAlign w:val="center"/>
          </w:tcPr>
          <w:p>
            <w:pPr>
              <w:spacing w:line="36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质量保证金</w:t>
            </w:r>
          </w:p>
        </w:tc>
        <w:tc>
          <w:tcPr>
            <w:tcW w:w="6112" w:type="dxa"/>
            <w:shd w:val="clear" w:color="auto" w:fill="auto"/>
            <w:vAlign w:val="center"/>
          </w:tcPr>
          <w:p>
            <w:pPr>
              <w:spacing w:line="380" w:lineRule="exac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无</w:t>
            </w:r>
          </w:p>
          <w:p>
            <w:pPr>
              <w:spacing w:line="38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本项目采购货物在质保期内属于货物质量问题的，成交供应商应免费维修，不能维修的应及时更换新货物，供应商须针对质保期内的质量问题提供承诺函。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Cs/>
                <w:color w:val="auto"/>
                <w:szCs w:val="21"/>
                <w:highlight w:val="none"/>
              </w:rPr>
              <w:t>10</w:t>
            </w:r>
          </w:p>
        </w:tc>
        <w:tc>
          <w:tcPr>
            <w:tcW w:w="8430" w:type="dxa"/>
            <w:gridSpan w:val="2"/>
            <w:vAlign w:val="bottom"/>
          </w:tcPr>
          <w:p>
            <w:pPr>
              <w:spacing w:line="36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预算金额</w:t>
            </w:r>
          </w:p>
        </w:tc>
        <w:tc>
          <w:tcPr>
            <w:tcW w:w="6112" w:type="dxa"/>
            <w:vAlign w:val="bottom"/>
          </w:tcPr>
          <w:p>
            <w:pPr>
              <w:spacing w:line="440" w:lineRule="exact"/>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1、本项目预算金额为：</w:t>
            </w:r>
            <w:r>
              <w:rPr>
                <w:rFonts w:hint="eastAsia" w:asciiTheme="minorEastAsia" w:hAnsiTheme="minorEastAsia" w:eastAsiaTheme="minorEastAsia" w:cstheme="minorEastAsia"/>
                <w:color w:val="auto"/>
                <w:szCs w:val="21"/>
                <w:highlight w:val="none"/>
                <w:lang w:val="en-US" w:eastAsia="zh-CN"/>
              </w:rPr>
              <w:t>2000000</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lang w:eastAsia="zh-CN"/>
              </w:rPr>
              <w:t>（贰佰万元整）</w:t>
            </w:r>
          </w:p>
          <w:p>
            <w:pPr>
              <w:spacing w:line="44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2、控制价是采购人设置的最高限价，供应商的投标报价高于控制价的视为无效报价，其投标予以拒绝；</w:t>
            </w:r>
          </w:p>
          <w:p>
            <w:pPr>
              <w:spacing w:line="44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小型或微型企业（含监狱企业）</w:t>
            </w:r>
          </w:p>
        </w:tc>
        <w:tc>
          <w:tcPr>
            <w:tcW w:w="6112" w:type="dxa"/>
            <w:vAlign w:val="center"/>
          </w:tcPr>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1、对小型或微型企业投标的扶持：(如有）</w:t>
            </w:r>
          </w:p>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1.1投标供应商为小型或微型企业时，报价给予C1的价格扣除（C1的取值为</w:t>
            </w:r>
            <w:r>
              <w:rPr>
                <w:rFonts w:hint="eastAsia" w:ascii="宋体" w:hAnsi="宋体" w:cs="宋体"/>
                <w:color w:val="auto"/>
                <w:kern w:val="0"/>
                <w:szCs w:val="21"/>
                <w:highlight w:val="none"/>
                <w:lang w:val="en-US" w:eastAsia="zh-CN"/>
              </w:rPr>
              <w:t>20</w:t>
            </w:r>
            <w:r>
              <w:rPr>
                <w:rFonts w:hint="eastAsia" w:ascii="宋体" w:hAnsi="宋体" w:cs="宋体"/>
                <w:color w:val="auto"/>
                <w:kern w:val="0"/>
                <w:szCs w:val="21"/>
                <w:highlight w:val="none"/>
              </w:rPr>
              <w:t>%），即：评标价＝投标报价（最后报价）×(1－C1）；</w:t>
            </w:r>
          </w:p>
          <w:p>
            <w:pPr>
              <w:autoSpaceDE w:val="0"/>
              <w:autoSpaceDN w:val="0"/>
              <w:adjustRightInd w:val="0"/>
              <w:spacing w:line="500" w:lineRule="exact"/>
              <w:jc w:val="left"/>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小微企业应当列明本项目中所投的“小型和微型企业产品的清单”并提供《中小企业声明函》（见格式）。</w:t>
            </w:r>
          </w:p>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1.2按照</w:t>
            </w:r>
            <w:r>
              <w:rPr>
                <w:rFonts w:hint="eastAsia" w:ascii="宋体" w:hAnsi="宋体" w:cs="宋体"/>
                <w:color w:val="auto"/>
                <w:kern w:val="0"/>
                <w:sz w:val="24"/>
                <w:szCs w:val="22"/>
                <w:highlight w:val="none"/>
              </w:rPr>
              <w:t>《</w:t>
            </w:r>
            <w:r>
              <w:rPr>
                <w:rFonts w:hint="eastAsia" w:ascii="宋体" w:hAnsi="宋体" w:cs="宋体"/>
                <w:color w:val="auto"/>
                <w:kern w:val="0"/>
                <w:szCs w:val="21"/>
                <w:highlight w:val="none"/>
              </w:rPr>
              <w:t>政府采购促进中小企业发展管理办法》有关规定，中小企业的标准为：</w:t>
            </w:r>
          </w:p>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1.2.3小型、微型企业提供有中型企业制造的货物的，视同为中型企业；小型、微型、中型企业提供有大型企业制造的货物的，视同为大型企业。</w:t>
            </w:r>
          </w:p>
          <w:p>
            <w:pPr>
              <w:spacing w:line="440" w:lineRule="exact"/>
              <w:rPr>
                <w:rFonts w:ascii="宋体" w:hAnsi="宋体" w:cs="宋体"/>
                <w:bCs/>
                <w:color w:val="auto"/>
                <w:highlight w:val="none"/>
              </w:rPr>
            </w:pPr>
            <w:r>
              <w:rPr>
                <w:rFonts w:hint="eastAsia" w:ascii="宋体" w:hAnsi="宋体" w:cs="宋体"/>
                <w:bCs/>
                <w:color w:val="auto"/>
                <w:highlight w:val="none"/>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w:t>
            </w:r>
            <w:r>
              <w:rPr>
                <w:rFonts w:hint="eastAsia" w:ascii="宋体" w:hAnsi="宋体" w:cs="宋体"/>
                <w:bCs/>
                <w:color w:val="auto"/>
                <w:highlight w:val="none"/>
                <w:shd w:val="clear"/>
              </w:rPr>
              <w:t>的价格给予</w:t>
            </w:r>
            <w:r>
              <w:rPr>
                <w:rFonts w:hint="eastAsia" w:ascii="宋体" w:hAnsi="宋体" w:cs="宋体"/>
                <w:bCs/>
                <w:color w:val="auto"/>
                <w:highlight w:val="none"/>
                <w:shd w:val="clear"/>
                <w:lang w:val="en-US" w:eastAsia="zh-CN"/>
              </w:rPr>
              <w:t>20</w:t>
            </w:r>
            <w:r>
              <w:rPr>
                <w:rFonts w:hint="eastAsia" w:ascii="宋体" w:hAnsi="宋体" w:cs="宋体"/>
                <w:bCs/>
                <w:color w:val="auto"/>
                <w:highlight w:val="none"/>
                <w:shd w:val="clear"/>
              </w:rPr>
              <w:t>%的扣除。</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宋体" w:hAnsi="宋体" w:cs="宋体"/>
                <w:bCs/>
                <w:color w:val="auto"/>
                <w:highlight w:val="none"/>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10.3</w:t>
            </w:r>
          </w:p>
        </w:tc>
        <w:tc>
          <w:tcPr>
            <w:tcW w:w="2318" w:type="dxa"/>
            <w:vAlign w:val="center"/>
          </w:tcPr>
          <w:p>
            <w:pPr>
              <w:spacing w:line="440" w:lineRule="exact"/>
              <w:jc w:val="center"/>
              <w:rPr>
                <w:rFonts w:hint="eastAsia" w:ascii="宋体" w:hAnsi="宋体" w:cs="宋体"/>
                <w:bCs/>
                <w:color w:val="auto"/>
                <w:highlight w:val="none"/>
              </w:rPr>
            </w:pPr>
            <w:r>
              <w:rPr>
                <w:rFonts w:hint="eastAsia" w:ascii="宋体" w:hAnsi="宋体" w:cs="宋体"/>
                <w:bCs/>
                <w:color w:val="auto"/>
                <w:highlight w:val="none"/>
              </w:rPr>
              <w:t>付款方式</w:t>
            </w:r>
          </w:p>
        </w:tc>
        <w:tc>
          <w:tcPr>
            <w:tcW w:w="6112" w:type="dxa"/>
            <w:vAlign w:val="center"/>
          </w:tcPr>
          <w:p>
            <w:pPr>
              <w:spacing w:line="440" w:lineRule="exact"/>
              <w:rPr>
                <w:rFonts w:hint="eastAsia" w:ascii="宋体" w:hAnsi="宋体" w:cs="宋体"/>
                <w:bCs/>
                <w:color w:val="auto"/>
                <w:highlight w:val="none"/>
                <w:lang w:eastAsia="zh-CN"/>
              </w:rPr>
            </w:pPr>
            <w:r>
              <w:rPr>
                <w:rFonts w:hint="eastAsia" w:ascii="宋体" w:hAnsi="宋体" w:cs="宋体"/>
                <w:bCs/>
                <w:color w:val="auto"/>
                <w:highlight w:val="none"/>
                <w:lang w:val="en-US" w:eastAsia="zh-CN"/>
              </w:rPr>
              <w:t>供货安装完毕、验收合格后支付合同价的100%。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10.4</w:t>
            </w:r>
          </w:p>
        </w:tc>
        <w:tc>
          <w:tcPr>
            <w:tcW w:w="2318" w:type="dxa"/>
            <w:vAlign w:val="center"/>
          </w:tcPr>
          <w:p>
            <w:pPr>
              <w:spacing w:line="440" w:lineRule="exact"/>
              <w:jc w:val="center"/>
              <w:rPr>
                <w:rFonts w:hint="eastAsia" w:ascii="宋体" w:hAnsi="宋体" w:cs="宋体"/>
                <w:bCs/>
                <w:color w:val="auto"/>
                <w:highlight w:val="none"/>
              </w:rPr>
            </w:pPr>
            <w:r>
              <w:rPr>
                <w:rFonts w:hint="eastAsia" w:ascii="宋体" w:hAnsi="宋体" w:cs="宋体"/>
                <w:bCs/>
                <w:color w:val="auto"/>
                <w:highlight w:val="none"/>
              </w:rPr>
              <w:t>供货要求</w:t>
            </w:r>
          </w:p>
        </w:tc>
        <w:tc>
          <w:tcPr>
            <w:tcW w:w="6112" w:type="dxa"/>
            <w:vAlign w:val="center"/>
          </w:tcPr>
          <w:p>
            <w:pPr>
              <w:spacing w:line="440" w:lineRule="exact"/>
              <w:rPr>
                <w:rFonts w:hint="eastAsia" w:ascii="宋体" w:hAnsi="宋体" w:cs="宋体"/>
                <w:bCs/>
                <w:color w:val="auto"/>
                <w:highlight w:val="none"/>
                <w:lang w:val="en-US" w:eastAsia="zh-CN"/>
              </w:rPr>
            </w:pPr>
            <w:r>
              <w:rPr>
                <w:rFonts w:hint="eastAsia" w:ascii="宋体" w:hAnsi="宋体" w:cs="宋体"/>
                <w:bCs/>
                <w:color w:val="auto"/>
                <w:highlight w:val="none"/>
                <w:lang w:val="en-US" w:eastAsia="zh-CN"/>
              </w:rPr>
              <w:t>若因中标人原因不能按期按质供货的，将扣除中标人2万元的违约金，同时每超过一天另扣除合同金额的千分之一。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10.5</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招标代理服务费</w:t>
            </w:r>
          </w:p>
        </w:tc>
        <w:tc>
          <w:tcPr>
            <w:tcW w:w="6112" w:type="dxa"/>
            <w:vAlign w:val="center"/>
          </w:tcPr>
          <w:p>
            <w:pPr>
              <w:spacing w:line="440" w:lineRule="exact"/>
              <w:rPr>
                <w:color w:val="auto"/>
                <w:highlight w:val="none"/>
              </w:rPr>
            </w:pPr>
            <w:r>
              <w:rPr>
                <w:rFonts w:hint="eastAsia" w:ascii="宋体" w:hAnsi="宋体" w:cs="宋体"/>
                <w:bCs/>
                <w:color w:val="auto"/>
                <w:highlight w:val="none"/>
              </w:rPr>
              <w:t>招标代理服务费依据国家发展改革委发改价格〔2015〕299号文件的规定收取，由中标人支付。招标代理费由招标代理机构通知中标企业结清后，领取中标通知书。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10.8</w:t>
            </w:r>
          </w:p>
        </w:tc>
        <w:tc>
          <w:tcPr>
            <w:tcW w:w="2318" w:type="dxa"/>
            <w:vAlign w:val="center"/>
          </w:tcPr>
          <w:p>
            <w:pPr>
              <w:adjustRightInd w:val="0"/>
              <w:snapToGrid w:val="0"/>
              <w:jc w:val="center"/>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认定为不响应招标文件的其它条件</w:t>
            </w:r>
          </w:p>
        </w:tc>
        <w:tc>
          <w:tcPr>
            <w:tcW w:w="6112" w:type="dxa"/>
            <w:vAlign w:val="center"/>
          </w:tcPr>
          <w:p>
            <w:pPr>
              <w:pStyle w:val="24"/>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1、未按招标文件明示的规定签字盖章的；</w:t>
            </w:r>
          </w:p>
          <w:p>
            <w:pPr>
              <w:pStyle w:val="24"/>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2、投标文件的关键内容（供货安装期、质量标准、品牌、型号等）未填写或填写字迹模糊、达不到采购要求的；</w:t>
            </w:r>
          </w:p>
          <w:p>
            <w:pPr>
              <w:pStyle w:val="24"/>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3、投标报价超出招标控制价的；</w:t>
            </w:r>
          </w:p>
          <w:p>
            <w:pPr>
              <w:pStyle w:val="24"/>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4、供应商递交两份或多份内容不同的投标文件，或在一份投标文件中对同一招标项目有两个或多个报价，且未声明哪一个有效的；</w:t>
            </w:r>
          </w:p>
          <w:p>
            <w:pPr>
              <w:pStyle w:val="24"/>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5、相关资格证明文件不合格的；</w:t>
            </w:r>
          </w:p>
          <w:p>
            <w:pPr>
              <w:pStyle w:val="24"/>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6、未按要求在报价明细表中标明品牌、型号及技术参数的。</w:t>
            </w:r>
          </w:p>
          <w:p>
            <w:pPr>
              <w:pStyle w:val="24"/>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7、附有采购人不能接受的条件的；</w:t>
            </w:r>
          </w:p>
          <w:p>
            <w:pPr>
              <w:pStyle w:val="24"/>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8、评标过程中，如因两个或两个以上投标人在同一台计算或同一个IP上传响应文件，而被不见面开标系统提示为“投标文件制作机器码一致”的，则视其投标无效。</w:t>
            </w:r>
          </w:p>
          <w:p>
            <w:pPr>
              <w:pStyle w:val="24"/>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10、投标文件有明显不符合招标文件其它要求和有关法律法规的。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65" w:type="dxa"/>
            <w:vAlign w:val="center"/>
          </w:tcPr>
          <w:p>
            <w:pPr>
              <w:spacing w:line="360" w:lineRule="exact"/>
              <w:jc w:val="center"/>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10.9</w:t>
            </w:r>
          </w:p>
        </w:tc>
        <w:tc>
          <w:tcPr>
            <w:tcW w:w="8430" w:type="dxa"/>
            <w:gridSpan w:val="2"/>
            <w:vAlign w:val="center"/>
          </w:tcPr>
          <w:p>
            <w:pPr>
              <w:pStyle w:val="24"/>
              <w:tabs>
                <w:tab w:val="left" w:pos="1268"/>
              </w:tabs>
              <w:ind w:firstLine="0" w:firstLineChars="0"/>
              <w:rPr>
                <w:rFonts w:hint="eastAsia" w:ascii="宋体" w:hAnsi="宋体" w:eastAsia="宋体" w:cs="宋体"/>
                <w:bCs/>
                <w:color w:val="auto"/>
                <w:kern w:val="2"/>
                <w:sz w:val="21"/>
                <w:szCs w:val="24"/>
                <w:highlight w:val="none"/>
                <w:lang w:val="en-US" w:eastAsia="zh-CN" w:bidi="ar-SA"/>
              </w:rPr>
            </w:pPr>
            <w:r>
              <w:rPr>
                <w:rFonts w:hint="eastAsia" w:asciiTheme="minorEastAsia" w:hAnsiTheme="minorEastAsia" w:eastAsiaTheme="minorEastAsia" w:cstheme="minorEastAsia"/>
                <w:color w:val="auto"/>
                <w:szCs w:val="21"/>
                <w:highlight w:val="none"/>
              </w:rPr>
              <w:t>本招标文件解释权归采购人</w:t>
            </w:r>
          </w:p>
        </w:tc>
      </w:tr>
    </w:tbl>
    <w:p>
      <w:pPr>
        <w:pStyle w:val="6"/>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10" w:name="_Toc23082"/>
      <w:bookmarkStart w:id="11" w:name="_Toc403122491"/>
      <w:bookmarkStart w:id="12" w:name="_Toc11465"/>
      <w:bookmarkStart w:id="13" w:name="_Toc9048"/>
      <w:bookmarkStart w:id="14" w:name="_Toc23576"/>
      <w:bookmarkStart w:id="15" w:name="_Toc426369479"/>
      <w:bookmarkStart w:id="16" w:name="_Toc403122503"/>
      <w:bookmarkStart w:id="17" w:name="_Toc26894"/>
      <w:bookmarkStart w:id="18" w:name="_Toc426369491"/>
      <w:r>
        <w:rPr>
          <w:rFonts w:hint="eastAsia" w:asciiTheme="minorEastAsia" w:hAnsiTheme="minorEastAsia" w:eastAsiaTheme="minorEastAsia" w:cstheme="minorEastAsia"/>
          <w:color w:val="auto"/>
          <w:sz w:val="24"/>
          <w:szCs w:val="24"/>
          <w:highlight w:val="none"/>
        </w:rPr>
        <w:t>1. 总则</w:t>
      </w:r>
      <w:bookmarkEnd w:id="10"/>
      <w:bookmarkEnd w:id="11"/>
      <w:bookmarkEnd w:id="12"/>
      <w:bookmarkEnd w:id="13"/>
      <w:bookmarkEnd w:id="14"/>
      <w:bookmarkEnd w:id="15"/>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9" w:name="_Toc426369480"/>
      <w:bookmarkStart w:id="20" w:name="_Toc403122492"/>
      <w:bookmarkStart w:id="21" w:name="_Toc274249575"/>
      <w:bookmarkStart w:id="22" w:name="_Toc279599771"/>
      <w:r>
        <w:rPr>
          <w:rFonts w:hint="eastAsia" w:asciiTheme="minorEastAsia" w:hAnsiTheme="minorEastAsia" w:eastAsiaTheme="minorEastAsia" w:cstheme="minorEastAsia"/>
          <w:b/>
          <w:bCs/>
          <w:color w:val="auto"/>
          <w:sz w:val="24"/>
          <w:highlight w:val="none"/>
        </w:rPr>
        <w:t>1.1 项目概况</w:t>
      </w:r>
      <w:bookmarkEnd w:id="19"/>
      <w:bookmarkEnd w:id="20"/>
      <w:bookmarkEnd w:id="21"/>
      <w:bookmarkEnd w:id="22"/>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 根据</w:t>
      </w:r>
      <w:r>
        <w:rPr>
          <w:rFonts w:hint="eastAsia" w:asciiTheme="minorEastAsia" w:hAnsiTheme="minorEastAsia" w:eastAsiaTheme="minorEastAsia" w:cstheme="minorEastAsia"/>
          <w:bCs/>
          <w:color w:val="auto"/>
          <w:szCs w:val="21"/>
          <w:highlight w:val="none"/>
        </w:rPr>
        <w:t>《中华人民共和国政府采购法》</w:t>
      </w:r>
      <w:r>
        <w:rPr>
          <w:rFonts w:hint="eastAsia" w:asciiTheme="minorEastAsia" w:hAnsiTheme="minorEastAsia" w:eastAsiaTheme="minorEastAsia" w:cstheme="minorEastAsia"/>
          <w:color w:val="auto"/>
          <w:szCs w:val="21"/>
          <w:highlight w:val="none"/>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3" w:name="_Toc274249576"/>
      <w:bookmarkStart w:id="24" w:name="_Toc426369481"/>
      <w:bookmarkStart w:id="25" w:name="_Toc279599772"/>
      <w:bookmarkStart w:id="26" w:name="_Toc403122493"/>
      <w:r>
        <w:rPr>
          <w:rFonts w:hint="eastAsia" w:asciiTheme="minorEastAsia" w:hAnsiTheme="minorEastAsia" w:eastAsiaTheme="minorEastAsia" w:cstheme="minorEastAsia"/>
          <w:b/>
          <w:bCs/>
          <w:color w:val="auto"/>
          <w:sz w:val="24"/>
          <w:highlight w:val="none"/>
        </w:rPr>
        <w:t>1.2 资金来源和落实情况</w:t>
      </w:r>
      <w:bookmarkEnd w:id="23"/>
      <w:bookmarkEnd w:id="24"/>
      <w:bookmarkEnd w:id="25"/>
      <w:bookmarkEnd w:id="26"/>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1.2.2  本招标项目的资金落实情况：见供应商须知前附表。 </w:t>
      </w:r>
    </w:p>
    <w:p>
      <w:pPr>
        <w:spacing w:line="500" w:lineRule="exact"/>
        <w:ind w:firstLine="482" w:firstLineChars="200"/>
        <w:rPr>
          <w:rFonts w:hint="eastAsia" w:asciiTheme="minorEastAsia" w:hAnsiTheme="minorEastAsia" w:eastAsiaTheme="minorEastAsia" w:cstheme="minorEastAsia"/>
          <w:b/>
          <w:bCs/>
          <w:color w:val="auto"/>
          <w:sz w:val="24"/>
          <w:highlight w:val="none"/>
          <w:lang w:eastAsia="zh-CN"/>
        </w:rPr>
      </w:pPr>
      <w:bookmarkStart w:id="27" w:name="_Toc274249577"/>
      <w:bookmarkStart w:id="28" w:name="_Toc403122494"/>
      <w:bookmarkStart w:id="29" w:name="_Toc426369482"/>
      <w:bookmarkStart w:id="30" w:name="_Toc279599773"/>
      <w:r>
        <w:rPr>
          <w:rFonts w:hint="eastAsia" w:asciiTheme="minorEastAsia" w:hAnsiTheme="minorEastAsia" w:eastAsiaTheme="minorEastAsia" w:cstheme="minorEastAsia"/>
          <w:b/>
          <w:bCs/>
          <w:color w:val="auto"/>
          <w:sz w:val="24"/>
          <w:highlight w:val="none"/>
        </w:rPr>
        <w:t>1.3 采购内容、</w:t>
      </w:r>
      <w:r>
        <w:rPr>
          <w:rFonts w:hint="eastAsia" w:asciiTheme="minorEastAsia" w:hAnsiTheme="minorEastAsia" w:eastAsiaTheme="minorEastAsia" w:cstheme="minorEastAsia"/>
          <w:b/>
          <w:bCs/>
          <w:color w:val="auto"/>
          <w:sz w:val="24"/>
          <w:highlight w:val="none"/>
          <w:lang w:val="en-US" w:eastAsia="zh-CN"/>
        </w:rPr>
        <w:t>供货安装期</w:t>
      </w:r>
      <w:r>
        <w:rPr>
          <w:rFonts w:hint="eastAsia" w:asciiTheme="minorEastAsia" w:hAnsiTheme="minorEastAsia" w:eastAsiaTheme="minorEastAsia" w:cstheme="minorEastAsia"/>
          <w:b/>
          <w:bCs/>
          <w:color w:val="auto"/>
          <w:sz w:val="24"/>
          <w:highlight w:val="none"/>
        </w:rPr>
        <w:t>和质量</w:t>
      </w:r>
      <w:bookmarkEnd w:id="27"/>
      <w:bookmarkEnd w:id="28"/>
      <w:bookmarkEnd w:id="29"/>
      <w:bookmarkEnd w:id="30"/>
      <w:r>
        <w:rPr>
          <w:rFonts w:hint="eastAsia" w:asciiTheme="minorEastAsia" w:hAnsiTheme="minorEastAsia" w:eastAsiaTheme="minorEastAsia" w:cstheme="minorEastAsia"/>
          <w:b/>
          <w:bCs/>
          <w:color w:val="auto"/>
          <w:sz w:val="24"/>
          <w:highlight w:val="none"/>
          <w:lang w:val="en-US" w:eastAsia="zh-CN"/>
        </w:rPr>
        <w:t>标准</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1.3.4  本次招标的质保期要求：见供应商须知前附表。 </w:t>
      </w:r>
      <w:r>
        <w:rPr>
          <w:rFonts w:hint="eastAsia" w:asciiTheme="minorEastAsia" w:hAnsiTheme="minorEastAsia" w:eastAsiaTheme="minorEastAsia" w:cstheme="minorEastAsia"/>
          <w:color w:val="auto"/>
          <w:szCs w:val="21"/>
          <w:highlight w:val="none"/>
        </w:rPr>
        <w:tab/>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31" w:name="_Toc426369483"/>
      <w:bookmarkStart w:id="32" w:name="_Toc403122495"/>
      <w:bookmarkStart w:id="33" w:name="_Toc279599774"/>
      <w:bookmarkStart w:id="34" w:name="_Toc274249578"/>
      <w:r>
        <w:rPr>
          <w:rFonts w:hint="eastAsia" w:asciiTheme="minorEastAsia" w:hAnsiTheme="minorEastAsia" w:eastAsiaTheme="minorEastAsia" w:cstheme="minorEastAsia"/>
          <w:b/>
          <w:bCs/>
          <w:color w:val="auto"/>
          <w:sz w:val="24"/>
          <w:highlight w:val="none"/>
        </w:rPr>
        <w:t>1.4 供应商资格要求</w:t>
      </w:r>
      <w:bookmarkEnd w:id="31"/>
      <w:bookmarkEnd w:id="32"/>
      <w:bookmarkEnd w:id="33"/>
      <w:bookmarkEnd w:id="34"/>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（1）供应商资质条件：见供应商须知前附表； </w:t>
      </w:r>
    </w:p>
    <w:p>
      <w:pPr>
        <w:spacing w:line="440" w:lineRule="exact"/>
        <w:ind w:firstLine="420" w:firstLineChars="200"/>
        <w:rPr>
          <w:rFonts w:asciiTheme="minorEastAsia" w:hAnsiTheme="minorEastAsia" w:eastAsiaTheme="minorEastAsia" w:cstheme="minorEastAsia"/>
          <w:color w:val="auto"/>
          <w:szCs w:val="21"/>
          <w:highlight w:val="none"/>
        </w:rPr>
      </w:pPr>
      <w:bookmarkStart w:id="35" w:name="_Toc403122496"/>
      <w:bookmarkStart w:id="36" w:name="_Toc279599775"/>
      <w:bookmarkStart w:id="37" w:name="_Toc274249579"/>
      <w:r>
        <w:rPr>
          <w:rFonts w:hint="eastAsia" w:asciiTheme="minorEastAsia" w:hAnsiTheme="minorEastAsia" w:eastAsiaTheme="minorEastAsia" w:cstheme="minorEastAsia"/>
          <w:color w:val="auto"/>
          <w:szCs w:val="21"/>
          <w:highlight w:val="none"/>
        </w:rPr>
        <w:t>1.4.2 本次招标不接受联合体投标。</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38" w:name="_Toc426369484"/>
      <w:r>
        <w:rPr>
          <w:rFonts w:hint="eastAsia" w:asciiTheme="minorEastAsia" w:hAnsiTheme="minorEastAsia" w:eastAsiaTheme="minorEastAsia" w:cstheme="minorEastAsia"/>
          <w:b/>
          <w:bCs/>
          <w:color w:val="auto"/>
          <w:sz w:val="24"/>
          <w:highlight w:val="none"/>
        </w:rPr>
        <w:t>1.5 费用承担</w:t>
      </w:r>
      <w:bookmarkEnd w:id="35"/>
      <w:bookmarkEnd w:id="36"/>
      <w:bookmarkEnd w:id="37"/>
      <w:bookmarkEnd w:id="38"/>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39" w:name="_Toc403122497"/>
      <w:bookmarkStart w:id="40" w:name="_Toc426369485"/>
      <w:r>
        <w:rPr>
          <w:rFonts w:hint="eastAsia" w:asciiTheme="minorEastAsia" w:hAnsiTheme="minorEastAsia" w:eastAsiaTheme="minorEastAsia" w:cstheme="minorEastAsia"/>
          <w:b/>
          <w:bCs/>
          <w:color w:val="auto"/>
          <w:sz w:val="24"/>
          <w:highlight w:val="none"/>
        </w:rPr>
        <w:t>1.6 保密</w:t>
      </w:r>
      <w:bookmarkEnd w:id="39"/>
      <w:bookmarkEnd w:id="40"/>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参与招标投标活动的各方应对招标文件和投标文件中的商业和技术等秘密保密，违者应对由此造成的后果承担法律责任。</w:t>
      </w:r>
    </w:p>
    <w:p>
      <w:pPr>
        <w:spacing w:line="500" w:lineRule="exact"/>
        <w:ind w:firstLine="482" w:firstLineChars="200"/>
        <w:rPr>
          <w:rFonts w:hint="eastAsia" w:asciiTheme="minorEastAsia" w:hAnsiTheme="minorEastAsia" w:eastAsiaTheme="minorEastAsia" w:cstheme="minorEastAsia"/>
          <w:b/>
          <w:bCs/>
          <w:color w:val="auto"/>
          <w:sz w:val="24"/>
          <w:highlight w:val="none"/>
          <w:lang w:val="en-US" w:eastAsia="zh-CN"/>
        </w:rPr>
      </w:pPr>
      <w:bookmarkStart w:id="41" w:name="_Toc426369486"/>
      <w:bookmarkStart w:id="42" w:name="_Toc403122498"/>
      <w:bookmarkStart w:id="43" w:name="_Toc274249581"/>
      <w:bookmarkStart w:id="44" w:name="_Toc279599777"/>
      <w:r>
        <w:rPr>
          <w:rFonts w:hint="eastAsia" w:asciiTheme="minorEastAsia" w:hAnsiTheme="minorEastAsia" w:eastAsiaTheme="minorEastAsia" w:cstheme="minorEastAsia"/>
          <w:b/>
          <w:bCs/>
          <w:color w:val="auto"/>
          <w:sz w:val="24"/>
          <w:highlight w:val="none"/>
        </w:rPr>
        <w:t>1.7 语言文字</w:t>
      </w:r>
      <w:bookmarkEnd w:id="41"/>
      <w:bookmarkEnd w:id="42"/>
      <w:bookmarkEnd w:id="43"/>
      <w:bookmarkEnd w:id="44"/>
      <w:r>
        <w:rPr>
          <w:rFonts w:hint="eastAsia" w:asciiTheme="minorEastAsia" w:hAnsiTheme="minorEastAsia" w:eastAsiaTheme="minorEastAsia" w:cstheme="minorEastAsia"/>
          <w:b/>
          <w:bCs/>
          <w:color w:val="auto"/>
          <w:sz w:val="24"/>
          <w:highlight w:val="none"/>
          <w:lang w:val="en-US" w:eastAsia="zh-CN"/>
        </w:rPr>
        <w:t xml:space="preserve"> </w:t>
      </w:r>
    </w:p>
    <w:p>
      <w:pPr>
        <w:spacing w:line="44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1.7.1 采购文件以及投标人与采购人、采购代理机构就有关投标事宜的所有来往函电均应使用简体中文书写。</w:t>
      </w:r>
    </w:p>
    <w:p>
      <w:pPr>
        <w:spacing w:line="440" w:lineRule="exact"/>
        <w:ind w:firstLine="420" w:firstLineChars="200"/>
        <w:rPr>
          <w:rFonts w:hint="eastAsia" w:asciiTheme="minorEastAsia" w:hAnsiTheme="minorEastAsia" w:eastAsiaTheme="minorEastAsia" w:cstheme="minorEastAsia"/>
          <w:color w:val="auto"/>
          <w:szCs w:val="21"/>
          <w:highlight w:val="none"/>
          <w:lang w:val="en-US" w:eastAsia="zh-CN"/>
        </w:rPr>
      </w:pPr>
      <w:bookmarkStart w:id="45" w:name="_Toc1475"/>
      <w:r>
        <w:rPr>
          <w:rFonts w:hint="eastAsia" w:asciiTheme="minorEastAsia" w:hAnsiTheme="minorEastAsia" w:eastAsiaTheme="minorEastAsia" w:cstheme="minorEastAsia"/>
          <w:color w:val="auto"/>
          <w:szCs w:val="21"/>
          <w:highlight w:val="none"/>
          <w:lang w:val="en-US" w:eastAsia="zh-CN"/>
        </w:rPr>
        <w:t>1.7.2原版为外文的证书类文件，以及由外国人做出的本人签名、外国公司的名称或外国印章等可以是外文，但应当提供中文翻译文件并加盖投标人公章。必要时评标委员会可以要求投标人提供附有公证书的中文翻译文件或者与原版文件签章相一致的中文翻译文件</w:t>
      </w:r>
      <w:bookmarkEnd w:id="45"/>
      <w:bookmarkStart w:id="46" w:name="_Toc403122499"/>
      <w:bookmarkStart w:id="47" w:name="_Toc426369487"/>
      <w:r>
        <w:rPr>
          <w:rFonts w:hint="eastAsia" w:asciiTheme="minorEastAsia" w:hAnsiTheme="minorEastAsia" w:eastAsiaTheme="minorEastAsia" w:cstheme="minorEastAsia"/>
          <w:color w:val="auto"/>
          <w:szCs w:val="21"/>
          <w:highlight w:val="none"/>
          <w:lang w:val="en-US" w:eastAsia="zh-CN"/>
        </w:rPr>
        <w:t>。</w:t>
      </w:r>
    </w:p>
    <w:p>
      <w:pPr>
        <w:spacing w:line="500" w:lineRule="exact"/>
        <w:ind w:firstLine="482" w:firstLineChars="200"/>
        <w:rPr>
          <w:rFonts w:hint="eastAsia" w:asciiTheme="minorEastAsia" w:hAnsiTheme="minorEastAsia" w:eastAsiaTheme="minorEastAsia" w:cstheme="minorEastAsia"/>
          <w:b/>
          <w:bCs/>
          <w:color w:val="auto"/>
          <w:sz w:val="24"/>
          <w:highlight w:val="none"/>
        </w:rPr>
      </w:pPr>
      <w:bookmarkStart w:id="48" w:name="_Toc10117"/>
      <w:r>
        <w:rPr>
          <w:rFonts w:hint="eastAsia" w:asciiTheme="minorEastAsia" w:hAnsiTheme="minorEastAsia" w:eastAsiaTheme="minorEastAsia" w:cstheme="minorEastAsia"/>
          <w:b/>
          <w:bCs/>
          <w:color w:val="auto"/>
          <w:sz w:val="24"/>
          <w:highlight w:val="none"/>
        </w:rPr>
        <w:t>1.8 计量单位</w:t>
      </w:r>
      <w:bookmarkEnd w:id="46"/>
      <w:bookmarkEnd w:id="47"/>
      <w:bookmarkEnd w:id="48"/>
    </w:p>
    <w:p>
      <w:pPr>
        <w:spacing w:line="44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 xml:space="preserve">1.8.1关于投标计量单位，采购文件已有明确规定的，使用采购文件规定的计量单位；采购文件没有规定的，应采用中华人民共和国法定计量单位。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1.8.2本响应性文件所表述的时间均为北京时间。</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49" w:name="_Toc403122500"/>
      <w:bookmarkStart w:id="50" w:name="_Toc274249583"/>
      <w:bookmarkStart w:id="51" w:name="_Toc426369488"/>
      <w:bookmarkStart w:id="52" w:name="_Toc279599779"/>
      <w:r>
        <w:rPr>
          <w:rFonts w:hint="eastAsia" w:asciiTheme="minorEastAsia" w:hAnsiTheme="minorEastAsia" w:eastAsiaTheme="minorEastAsia" w:cstheme="minorEastAsia"/>
          <w:b/>
          <w:bCs/>
          <w:color w:val="auto"/>
          <w:sz w:val="24"/>
          <w:highlight w:val="none"/>
        </w:rPr>
        <w:t>1.9 踏勘现场</w:t>
      </w:r>
      <w:bookmarkEnd w:id="49"/>
      <w:bookmarkEnd w:id="50"/>
      <w:bookmarkEnd w:id="51"/>
      <w:bookmarkEnd w:id="52"/>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53" w:name="_Toc279599780"/>
      <w:bookmarkStart w:id="54" w:name="_Toc426369489"/>
      <w:bookmarkStart w:id="55" w:name="_Toc403122501"/>
      <w:bookmarkStart w:id="56" w:name="_Toc274249584"/>
      <w:r>
        <w:rPr>
          <w:rFonts w:hint="eastAsia" w:asciiTheme="minorEastAsia" w:hAnsiTheme="minorEastAsia" w:eastAsiaTheme="minorEastAsia" w:cstheme="minorEastAsia"/>
          <w:b/>
          <w:bCs/>
          <w:color w:val="auto"/>
          <w:sz w:val="24"/>
          <w:highlight w:val="none"/>
        </w:rPr>
        <w:t>1.10 投标预备会</w:t>
      </w:r>
      <w:bookmarkEnd w:id="53"/>
      <w:bookmarkEnd w:id="54"/>
      <w:bookmarkEnd w:id="55"/>
      <w:bookmarkEnd w:id="56"/>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1.10.1 本次招标不召开投标预备会。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57" w:name="_Toc274249585"/>
      <w:bookmarkStart w:id="58" w:name="_Toc426369490"/>
      <w:bookmarkStart w:id="59" w:name="_Toc403122502"/>
      <w:bookmarkStart w:id="60" w:name="_Toc279599781"/>
      <w:r>
        <w:rPr>
          <w:rFonts w:hint="eastAsia" w:asciiTheme="minorEastAsia" w:hAnsiTheme="minorEastAsia" w:eastAsiaTheme="minorEastAsia" w:cstheme="minorEastAsia"/>
          <w:b/>
          <w:bCs/>
          <w:color w:val="auto"/>
          <w:sz w:val="24"/>
          <w:highlight w:val="none"/>
        </w:rPr>
        <w:t>1.11 分包</w:t>
      </w:r>
      <w:bookmarkEnd w:id="57"/>
      <w:bookmarkEnd w:id="58"/>
      <w:bookmarkEnd w:id="59"/>
      <w:bookmarkEnd w:id="60"/>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本次招标项目不允许分包。 </w:t>
      </w:r>
    </w:p>
    <w:p>
      <w:pPr>
        <w:pStyle w:val="6"/>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61" w:name="_Toc11741"/>
      <w:bookmarkStart w:id="62" w:name="_Toc28663"/>
      <w:bookmarkStart w:id="63" w:name="_Toc9121"/>
      <w:r>
        <w:rPr>
          <w:rFonts w:hint="eastAsia" w:asciiTheme="minorEastAsia" w:hAnsiTheme="minorEastAsia" w:eastAsiaTheme="minorEastAsia" w:cstheme="minorEastAsia"/>
          <w:color w:val="auto"/>
          <w:sz w:val="24"/>
          <w:szCs w:val="24"/>
          <w:highlight w:val="none"/>
        </w:rPr>
        <w:t>2. 招标文件</w:t>
      </w:r>
      <w:bookmarkEnd w:id="16"/>
      <w:bookmarkEnd w:id="17"/>
      <w:bookmarkEnd w:id="18"/>
      <w:bookmarkEnd w:id="61"/>
      <w:bookmarkEnd w:id="62"/>
      <w:bookmarkEnd w:id="63"/>
    </w:p>
    <w:p>
      <w:pPr>
        <w:spacing w:line="500" w:lineRule="exact"/>
        <w:ind w:firstLine="482" w:firstLineChars="200"/>
        <w:rPr>
          <w:rFonts w:asciiTheme="minorEastAsia" w:hAnsiTheme="minorEastAsia" w:eastAsiaTheme="minorEastAsia" w:cstheme="minorEastAsia"/>
          <w:b/>
          <w:bCs/>
          <w:color w:val="auto"/>
          <w:sz w:val="24"/>
          <w:highlight w:val="none"/>
        </w:rPr>
      </w:pPr>
      <w:bookmarkStart w:id="64" w:name="_Toc279599783"/>
      <w:bookmarkStart w:id="65" w:name="_Toc426369492"/>
      <w:bookmarkStart w:id="66" w:name="_Toc274249587"/>
      <w:bookmarkStart w:id="67" w:name="_Toc403122504"/>
      <w:r>
        <w:rPr>
          <w:rFonts w:hint="eastAsia" w:asciiTheme="minorEastAsia" w:hAnsiTheme="minorEastAsia" w:eastAsiaTheme="minorEastAsia" w:cstheme="minorEastAsia"/>
          <w:b/>
          <w:bCs/>
          <w:color w:val="auto"/>
          <w:sz w:val="24"/>
          <w:highlight w:val="none"/>
        </w:rPr>
        <w:t>2.1 招标文件的组成</w:t>
      </w:r>
      <w:bookmarkEnd w:id="64"/>
      <w:bookmarkEnd w:id="65"/>
      <w:bookmarkEnd w:id="66"/>
      <w:bookmarkEnd w:id="67"/>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本招标文件包括： </w:t>
      </w:r>
    </w:p>
    <w:p>
      <w:pPr>
        <w:numPr>
          <w:ilvl w:val="0"/>
          <w:numId w:val="7"/>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招标公告；</w:t>
      </w:r>
    </w:p>
    <w:p>
      <w:pPr>
        <w:numPr>
          <w:ilvl w:val="0"/>
          <w:numId w:val="7"/>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供应商须知； </w:t>
      </w:r>
    </w:p>
    <w:p>
      <w:pPr>
        <w:numPr>
          <w:ilvl w:val="0"/>
          <w:numId w:val="7"/>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评标办法（综合评分法）； </w:t>
      </w:r>
    </w:p>
    <w:p>
      <w:pPr>
        <w:numPr>
          <w:ilvl w:val="0"/>
          <w:numId w:val="7"/>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合同条款及格式； </w:t>
      </w:r>
    </w:p>
    <w:p>
      <w:pPr>
        <w:numPr>
          <w:ilvl w:val="0"/>
          <w:numId w:val="7"/>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采购需求及参数； </w:t>
      </w:r>
    </w:p>
    <w:p>
      <w:pPr>
        <w:numPr>
          <w:ilvl w:val="0"/>
          <w:numId w:val="7"/>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投标文件格式；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68" w:name="_Toc279599784"/>
      <w:bookmarkStart w:id="69" w:name="_Toc403122505"/>
      <w:bookmarkStart w:id="70" w:name="_Toc426369493"/>
      <w:bookmarkStart w:id="71" w:name="_Toc274249588"/>
      <w:r>
        <w:rPr>
          <w:rFonts w:hint="eastAsia" w:asciiTheme="minorEastAsia" w:hAnsiTheme="minorEastAsia" w:eastAsiaTheme="minorEastAsia" w:cstheme="minorEastAsia"/>
          <w:b/>
          <w:bCs/>
          <w:color w:val="auto"/>
          <w:sz w:val="24"/>
          <w:highlight w:val="none"/>
        </w:rPr>
        <w:t>2.2 招标文件的澄清</w:t>
      </w:r>
      <w:bookmarkEnd w:id="68"/>
      <w:bookmarkEnd w:id="69"/>
      <w:bookmarkEnd w:id="70"/>
      <w:bookmarkEnd w:id="71"/>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2.2.1 供应商应仔细阅读和检查招标文件的全部内容。如发现缺页或附件不全，应及时向采购人提出，以便补齐。如有疑问，应在供应商须知前附表规定的时间前以书面形式，要求采购人对招标文件予以澄清。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72" w:name="_Toc274249589"/>
      <w:bookmarkStart w:id="73" w:name="_Toc279599785"/>
      <w:bookmarkStart w:id="74" w:name="_Toc426369494"/>
      <w:bookmarkStart w:id="75" w:name="_Toc403122506"/>
      <w:r>
        <w:rPr>
          <w:rFonts w:hint="eastAsia" w:asciiTheme="minorEastAsia" w:hAnsiTheme="minorEastAsia" w:eastAsiaTheme="minorEastAsia" w:cstheme="minorEastAsia"/>
          <w:b/>
          <w:bCs/>
          <w:color w:val="auto"/>
          <w:sz w:val="24"/>
          <w:highlight w:val="none"/>
        </w:rPr>
        <w:t>2.3 招标文件的修改</w:t>
      </w:r>
      <w:bookmarkEnd w:id="72"/>
      <w:bookmarkEnd w:id="73"/>
      <w:bookmarkEnd w:id="74"/>
      <w:bookmarkEnd w:id="75"/>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2.3.2  供应商收到修改内容后，应在供应商须知前附表规定的时间内以书面形式通知采购人，确认已收到该修改。 </w:t>
      </w:r>
      <w:bookmarkStart w:id="76" w:name="_Toc426369495"/>
      <w:bookmarkStart w:id="77" w:name="_Toc23265"/>
      <w:bookmarkStart w:id="78" w:name="_Toc403122507"/>
    </w:p>
    <w:p>
      <w:pPr>
        <w:pStyle w:val="6"/>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79" w:name="_Toc22914"/>
      <w:bookmarkStart w:id="80" w:name="_Toc13865"/>
      <w:bookmarkStart w:id="81" w:name="_Toc17131"/>
      <w:r>
        <w:rPr>
          <w:rFonts w:hint="eastAsia" w:asciiTheme="minorEastAsia" w:hAnsiTheme="minorEastAsia" w:eastAsiaTheme="minorEastAsia" w:cstheme="minorEastAsia"/>
          <w:color w:val="auto"/>
          <w:sz w:val="24"/>
          <w:szCs w:val="24"/>
          <w:highlight w:val="none"/>
        </w:rPr>
        <w:t>3. 投标文件</w:t>
      </w:r>
      <w:bookmarkEnd w:id="76"/>
      <w:bookmarkEnd w:id="77"/>
      <w:bookmarkEnd w:id="78"/>
      <w:bookmarkEnd w:id="79"/>
      <w:bookmarkEnd w:id="80"/>
      <w:bookmarkEnd w:id="81"/>
    </w:p>
    <w:p>
      <w:pPr>
        <w:spacing w:line="500" w:lineRule="exact"/>
        <w:ind w:firstLine="482" w:firstLineChars="200"/>
        <w:rPr>
          <w:rFonts w:asciiTheme="minorEastAsia" w:hAnsiTheme="minorEastAsia" w:eastAsiaTheme="minorEastAsia" w:cstheme="minorEastAsia"/>
          <w:b/>
          <w:bCs/>
          <w:color w:val="auto"/>
          <w:sz w:val="24"/>
          <w:highlight w:val="none"/>
        </w:rPr>
      </w:pPr>
      <w:bookmarkStart w:id="82" w:name="_Toc403122508"/>
      <w:bookmarkStart w:id="83" w:name="_Toc426369496"/>
      <w:bookmarkStart w:id="84" w:name="_Toc279599787"/>
      <w:bookmarkStart w:id="85" w:name="_Toc274249591"/>
      <w:r>
        <w:rPr>
          <w:rFonts w:hint="eastAsia" w:asciiTheme="minorEastAsia" w:hAnsiTheme="minorEastAsia" w:eastAsiaTheme="minorEastAsia" w:cstheme="minorEastAsia"/>
          <w:b/>
          <w:bCs/>
          <w:color w:val="auto"/>
          <w:sz w:val="24"/>
          <w:highlight w:val="none"/>
        </w:rPr>
        <w:t>3.1 投标文件的组成</w:t>
      </w:r>
      <w:bookmarkEnd w:id="82"/>
      <w:bookmarkEnd w:id="83"/>
      <w:bookmarkEnd w:id="84"/>
      <w:bookmarkEnd w:id="85"/>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3.1.1 投标文件应包括下列内容： </w:t>
      </w:r>
    </w:p>
    <w:p>
      <w:pPr>
        <w:spacing w:line="440" w:lineRule="exact"/>
        <w:ind w:firstLine="420" w:firstLineChars="200"/>
        <w:rPr>
          <w:rFonts w:ascii="宋体" w:hAnsi="宋体" w:cs="宋体"/>
          <w:color w:val="auto"/>
          <w:szCs w:val="21"/>
          <w:highlight w:val="none"/>
        </w:rPr>
      </w:pPr>
      <w:bookmarkStart w:id="86" w:name="_Toc274249592"/>
      <w:bookmarkStart w:id="87" w:name="_Toc426369497"/>
      <w:bookmarkStart w:id="88" w:name="_Toc403122509"/>
      <w:bookmarkStart w:id="89" w:name="_Toc279599788"/>
      <w:r>
        <w:rPr>
          <w:rFonts w:hint="eastAsia" w:ascii="宋体" w:hAnsi="宋体" w:cs="宋体"/>
          <w:color w:val="auto"/>
          <w:szCs w:val="21"/>
          <w:highlight w:val="none"/>
        </w:rPr>
        <w:t>一、投标函及开标一览表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（一）投标函</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（二）开标一览表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（三）报价明细表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三、授权委托书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、项目</w:t>
      </w:r>
      <w:r>
        <w:rPr>
          <w:rFonts w:hint="eastAsia" w:ascii="宋体" w:hAnsi="宋体" w:cs="宋体"/>
          <w:color w:val="auto"/>
          <w:szCs w:val="21"/>
          <w:highlight w:val="none"/>
          <w:lang w:val="en-US" w:eastAsia="zh-CN"/>
        </w:rPr>
        <w:t>实施</w:t>
      </w:r>
      <w:r>
        <w:rPr>
          <w:rFonts w:hint="eastAsia" w:ascii="宋体" w:hAnsi="宋体" w:cs="宋体"/>
          <w:color w:val="auto"/>
          <w:szCs w:val="21"/>
          <w:highlight w:val="none"/>
        </w:rPr>
        <w:t>方案等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五</w:t>
      </w:r>
      <w:r>
        <w:rPr>
          <w:rFonts w:hint="eastAsia" w:ascii="宋体" w:hAnsi="宋体" w:cs="宋体"/>
          <w:color w:val="auto"/>
          <w:szCs w:val="21"/>
          <w:highlight w:val="none"/>
        </w:rPr>
        <w:t>、资格证明文件；</w:t>
      </w:r>
    </w:p>
    <w:p>
      <w:pPr>
        <w:pStyle w:val="23"/>
        <w:spacing w:line="440" w:lineRule="exact"/>
        <w:ind w:firstLineChars="200"/>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六</w:t>
      </w:r>
      <w:r>
        <w:rPr>
          <w:rFonts w:ascii="宋体" w:hAnsi="宋体" w:eastAsia="宋体" w:cs="宋体"/>
          <w:color w:val="auto"/>
          <w:sz w:val="21"/>
          <w:szCs w:val="21"/>
          <w:highlight w:val="none"/>
        </w:rPr>
        <w:t>、供应商服务承诺和优惠承诺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七</w:t>
      </w:r>
      <w:r>
        <w:rPr>
          <w:rFonts w:hint="eastAsia" w:ascii="宋体" w:hAnsi="宋体" w:cs="宋体"/>
          <w:color w:val="auto"/>
          <w:szCs w:val="21"/>
          <w:highlight w:val="none"/>
        </w:rPr>
        <w:t>、供应商所投产品属于当期政府采购清单规定的节能环保产品的证明材料；</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八</w:t>
      </w:r>
      <w:r>
        <w:rPr>
          <w:rFonts w:hint="eastAsia" w:ascii="宋体" w:hAnsi="宋体" w:cs="宋体"/>
          <w:color w:val="auto"/>
          <w:szCs w:val="21"/>
          <w:highlight w:val="none"/>
        </w:rPr>
        <w:t>、中小企业声明函（如为中小企业）；</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九</w:t>
      </w:r>
      <w:r>
        <w:rPr>
          <w:rFonts w:hint="eastAsia" w:ascii="宋体" w:hAnsi="宋体" w:cs="宋体"/>
          <w:color w:val="auto"/>
          <w:szCs w:val="21"/>
          <w:highlight w:val="none"/>
        </w:rPr>
        <w:t>、残疾人福利性单位声明函（如有）；</w:t>
      </w:r>
    </w:p>
    <w:p>
      <w:pPr>
        <w:spacing w:line="440" w:lineRule="exact"/>
        <w:ind w:firstLine="420" w:firstLineChars="200"/>
        <w:rPr>
          <w:rFonts w:ascii="宋体" w:hAnsi="宋体" w:cs="宋体"/>
          <w:color w:val="auto"/>
          <w:szCs w:val="21"/>
          <w:highlight w:val="yellow"/>
        </w:rPr>
      </w:pPr>
      <w:r>
        <w:rPr>
          <w:rFonts w:hint="eastAsia" w:ascii="宋体" w:hAnsi="宋体" w:cs="宋体"/>
          <w:color w:val="auto"/>
          <w:szCs w:val="21"/>
          <w:highlight w:val="none"/>
        </w:rPr>
        <w:t>十、招标文件要求的或投标人认为需要加以说明的其他内容。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3.2 投标报价</w:t>
      </w:r>
      <w:bookmarkEnd w:id="86"/>
      <w:bookmarkEnd w:id="87"/>
      <w:bookmarkEnd w:id="88"/>
      <w:bookmarkEnd w:id="89"/>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3.2.1投标报价包括：供应商的投标报价应包括货物本身的费用、包装费、运输费、装卸费、运输过程保险费、安装费、质量保证费</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szCs w:val="21"/>
          <w:highlight w:val="none"/>
        </w:rPr>
        <w:t>相关的伴随服务费、货物本身已支付或将支付的各种税费以及其它交付使用前的所有费用。投标价不是唯一的或不是固定不变的响应文件将被作为非响应性投标而予以拒绝。</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3.2.2投标报价在中标后不得修改。</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90" w:name="_Toc426369498"/>
      <w:bookmarkStart w:id="91" w:name="_Toc403122510"/>
      <w:bookmarkStart w:id="92" w:name="_Toc279599789"/>
      <w:bookmarkStart w:id="93" w:name="_Toc274249593"/>
      <w:r>
        <w:rPr>
          <w:rFonts w:hint="eastAsia" w:asciiTheme="minorEastAsia" w:hAnsiTheme="minorEastAsia" w:eastAsiaTheme="minorEastAsia" w:cstheme="minorEastAsia"/>
          <w:b/>
          <w:bCs/>
          <w:color w:val="auto"/>
          <w:sz w:val="24"/>
          <w:highlight w:val="none"/>
        </w:rPr>
        <w:t>3.3 投标有效期</w:t>
      </w:r>
      <w:bookmarkEnd w:id="90"/>
      <w:bookmarkEnd w:id="91"/>
      <w:bookmarkEnd w:id="92"/>
      <w:bookmarkEnd w:id="93"/>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94" w:name="_Toc279599791"/>
      <w:bookmarkStart w:id="95" w:name="_Toc403122512"/>
      <w:bookmarkStart w:id="96" w:name="_Toc426369501"/>
      <w:bookmarkStart w:id="97" w:name="_Toc274249595"/>
      <w:r>
        <w:rPr>
          <w:rFonts w:hint="eastAsia" w:asciiTheme="minorEastAsia" w:hAnsiTheme="minorEastAsia" w:eastAsiaTheme="minorEastAsia" w:cstheme="minorEastAsia"/>
          <w:b/>
          <w:bCs/>
          <w:color w:val="auto"/>
          <w:sz w:val="24"/>
          <w:highlight w:val="none"/>
        </w:rPr>
        <w:t>3.5 资格审查资料</w:t>
      </w:r>
      <w:bookmarkEnd w:id="94"/>
      <w:bookmarkEnd w:id="95"/>
      <w:bookmarkEnd w:id="96"/>
      <w:bookmarkEnd w:id="97"/>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3.5.1</w:t>
      </w:r>
      <w:r>
        <w:rPr>
          <w:rFonts w:hint="eastAsia" w:ascii="宋体" w:hAnsi="宋体" w:cs="宋体"/>
          <w:color w:val="auto"/>
          <w:kern w:val="0"/>
          <w:szCs w:val="21"/>
          <w:highlight w:val="none"/>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color w:val="auto"/>
          <w:szCs w:val="21"/>
          <w:highlight w:val="none"/>
        </w:rPr>
        <w:t xml:space="preserve">。 </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3.5.2招标文件规定的供应商资格条件。</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98" w:name="_Toc403122513"/>
      <w:bookmarkStart w:id="99" w:name="_Toc426369502"/>
      <w:bookmarkStart w:id="100" w:name="_Toc279599792"/>
      <w:bookmarkStart w:id="101" w:name="_Toc274249596"/>
      <w:r>
        <w:rPr>
          <w:rFonts w:hint="eastAsia" w:asciiTheme="minorEastAsia" w:hAnsiTheme="minorEastAsia" w:eastAsiaTheme="minorEastAsia" w:cstheme="minorEastAsia"/>
          <w:b/>
          <w:bCs/>
          <w:color w:val="auto"/>
          <w:sz w:val="24"/>
          <w:highlight w:val="none"/>
        </w:rPr>
        <w:t>3.6 备选投标方案</w:t>
      </w:r>
      <w:bookmarkEnd w:id="98"/>
      <w:bookmarkEnd w:id="99"/>
      <w:bookmarkEnd w:id="100"/>
      <w:bookmarkEnd w:id="101"/>
    </w:p>
    <w:p>
      <w:pPr>
        <w:tabs>
          <w:tab w:val="left" w:pos="3570"/>
        </w:tabs>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供应商不得递交备选投标方案。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02" w:name="_Toc403122514"/>
      <w:bookmarkStart w:id="103" w:name="_Toc279599793"/>
      <w:bookmarkStart w:id="104" w:name="_Toc426369503"/>
      <w:bookmarkStart w:id="105" w:name="_Toc274249597"/>
      <w:r>
        <w:rPr>
          <w:rFonts w:hint="eastAsia" w:asciiTheme="minorEastAsia" w:hAnsiTheme="minorEastAsia" w:eastAsiaTheme="minorEastAsia" w:cstheme="minorEastAsia"/>
          <w:b/>
          <w:bCs/>
          <w:color w:val="auto"/>
          <w:sz w:val="24"/>
          <w:highlight w:val="none"/>
        </w:rPr>
        <w:t>3.7 投标文件的编制</w:t>
      </w:r>
      <w:bookmarkEnd w:id="102"/>
      <w:bookmarkEnd w:id="103"/>
      <w:bookmarkEnd w:id="104"/>
      <w:bookmarkEnd w:id="105"/>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3.7.1 投标文件应按招标文件中要求</w:t>
      </w:r>
      <w:r>
        <w:rPr>
          <w:rFonts w:hint="eastAsia" w:ascii="宋体" w:hAnsi="宋体" w:cs="宋体"/>
          <w:color w:val="auto"/>
          <w:kern w:val="0"/>
          <w:szCs w:val="21"/>
          <w:highlight w:val="none"/>
        </w:rPr>
        <w:t>使用焦作市公共资源交易系统投标文件制作专用工具软件编制</w:t>
      </w:r>
      <w:r>
        <w:rPr>
          <w:rFonts w:hint="eastAsia" w:asciiTheme="minorEastAsia" w:hAnsiTheme="minorEastAsia" w:eastAsiaTheme="minorEastAsia" w:cstheme="minorEastAsia"/>
          <w:color w:val="auto"/>
          <w:szCs w:val="21"/>
          <w:highlight w:val="none"/>
        </w:rPr>
        <w:t xml:space="preserve">。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3.7.2  投标文件应当对招标文件有关</w:t>
      </w:r>
      <w:r>
        <w:rPr>
          <w:rFonts w:hint="eastAsia" w:asciiTheme="minorEastAsia" w:hAnsiTheme="minorEastAsia" w:eastAsiaTheme="minorEastAsia" w:cstheme="minorEastAsia"/>
          <w:color w:val="auto"/>
          <w:szCs w:val="21"/>
          <w:highlight w:val="none"/>
          <w:lang w:val="en-US" w:eastAsia="zh-CN"/>
        </w:rPr>
        <w:t>供货安装期</w:t>
      </w:r>
      <w:r>
        <w:rPr>
          <w:rFonts w:hint="eastAsia" w:asciiTheme="minorEastAsia" w:hAnsiTheme="minorEastAsia" w:eastAsiaTheme="minorEastAsia" w:cstheme="minorEastAsia"/>
          <w:color w:val="auto"/>
          <w:szCs w:val="21"/>
          <w:highlight w:val="none"/>
        </w:rPr>
        <w:t>、投标有效期、质量</w:t>
      </w:r>
      <w:r>
        <w:rPr>
          <w:rFonts w:hint="eastAsia" w:asciiTheme="minorEastAsia" w:hAnsiTheme="minorEastAsia" w:eastAsiaTheme="minorEastAsia" w:cstheme="minorEastAsia"/>
          <w:color w:val="auto"/>
          <w:szCs w:val="21"/>
          <w:highlight w:val="none"/>
          <w:lang w:val="en-US" w:eastAsia="zh-CN"/>
        </w:rPr>
        <w:t>标准</w:t>
      </w:r>
      <w:r>
        <w:rPr>
          <w:rFonts w:hint="eastAsia" w:asciiTheme="minorEastAsia" w:hAnsiTheme="minorEastAsia" w:eastAsiaTheme="minorEastAsia" w:cstheme="minorEastAsia"/>
          <w:color w:val="auto"/>
          <w:szCs w:val="21"/>
          <w:highlight w:val="none"/>
        </w:rPr>
        <w:t>、采购要求及服务内容、等实质性内容作出响应。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3.7.3 </w:t>
      </w:r>
      <w:r>
        <w:rPr>
          <w:rFonts w:hint="eastAsia" w:ascii="宋体" w:hAnsi="宋体" w:cs="宋体"/>
          <w:color w:val="auto"/>
          <w:kern w:val="0"/>
          <w:szCs w:val="21"/>
          <w:highlight w:val="none"/>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w:t>
      </w:r>
    </w:p>
    <w:p>
      <w:pPr>
        <w:pStyle w:val="6"/>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106" w:name="_Toc31809"/>
      <w:bookmarkStart w:id="107" w:name="_Toc2735"/>
      <w:bookmarkStart w:id="108" w:name="_Toc426369504"/>
      <w:bookmarkStart w:id="109" w:name="_Toc30100"/>
      <w:bookmarkStart w:id="110" w:name="_Toc403122515"/>
      <w:bookmarkStart w:id="111" w:name="_Toc26998"/>
      <w:r>
        <w:rPr>
          <w:rFonts w:hint="eastAsia" w:asciiTheme="minorEastAsia" w:hAnsiTheme="minorEastAsia" w:eastAsiaTheme="minorEastAsia" w:cstheme="minorEastAsia"/>
          <w:color w:val="auto"/>
          <w:sz w:val="24"/>
          <w:szCs w:val="24"/>
          <w:highlight w:val="none"/>
        </w:rPr>
        <w:t>4. 投标</w:t>
      </w:r>
      <w:bookmarkEnd w:id="106"/>
      <w:bookmarkEnd w:id="107"/>
      <w:bookmarkEnd w:id="108"/>
      <w:bookmarkEnd w:id="109"/>
      <w:bookmarkEnd w:id="110"/>
      <w:bookmarkEnd w:id="111"/>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12" w:name="_Toc274249599"/>
      <w:bookmarkStart w:id="113" w:name="_Toc426369505"/>
      <w:bookmarkStart w:id="114" w:name="_Toc279599795"/>
      <w:bookmarkStart w:id="115" w:name="_Toc403122516"/>
      <w:r>
        <w:rPr>
          <w:rFonts w:hint="eastAsia" w:asciiTheme="minorEastAsia" w:hAnsiTheme="minorEastAsia" w:eastAsiaTheme="minorEastAsia" w:cstheme="minorEastAsia"/>
          <w:b/>
          <w:bCs/>
          <w:color w:val="auto"/>
          <w:sz w:val="24"/>
          <w:highlight w:val="none"/>
        </w:rPr>
        <w:t>4.1 投标文件的密封和标记</w:t>
      </w:r>
      <w:bookmarkEnd w:id="112"/>
      <w:bookmarkEnd w:id="113"/>
      <w:bookmarkEnd w:id="114"/>
      <w:bookmarkEnd w:id="115"/>
    </w:p>
    <w:p>
      <w:pPr>
        <w:autoSpaceDE w:val="0"/>
        <w:autoSpaceDN w:val="0"/>
        <w:adjustRightInd w:val="0"/>
        <w:spacing w:line="440" w:lineRule="exact"/>
        <w:ind w:firstLine="420" w:firstLineChars="200"/>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szCs w:val="21"/>
          <w:highlight w:val="none"/>
        </w:rPr>
        <w:t>4.1.1.本项目采用</w:t>
      </w:r>
      <w:r>
        <w:rPr>
          <w:rFonts w:hint="eastAsia" w:ascii="宋体" w:hAnsi="宋体" w:cs="宋体"/>
          <w:color w:val="auto"/>
          <w:kern w:val="0"/>
          <w:szCs w:val="21"/>
          <w:highlight w:val="none"/>
          <w:lang w:val="zh-CN"/>
        </w:rPr>
        <w:t>网上上传的电子投标文件</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zh-CN"/>
        </w:rPr>
        <w:t>应使用数字证书认证并加密。</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16" w:name="_Toc274249600"/>
      <w:bookmarkStart w:id="117" w:name="_Toc403122517"/>
      <w:bookmarkStart w:id="118" w:name="_Toc279599796"/>
      <w:bookmarkStart w:id="119" w:name="_Toc426369506"/>
      <w:r>
        <w:rPr>
          <w:rFonts w:hint="eastAsia" w:asciiTheme="minorEastAsia" w:hAnsiTheme="minorEastAsia" w:eastAsiaTheme="minorEastAsia" w:cstheme="minorEastAsia"/>
          <w:b/>
          <w:bCs/>
          <w:color w:val="auto"/>
          <w:sz w:val="24"/>
          <w:highlight w:val="none"/>
        </w:rPr>
        <w:t>4.2 投标文件的递交</w:t>
      </w:r>
      <w:bookmarkEnd w:id="116"/>
      <w:bookmarkEnd w:id="117"/>
      <w:bookmarkEnd w:id="118"/>
      <w:bookmarkEnd w:id="119"/>
    </w:p>
    <w:p>
      <w:pPr>
        <w:autoSpaceDE w:val="0"/>
        <w:autoSpaceDN w:val="0"/>
        <w:adjustRightInd w:val="0"/>
        <w:spacing w:line="440" w:lineRule="exact"/>
        <w:ind w:firstLine="420" w:firstLineChars="200"/>
        <w:jc w:val="left"/>
        <w:rPr>
          <w:rFonts w:ascii="宋体" w:hAnsi="宋体" w:cs="宋体"/>
          <w:color w:val="auto"/>
          <w:kern w:val="0"/>
          <w:szCs w:val="21"/>
          <w:highlight w:val="none"/>
          <w:lang w:val="zh-CN"/>
        </w:rPr>
      </w:pPr>
      <w:r>
        <w:rPr>
          <w:rFonts w:hint="eastAsia" w:ascii="宋体" w:hAnsi="宋体" w:cs="宋体"/>
          <w:color w:val="auto"/>
          <w:kern w:val="0"/>
          <w:szCs w:val="21"/>
          <w:highlight w:val="none"/>
        </w:rPr>
        <w:t>4.2.1</w:t>
      </w:r>
      <w:r>
        <w:rPr>
          <w:rFonts w:hint="eastAsia" w:ascii="宋体" w:hAnsi="宋体" w:cs="宋体"/>
          <w:color w:val="auto"/>
          <w:kern w:val="0"/>
          <w:szCs w:val="21"/>
          <w:highlight w:val="none"/>
          <w:lang w:val="zh-CN"/>
        </w:rPr>
        <w:t>所有投标文件必须在本招标文件中规定的投标截止时间之前</w:t>
      </w:r>
      <w:r>
        <w:rPr>
          <w:rFonts w:hint="eastAsia" w:ascii="宋体" w:hAnsi="宋体" w:cs="宋体"/>
          <w:color w:val="auto"/>
          <w:kern w:val="0"/>
          <w:szCs w:val="21"/>
          <w:highlight w:val="none"/>
        </w:rPr>
        <w:t>提前上传，按要求</w:t>
      </w:r>
      <w:r>
        <w:rPr>
          <w:rFonts w:hint="eastAsia" w:ascii="宋体" w:hAnsi="宋体"/>
          <w:color w:val="auto"/>
          <w:szCs w:val="21"/>
          <w:highlight w:val="none"/>
        </w:rPr>
        <w:t>在线签到、解密文件等，解密时间为投标截止时后30分钟内，</w:t>
      </w:r>
      <w:r>
        <w:rPr>
          <w:rFonts w:hint="eastAsia" w:ascii="宋体" w:hAnsi="宋体" w:cs="宋体"/>
          <w:color w:val="auto"/>
          <w:kern w:val="0"/>
          <w:szCs w:val="21"/>
          <w:highlight w:val="none"/>
        </w:rPr>
        <w:t>不能按时上传、解密者视为自动放弃投标。</w:t>
      </w:r>
    </w:p>
    <w:p>
      <w:pPr>
        <w:autoSpaceDE w:val="0"/>
        <w:autoSpaceDN w:val="0"/>
        <w:adjustRightInd w:val="0"/>
        <w:spacing w:line="440" w:lineRule="exact"/>
        <w:ind w:firstLine="420" w:firstLineChars="200"/>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szCs w:val="21"/>
          <w:highlight w:val="none"/>
        </w:rPr>
        <w:t>4.2.</w:t>
      </w:r>
      <w:r>
        <w:rPr>
          <w:rFonts w:hint="eastAsia" w:ascii="宋体" w:hAnsi="宋体" w:cs="宋体"/>
          <w:color w:val="auto"/>
          <w:kern w:val="0"/>
          <w:szCs w:val="21"/>
          <w:highlight w:val="none"/>
          <w:lang w:val="zh-CN"/>
        </w:rPr>
        <w:t>2.采购人拒绝接收在投标文件递交截止时间后上传的投标文件。</w:t>
      </w:r>
      <w:bookmarkStart w:id="120" w:name="_Hlt26954754"/>
      <w:bookmarkEnd w:id="120"/>
      <w:bookmarkStart w:id="121" w:name="_Hlt26954862"/>
      <w:bookmarkEnd w:id="121"/>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22" w:name="_Toc274249601"/>
      <w:bookmarkStart w:id="123" w:name="_Toc279599797"/>
      <w:bookmarkStart w:id="124" w:name="_Toc403122518"/>
      <w:bookmarkStart w:id="125" w:name="_Toc426369507"/>
      <w:r>
        <w:rPr>
          <w:rFonts w:hint="eastAsia" w:asciiTheme="minorEastAsia" w:hAnsiTheme="minorEastAsia" w:eastAsiaTheme="minorEastAsia" w:cstheme="minorEastAsia"/>
          <w:b/>
          <w:bCs/>
          <w:color w:val="auto"/>
          <w:sz w:val="24"/>
          <w:highlight w:val="none"/>
        </w:rPr>
        <w:t>4.3 投标文件的修改与撤回</w:t>
      </w:r>
      <w:bookmarkEnd w:id="122"/>
      <w:bookmarkEnd w:id="123"/>
      <w:bookmarkEnd w:id="124"/>
      <w:bookmarkEnd w:id="125"/>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4.3.1  在本章第 2.2.2 项规定的投标截止时间前，供应商可以修改或撤回已递交的投标文件。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4.3.3  修改的内容为投标文件的组成部分。修改的投标文件应按照本章第 3 条、第 4 条规定进行编制、密封、标记和递交，并标明“修改”字样。 </w:t>
      </w:r>
    </w:p>
    <w:p>
      <w:pPr>
        <w:pStyle w:val="6"/>
        <w:spacing w:before="120" w:after="120" w:line="500" w:lineRule="exact"/>
        <w:ind w:right="-1029" w:rightChars="-490" w:firstLine="482" w:firstLineChars="200"/>
        <w:jc w:val="left"/>
        <w:rPr>
          <w:rFonts w:asciiTheme="minorEastAsia" w:hAnsiTheme="minorEastAsia" w:eastAsiaTheme="minorEastAsia" w:cstheme="minorEastAsia"/>
          <w:color w:val="auto"/>
          <w:sz w:val="24"/>
          <w:szCs w:val="24"/>
          <w:highlight w:val="none"/>
        </w:rPr>
      </w:pPr>
      <w:bookmarkStart w:id="126" w:name="_Toc403122519"/>
      <w:bookmarkStart w:id="127" w:name="_Toc426369508"/>
      <w:bookmarkStart w:id="128" w:name="_Toc24840"/>
      <w:bookmarkStart w:id="129" w:name="_Toc18170"/>
      <w:bookmarkStart w:id="130" w:name="_Toc32449"/>
      <w:bookmarkStart w:id="131" w:name="_Toc5457"/>
      <w:r>
        <w:rPr>
          <w:rFonts w:hint="eastAsia" w:asciiTheme="minorEastAsia" w:hAnsiTheme="minorEastAsia" w:eastAsiaTheme="minorEastAsia" w:cstheme="minorEastAsia"/>
          <w:color w:val="auto"/>
          <w:sz w:val="24"/>
          <w:szCs w:val="24"/>
          <w:highlight w:val="none"/>
        </w:rPr>
        <w:t>5. 开标</w:t>
      </w:r>
      <w:bookmarkEnd w:id="126"/>
      <w:bookmarkEnd w:id="127"/>
      <w:bookmarkEnd w:id="128"/>
      <w:bookmarkEnd w:id="129"/>
      <w:bookmarkEnd w:id="130"/>
      <w:bookmarkEnd w:id="131"/>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所有投标文件必须在本招标文件中规定的投标截止时间之前提前上传投标文件，按要求解密投标文件，不能按时上传、解密者视为自动放弃投标。</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5.1.2投标人不足3家的，不得开标。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32" w:name="_Toc279599799"/>
      <w:bookmarkStart w:id="133" w:name="_Toc403122520"/>
      <w:bookmarkStart w:id="134" w:name="_Toc274249603"/>
      <w:bookmarkStart w:id="135" w:name="_Toc426369509"/>
      <w:r>
        <w:rPr>
          <w:rFonts w:hint="eastAsia" w:asciiTheme="minorEastAsia" w:hAnsiTheme="minorEastAsia" w:eastAsiaTheme="minorEastAsia" w:cstheme="minorEastAsia"/>
          <w:b/>
          <w:bCs/>
          <w:color w:val="auto"/>
          <w:sz w:val="24"/>
          <w:highlight w:val="none"/>
        </w:rPr>
        <w:t>5.2 开标时间和地点</w:t>
      </w:r>
      <w:bookmarkEnd w:id="132"/>
      <w:bookmarkEnd w:id="133"/>
      <w:bookmarkEnd w:id="134"/>
      <w:bookmarkEnd w:id="135"/>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36" w:name="_Toc426369510"/>
      <w:bookmarkStart w:id="137" w:name="_Toc279599800"/>
      <w:bookmarkStart w:id="138" w:name="_Toc274249604"/>
      <w:bookmarkStart w:id="139" w:name="_Toc403122521"/>
      <w:r>
        <w:rPr>
          <w:rFonts w:hint="eastAsia" w:asciiTheme="minorEastAsia" w:hAnsiTheme="minorEastAsia" w:eastAsiaTheme="minorEastAsia" w:cstheme="minorEastAsia"/>
          <w:b/>
          <w:bCs/>
          <w:color w:val="auto"/>
          <w:sz w:val="24"/>
          <w:highlight w:val="none"/>
        </w:rPr>
        <w:t>5.3开标程序</w:t>
      </w:r>
      <w:bookmarkEnd w:id="136"/>
      <w:bookmarkEnd w:id="137"/>
      <w:bookmarkEnd w:id="138"/>
      <w:bookmarkEnd w:id="139"/>
    </w:p>
    <w:p>
      <w:pPr>
        <w:spacing w:line="400" w:lineRule="exact"/>
        <w:ind w:firstLine="420" w:firstLineChars="200"/>
        <w:rPr>
          <w:rFonts w:asciiTheme="minorEastAsia" w:hAnsiTheme="minorEastAsia" w:eastAsiaTheme="minorEastAsia" w:cstheme="minorEastAsia"/>
          <w:color w:val="auto"/>
          <w:szCs w:val="21"/>
          <w:highlight w:val="none"/>
          <w:lang w:val="zh-CN"/>
        </w:rPr>
      </w:pPr>
      <w:bookmarkStart w:id="140" w:name="_Toc426369511"/>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zh-CN"/>
        </w:rPr>
        <w:t>.1本</w:t>
      </w:r>
      <w:r>
        <w:rPr>
          <w:rFonts w:hint="eastAsia" w:asciiTheme="minorEastAsia" w:hAnsiTheme="minorEastAsia" w:eastAsiaTheme="minorEastAsia" w:cstheme="minorEastAsia"/>
          <w:color w:val="auto"/>
          <w:szCs w:val="21"/>
          <w:highlight w:val="none"/>
        </w:rPr>
        <w:t>项目</w:t>
      </w:r>
      <w:r>
        <w:rPr>
          <w:rFonts w:hint="eastAsia" w:asciiTheme="minorEastAsia" w:hAnsiTheme="minorEastAsia" w:eastAsiaTheme="minorEastAsia" w:cstheme="minorEastAsia"/>
          <w:color w:val="auto"/>
          <w:szCs w:val="21"/>
          <w:highlight w:val="none"/>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主持人按下列程序进行开标：</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lang w:val="zh-CN"/>
        </w:rPr>
        <w:t>）宣布开标人、唱标人、记录人、监标人等有关人员姓名；</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val="zh-CN"/>
        </w:rPr>
        <w:t>）电子投标文件解密；</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lang w:val="zh-CN"/>
        </w:rPr>
        <w:t>）宣布投标文件开标顺序，电子唱标并记录在案；</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lang w:val="zh-CN"/>
        </w:rPr>
        <w:t>）投标人代表、采购人、监标人等有关人员在开标记录上签字确认；</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lang w:val="zh-CN"/>
        </w:rPr>
        <w:t>）开标结束。</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5.3.</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lang w:val="zh-CN"/>
        </w:rPr>
        <w:t>开标时出现下列情况的，采购人将拒绝其投标文件。</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lang w:val="zh-CN"/>
        </w:rPr>
        <w:t>投标人未按投标人须知前附表规定的时间内解密投标文件的；</w:t>
      </w:r>
    </w:p>
    <w:p>
      <w:pPr>
        <w:spacing w:line="400" w:lineRule="exact"/>
        <w:ind w:firstLine="422" w:firstLineChars="200"/>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5.4开标异议</w:t>
      </w:r>
      <w:bookmarkEnd w:id="140"/>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bookmarkStart w:id="141" w:name="_Toc426369512"/>
      <w:bookmarkStart w:id="142" w:name="_Toc12881"/>
      <w:bookmarkStart w:id="143" w:name="_Toc21662"/>
      <w:bookmarkStart w:id="144" w:name="_Toc403122522"/>
      <w:r>
        <w:rPr>
          <w:rFonts w:hint="eastAsia" w:asciiTheme="minorEastAsia" w:hAnsiTheme="minorEastAsia" w:eastAsiaTheme="minorEastAsia" w:cstheme="minorEastAsia"/>
          <w:color w:val="auto"/>
          <w:szCs w:val="21"/>
          <w:highlight w:val="none"/>
          <w:lang w:val="en-US" w:eastAsia="zh-CN"/>
        </w:rPr>
        <w:t>5.4.1</w:t>
      </w:r>
      <w:r>
        <w:rPr>
          <w:rFonts w:hint="eastAsia" w:asciiTheme="minorEastAsia" w:hAnsiTheme="minorEastAsia" w:eastAsiaTheme="minorEastAsia" w:cstheme="minorEastAsia"/>
          <w:color w:val="auto"/>
          <w:szCs w:val="21"/>
          <w:highlight w:val="none"/>
          <w:lang w:val="zh-CN"/>
        </w:rPr>
        <w:t>投标人对开标有异议的，应当在开标现场提出（</w:t>
      </w:r>
      <w:bookmarkStart w:id="145" w:name="_Toc12998"/>
      <w:r>
        <w:rPr>
          <w:rFonts w:hint="eastAsia" w:asciiTheme="minorEastAsia" w:hAnsiTheme="minorEastAsia" w:eastAsiaTheme="minorEastAsia" w:cstheme="minorEastAsia"/>
          <w:color w:val="auto"/>
          <w:szCs w:val="21"/>
          <w:highlight w:val="none"/>
          <w:lang w:val="zh-CN"/>
        </w:rPr>
        <w:t>语音异议</w:t>
      </w:r>
      <w:bookmarkEnd w:id="145"/>
      <w:r>
        <w:rPr>
          <w:rFonts w:hint="eastAsia" w:asciiTheme="minorEastAsia" w:hAnsiTheme="minorEastAsia" w:eastAsiaTheme="minorEastAsia" w:cstheme="minorEastAsia"/>
          <w:color w:val="auto"/>
          <w:szCs w:val="21"/>
          <w:highlight w:val="none"/>
          <w:lang w:val="zh-CN"/>
        </w:rPr>
        <w:t>、</w:t>
      </w:r>
      <w:bookmarkStart w:id="146" w:name="_Toc20745"/>
      <w:r>
        <w:rPr>
          <w:rFonts w:hint="eastAsia" w:asciiTheme="minorEastAsia" w:hAnsiTheme="minorEastAsia" w:eastAsiaTheme="minorEastAsia" w:cstheme="minorEastAsia"/>
          <w:color w:val="auto"/>
          <w:szCs w:val="21"/>
          <w:highlight w:val="none"/>
          <w:lang w:val="zh-CN"/>
        </w:rPr>
        <w:t>文字异议</w:t>
      </w:r>
      <w:bookmarkEnd w:id="146"/>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采购</w:t>
      </w:r>
      <w:r>
        <w:rPr>
          <w:rFonts w:hint="eastAsia" w:asciiTheme="minorEastAsia" w:hAnsiTheme="minorEastAsia" w:eastAsiaTheme="minorEastAsia" w:cstheme="minorEastAsia"/>
          <w:color w:val="auto"/>
          <w:szCs w:val="21"/>
          <w:highlight w:val="none"/>
          <w:lang w:val="zh-CN"/>
        </w:rPr>
        <w:t>人当场作出答复，并制作记录。</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en-US" w:eastAsia="zh-CN"/>
        </w:rPr>
        <w:t>5.4.2</w:t>
      </w:r>
      <w:r>
        <w:rPr>
          <w:rFonts w:hint="eastAsia" w:asciiTheme="minorEastAsia" w:hAnsiTheme="minorEastAsia" w:eastAsiaTheme="minorEastAsia" w:cstheme="minorEastAsia"/>
          <w:color w:val="auto"/>
          <w:szCs w:val="21"/>
          <w:highlight w:val="none"/>
          <w:lang w:val="zh-CN"/>
        </w:rPr>
        <w:t>开标异常处理</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当出现以下情况时，应对未开标的项目中止电子开标，对原有资料及信息作出妥善保密处理，并在恢复正常后及时安排时间开标：</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(l）系统服务器发生故障，无法访问或无法使用系统；</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en-US" w:eastAsia="zh-CN"/>
        </w:rPr>
        <w:t xml:space="preserve">(2） </w:t>
      </w:r>
      <w:r>
        <w:rPr>
          <w:rFonts w:hint="eastAsia" w:asciiTheme="minorEastAsia" w:hAnsiTheme="minorEastAsia" w:eastAsiaTheme="minorEastAsia" w:cstheme="minorEastAsia"/>
          <w:color w:val="auto"/>
          <w:szCs w:val="21"/>
          <w:highlight w:val="none"/>
          <w:lang w:val="zh-CN"/>
        </w:rPr>
        <w:t>系统的软件或数据库出现错误，不能进行正常操作；</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val="zh-CN"/>
        </w:rPr>
        <w:t>）系统发现有安全漏洞，有潜在的泄密危险；</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lang w:val="zh-CN"/>
        </w:rPr>
        <w:t>）出现断电事故且短时间内无法恢复供电；</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en-US" w:eastAsia="zh-CN"/>
        </w:rPr>
        <w:t xml:space="preserve">（5） </w:t>
      </w:r>
      <w:r>
        <w:rPr>
          <w:rFonts w:hint="eastAsia" w:asciiTheme="minorEastAsia" w:hAnsiTheme="minorEastAsia" w:eastAsiaTheme="minorEastAsia" w:cstheme="minorEastAsia"/>
          <w:color w:val="auto"/>
          <w:szCs w:val="21"/>
          <w:highlight w:val="none"/>
          <w:lang w:val="zh-CN"/>
        </w:rPr>
        <w:t>其他无法保证招投标过程正常进行的情形</w:t>
      </w:r>
      <w:r>
        <w:rPr>
          <w:rFonts w:hint="eastAsia" w:asciiTheme="minorEastAsia" w:hAnsiTheme="minorEastAsia" w:eastAsiaTheme="minorEastAsia" w:cstheme="minorEastAsia"/>
          <w:color w:val="auto"/>
          <w:szCs w:val="21"/>
          <w:highlight w:val="none"/>
          <w:lang w:val="zh-CN" w:eastAsia="zh-CN"/>
        </w:rPr>
        <w:t>；</w:t>
      </w:r>
    </w:p>
    <w:p>
      <w:pPr>
        <w:spacing w:line="400" w:lineRule="exact"/>
        <w:ind w:firstLine="422" w:firstLineChars="200"/>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5.</w:t>
      </w:r>
      <w:bookmarkStart w:id="147" w:name="_Toc13445"/>
      <w:bookmarkStart w:id="148" w:name="_Toc9927"/>
      <w:r>
        <w:rPr>
          <w:rFonts w:hint="eastAsia" w:asciiTheme="minorEastAsia" w:hAnsiTheme="minorEastAsia" w:eastAsiaTheme="minorEastAsia" w:cstheme="minorEastAsia"/>
          <w:b/>
          <w:bCs/>
          <w:color w:val="auto"/>
          <w:szCs w:val="21"/>
          <w:highlight w:val="none"/>
        </w:rPr>
        <w:t>5.资格审查工作</w:t>
      </w:r>
      <w:bookmarkEnd w:id="147"/>
      <w:bookmarkEnd w:id="148"/>
    </w:p>
    <w:p>
      <w:pPr>
        <w:spacing w:line="400" w:lineRule="exact"/>
        <w:ind w:firstLine="420" w:firstLineChars="200"/>
        <w:rPr>
          <w:rFonts w:asciiTheme="minorEastAsia" w:hAnsiTheme="minorEastAsia" w:eastAsiaTheme="minorEastAsia" w:cstheme="minorEastAsia"/>
          <w:color w:val="auto"/>
          <w:szCs w:val="21"/>
          <w:highlight w:val="none"/>
        </w:rPr>
      </w:pPr>
      <w:bookmarkStart w:id="149" w:name="_Toc18803"/>
      <w:bookmarkStart w:id="150" w:name="_Toc25275"/>
      <w:bookmarkStart w:id="151" w:name="_Toc18888"/>
      <w:bookmarkStart w:id="152" w:name="_Toc22488"/>
      <w:bookmarkStart w:id="153" w:name="_Toc15919"/>
      <w:bookmarkStart w:id="154" w:name="_Toc25448"/>
      <w:bookmarkStart w:id="155" w:name="_Toc18806"/>
      <w:r>
        <w:rPr>
          <w:rFonts w:hint="eastAsia" w:asciiTheme="minorEastAsia" w:hAnsiTheme="minorEastAsia" w:eastAsiaTheme="minorEastAsia" w:cstheme="minorEastAsia"/>
          <w:color w:val="auto"/>
          <w:szCs w:val="21"/>
          <w:highlight w:val="none"/>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49"/>
      <w:bookmarkEnd w:id="150"/>
      <w:bookmarkEnd w:id="151"/>
      <w:bookmarkEnd w:id="152"/>
      <w:bookmarkEnd w:id="153"/>
      <w:bookmarkEnd w:id="154"/>
      <w:bookmarkEnd w:id="155"/>
    </w:p>
    <w:p>
      <w:pPr>
        <w:pStyle w:val="6"/>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156" w:name="_Toc19898"/>
      <w:bookmarkStart w:id="157" w:name="_Toc6889"/>
      <w:r>
        <w:rPr>
          <w:rFonts w:hint="eastAsia" w:asciiTheme="minorEastAsia" w:hAnsiTheme="minorEastAsia" w:eastAsiaTheme="minorEastAsia" w:cstheme="minorEastAsia"/>
          <w:color w:val="auto"/>
          <w:sz w:val="24"/>
          <w:szCs w:val="24"/>
          <w:highlight w:val="none"/>
        </w:rPr>
        <w:t>6. 评标</w:t>
      </w:r>
      <w:bookmarkEnd w:id="141"/>
      <w:bookmarkEnd w:id="142"/>
      <w:bookmarkEnd w:id="143"/>
      <w:bookmarkEnd w:id="144"/>
      <w:bookmarkEnd w:id="156"/>
      <w:bookmarkEnd w:id="157"/>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58" w:name="_Toc403122523"/>
      <w:bookmarkStart w:id="159" w:name="_Toc274249606"/>
      <w:bookmarkStart w:id="160" w:name="_Toc279599802"/>
      <w:bookmarkStart w:id="161" w:name="_Toc426369513"/>
      <w:r>
        <w:rPr>
          <w:rFonts w:hint="eastAsia" w:asciiTheme="minorEastAsia" w:hAnsiTheme="minorEastAsia" w:eastAsiaTheme="minorEastAsia" w:cstheme="minorEastAsia"/>
          <w:b/>
          <w:bCs/>
          <w:color w:val="auto"/>
          <w:sz w:val="24"/>
          <w:highlight w:val="none"/>
        </w:rPr>
        <w:t>6.1 评标委员会</w:t>
      </w:r>
      <w:bookmarkEnd w:id="158"/>
      <w:bookmarkEnd w:id="159"/>
      <w:bookmarkEnd w:id="160"/>
      <w:bookmarkEnd w:id="161"/>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62" w:name="_Toc279599803"/>
      <w:bookmarkStart w:id="163" w:name="_Toc426369514"/>
      <w:bookmarkStart w:id="164" w:name="_Toc403122524"/>
      <w:bookmarkStart w:id="165" w:name="_Toc274249607"/>
      <w:r>
        <w:rPr>
          <w:rFonts w:hint="eastAsia" w:asciiTheme="minorEastAsia" w:hAnsiTheme="minorEastAsia" w:eastAsiaTheme="minorEastAsia" w:cstheme="minorEastAsia"/>
          <w:b/>
          <w:bCs/>
          <w:color w:val="auto"/>
          <w:sz w:val="24"/>
          <w:highlight w:val="none"/>
        </w:rPr>
        <w:t>6.2 评标原则</w:t>
      </w:r>
      <w:bookmarkEnd w:id="162"/>
      <w:bookmarkEnd w:id="163"/>
      <w:bookmarkEnd w:id="164"/>
      <w:bookmarkEnd w:id="165"/>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评标活动遵循公平、公正、科学和择优的原则。 </w:t>
      </w:r>
    </w:p>
    <w:p>
      <w:pPr>
        <w:spacing w:line="400" w:lineRule="exact"/>
        <w:ind w:firstLine="482" w:firstLineChars="200"/>
        <w:rPr>
          <w:rFonts w:hint="eastAsia" w:asciiTheme="minorEastAsia" w:hAnsiTheme="minorEastAsia" w:eastAsiaTheme="minorEastAsia" w:cstheme="minorEastAsia"/>
          <w:color w:val="auto"/>
          <w:szCs w:val="21"/>
          <w:highlight w:val="none"/>
        </w:rPr>
      </w:pPr>
      <w:bookmarkStart w:id="166" w:name="_Toc274249608"/>
      <w:bookmarkStart w:id="167" w:name="_Toc426369515"/>
      <w:bookmarkStart w:id="168" w:name="_Toc279599804"/>
      <w:bookmarkStart w:id="169" w:name="_Toc403122525"/>
      <w:r>
        <w:rPr>
          <w:rFonts w:hint="eastAsia" w:asciiTheme="minorEastAsia" w:hAnsiTheme="minorEastAsia" w:eastAsiaTheme="minorEastAsia" w:cstheme="minorEastAsia"/>
          <w:b/>
          <w:bCs/>
          <w:color w:val="auto"/>
          <w:sz w:val="24"/>
          <w:highlight w:val="none"/>
        </w:rPr>
        <w:t>6.3 评标</w:t>
      </w:r>
      <w:bookmarkEnd w:id="166"/>
      <w:bookmarkEnd w:id="167"/>
      <w:bookmarkEnd w:id="168"/>
      <w:bookmarkEnd w:id="169"/>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6.3.1</w:t>
      </w:r>
      <w:r>
        <w:rPr>
          <w:rFonts w:hint="eastAsia" w:asciiTheme="minorEastAsia" w:hAnsiTheme="minorEastAsia" w:eastAsiaTheme="minorEastAsia" w:cstheme="minorEastAsia"/>
          <w:color w:val="auto"/>
          <w:szCs w:val="21"/>
          <w:highlight w:val="none"/>
        </w:rPr>
        <w:t>在评审过程中，评标委员会发现投标人有下列情形之一的，视为投标人相互串通投标，按照无效投标处理并依据法律、法规追究其相关责任。具体表现形式如下：</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同投标人的投标文件由同一单位或者个人编制；</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（2）不同投标人委托同一单位或者个人办理投标事宜；</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（3）不同投标人的投标文件载明的项目管理成员或者联系人员为同一人；</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（4）不同投标人的投标文件异常一致或者投标报价呈规律性差异；</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）不同投标人的投标文件相互混装；</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）有证据证明投标人与</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、采购代理机构或者其他投标人串通的其他情形；</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6.3.</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6.3.</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（1）审查、评价投标文件是否符合招标文件的实质性要求；</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（2）要求投标人对投标文件有关事项作出澄清或者说明；</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（3）对投标文件进行比较和评价；</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（4）确定中标候选人名单；</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color w:val="auto"/>
          <w:spacing w:val="1"/>
          <w:kern w:val="0"/>
          <w:szCs w:val="21"/>
          <w:highlight w:val="none"/>
        </w:rPr>
      </w:pPr>
      <w:r>
        <w:rPr>
          <w:rFonts w:hint="eastAsia" w:ascii="宋体" w:hAnsi="宋体" w:cs="宋体"/>
          <w:b/>
          <w:bCs/>
          <w:color w:val="auto"/>
          <w:spacing w:val="1"/>
          <w:kern w:val="0"/>
          <w:szCs w:val="21"/>
          <w:highlight w:val="none"/>
        </w:rPr>
        <w:t>6.4  废标</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招标采购中，出现下列情形之一的，应予废标：</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（2）出现影响采购公正的违法、违规行为的；</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（3）投标人的报价均超过了采购预算，采购人不能支付的；</w:t>
      </w:r>
    </w:p>
    <w:p>
      <w:pPr>
        <w:spacing w:line="400" w:lineRule="exact"/>
        <w:ind w:firstLine="420" w:firstLineChars="200"/>
        <w:rPr>
          <w:color w:val="auto"/>
          <w:highlight w:val="none"/>
        </w:rPr>
      </w:pPr>
      <w:r>
        <w:rPr>
          <w:rFonts w:hint="eastAsia" w:asciiTheme="minorEastAsia" w:hAnsiTheme="minorEastAsia" w:eastAsiaTheme="minorEastAsia" w:cstheme="minorEastAsia"/>
          <w:color w:val="auto"/>
          <w:szCs w:val="21"/>
          <w:highlight w:val="none"/>
        </w:rPr>
        <w:t>（4）因重大变故，采购任务取消的。废标后，采购人应当将废标理由通知所有投标人。</w:t>
      </w:r>
    </w:p>
    <w:p>
      <w:pPr>
        <w:pStyle w:val="6"/>
        <w:spacing w:before="120" w:after="120" w:line="500" w:lineRule="exact"/>
        <w:ind w:right="-1029" w:rightChars="-490" w:firstLine="482" w:firstLineChars="200"/>
        <w:jc w:val="both"/>
        <w:rPr>
          <w:color w:val="auto"/>
          <w:highlight w:val="none"/>
        </w:rPr>
      </w:pPr>
      <w:bookmarkStart w:id="170" w:name="_Toc17811"/>
      <w:bookmarkStart w:id="171" w:name="_Toc426369516"/>
      <w:bookmarkStart w:id="172" w:name="_Toc26569"/>
      <w:bookmarkStart w:id="173" w:name="_Toc3678"/>
      <w:bookmarkStart w:id="174" w:name="_Toc403122526"/>
      <w:bookmarkStart w:id="175" w:name="_Toc22968"/>
      <w:r>
        <w:rPr>
          <w:rFonts w:hint="eastAsia" w:asciiTheme="minorEastAsia" w:hAnsiTheme="minorEastAsia" w:eastAsiaTheme="minorEastAsia" w:cstheme="minorEastAsia"/>
          <w:color w:val="auto"/>
          <w:sz w:val="24"/>
          <w:szCs w:val="24"/>
          <w:highlight w:val="none"/>
        </w:rPr>
        <w:t>7. 合同授予</w:t>
      </w:r>
      <w:bookmarkEnd w:id="170"/>
      <w:bookmarkEnd w:id="171"/>
      <w:bookmarkEnd w:id="172"/>
      <w:bookmarkEnd w:id="173"/>
      <w:bookmarkEnd w:id="174"/>
      <w:bookmarkEnd w:id="175"/>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76" w:name="_Toc279599806"/>
      <w:bookmarkStart w:id="177" w:name="_Toc274249610"/>
      <w:bookmarkStart w:id="178" w:name="_Toc426369517"/>
      <w:bookmarkStart w:id="179" w:name="_Toc403122527"/>
      <w:r>
        <w:rPr>
          <w:rFonts w:hint="eastAsia" w:asciiTheme="minorEastAsia" w:hAnsiTheme="minorEastAsia" w:eastAsiaTheme="minorEastAsia" w:cstheme="minorEastAsia"/>
          <w:b/>
          <w:bCs/>
          <w:color w:val="auto"/>
          <w:sz w:val="24"/>
          <w:highlight w:val="none"/>
        </w:rPr>
        <w:t>7.1 定标方式</w:t>
      </w:r>
      <w:bookmarkEnd w:id="176"/>
      <w:bookmarkEnd w:id="177"/>
      <w:bookmarkEnd w:id="178"/>
      <w:bookmarkEnd w:id="179"/>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7.1.1采购人依据评标委员会推荐的中标候选人确定中标人，评标委员会推荐中标人候选人的人数见供应商须知前附表。</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80" w:name="_Toc279599807"/>
      <w:bookmarkStart w:id="181" w:name="_Toc403122528"/>
      <w:bookmarkStart w:id="182" w:name="_Toc426369518"/>
      <w:bookmarkStart w:id="183" w:name="_Toc274249611"/>
      <w:r>
        <w:rPr>
          <w:rFonts w:hint="eastAsia" w:asciiTheme="minorEastAsia" w:hAnsiTheme="minorEastAsia" w:eastAsiaTheme="minorEastAsia" w:cstheme="minorEastAsia"/>
          <w:b/>
          <w:bCs/>
          <w:color w:val="auto"/>
          <w:sz w:val="24"/>
          <w:highlight w:val="none"/>
        </w:rPr>
        <w:t>7.2 中标通知</w:t>
      </w:r>
      <w:bookmarkEnd w:id="180"/>
      <w:bookmarkEnd w:id="181"/>
      <w:bookmarkEnd w:id="182"/>
      <w:bookmarkEnd w:id="183"/>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84" w:name="_Toc279599808"/>
      <w:bookmarkStart w:id="185" w:name="_Toc274249612"/>
      <w:bookmarkStart w:id="186" w:name="_Toc311550376"/>
      <w:bookmarkStart w:id="187" w:name="_Toc426369519"/>
      <w:bookmarkStart w:id="188" w:name="_Toc403122529"/>
      <w:r>
        <w:rPr>
          <w:rFonts w:hint="eastAsia" w:asciiTheme="minorEastAsia" w:hAnsiTheme="minorEastAsia" w:eastAsiaTheme="minorEastAsia" w:cstheme="minorEastAsia"/>
          <w:b/>
          <w:bCs/>
          <w:color w:val="auto"/>
          <w:sz w:val="24"/>
          <w:highlight w:val="none"/>
        </w:rPr>
        <w:t>7.3履约</w:t>
      </w:r>
      <w:bookmarkEnd w:id="184"/>
      <w:bookmarkEnd w:id="185"/>
      <w:bookmarkEnd w:id="186"/>
      <w:r>
        <w:rPr>
          <w:rFonts w:hint="eastAsia" w:asciiTheme="minorEastAsia" w:hAnsiTheme="minorEastAsia" w:eastAsiaTheme="minorEastAsia" w:cstheme="minorEastAsia"/>
          <w:b/>
          <w:bCs/>
          <w:color w:val="auto"/>
          <w:sz w:val="24"/>
          <w:highlight w:val="none"/>
        </w:rPr>
        <w:t>保证金</w:t>
      </w:r>
      <w:bookmarkEnd w:id="187"/>
      <w:bookmarkEnd w:id="188"/>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7.3.1履约保证金：无</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7.3.2投标保证金：无</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89" w:name="_Toc403122530"/>
      <w:bookmarkStart w:id="190" w:name="_Toc279599809"/>
      <w:bookmarkStart w:id="191" w:name="_Toc274249613"/>
      <w:bookmarkStart w:id="192" w:name="_Toc426369520"/>
      <w:r>
        <w:rPr>
          <w:rFonts w:hint="eastAsia" w:asciiTheme="minorEastAsia" w:hAnsiTheme="minorEastAsia" w:eastAsiaTheme="minorEastAsia" w:cstheme="minorEastAsia"/>
          <w:b/>
          <w:bCs/>
          <w:color w:val="auto"/>
          <w:sz w:val="24"/>
          <w:highlight w:val="none"/>
        </w:rPr>
        <w:t>7.4 签订合同</w:t>
      </w:r>
      <w:bookmarkEnd w:id="189"/>
      <w:bookmarkEnd w:id="190"/>
      <w:bookmarkEnd w:id="191"/>
      <w:bookmarkEnd w:id="192"/>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7.4.2  发出中标通知书后，采购人无正当理由拒签合同的，给中标人造成损失的，还应当赔偿损失。</w:t>
      </w:r>
    </w:p>
    <w:p>
      <w:pPr>
        <w:pStyle w:val="6"/>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193" w:name="_Toc10541"/>
      <w:bookmarkStart w:id="194" w:name="_Toc30325"/>
      <w:bookmarkStart w:id="195" w:name="_Toc403122531"/>
      <w:bookmarkStart w:id="196" w:name="_Toc426369521"/>
      <w:bookmarkStart w:id="197" w:name="_Toc10417"/>
      <w:bookmarkStart w:id="198" w:name="_Toc30009"/>
      <w:r>
        <w:rPr>
          <w:rFonts w:hint="eastAsia" w:asciiTheme="minorEastAsia" w:hAnsiTheme="minorEastAsia" w:eastAsiaTheme="minorEastAsia" w:cstheme="minorEastAsia"/>
          <w:color w:val="auto"/>
          <w:sz w:val="24"/>
          <w:szCs w:val="24"/>
          <w:highlight w:val="none"/>
        </w:rPr>
        <w:t>8. 重新招标</w:t>
      </w:r>
      <w:bookmarkEnd w:id="193"/>
      <w:bookmarkEnd w:id="194"/>
      <w:bookmarkEnd w:id="195"/>
      <w:bookmarkEnd w:id="196"/>
      <w:bookmarkEnd w:id="197"/>
      <w:bookmarkEnd w:id="198"/>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99" w:name="_Toc274249615"/>
      <w:bookmarkStart w:id="200" w:name="_Toc279599811"/>
      <w:bookmarkStart w:id="201" w:name="_Toc426369522"/>
      <w:bookmarkStart w:id="202" w:name="_Toc403122532"/>
      <w:r>
        <w:rPr>
          <w:rFonts w:hint="eastAsia" w:asciiTheme="minorEastAsia" w:hAnsiTheme="minorEastAsia" w:eastAsiaTheme="minorEastAsia" w:cstheme="minorEastAsia"/>
          <w:b/>
          <w:bCs/>
          <w:color w:val="auto"/>
          <w:sz w:val="24"/>
          <w:highlight w:val="none"/>
        </w:rPr>
        <w:t>8.1 重新招标</w:t>
      </w:r>
      <w:bookmarkEnd w:id="199"/>
      <w:bookmarkEnd w:id="200"/>
      <w:bookmarkEnd w:id="201"/>
      <w:bookmarkEnd w:id="202"/>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有下列情形之一的，采购人将重新招标：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（1）投标截止时间止，供应商少于3个的；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（2）经评标委员会评审后否决所有投标的。 </w:t>
      </w:r>
    </w:p>
    <w:p>
      <w:pPr>
        <w:pStyle w:val="6"/>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203" w:name="_Toc27398"/>
      <w:bookmarkStart w:id="204" w:name="_Toc403122533"/>
      <w:bookmarkStart w:id="205" w:name="_Toc426369523"/>
      <w:bookmarkStart w:id="206" w:name="_Toc3760"/>
      <w:bookmarkStart w:id="207" w:name="_Toc17817"/>
      <w:bookmarkStart w:id="208" w:name="_Toc10372"/>
      <w:r>
        <w:rPr>
          <w:rFonts w:hint="eastAsia" w:asciiTheme="minorEastAsia" w:hAnsiTheme="minorEastAsia" w:eastAsiaTheme="minorEastAsia" w:cstheme="minorEastAsia"/>
          <w:color w:val="auto"/>
          <w:sz w:val="24"/>
          <w:szCs w:val="24"/>
          <w:highlight w:val="none"/>
        </w:rPr>
        <w:t>9. 纪律和监督</w:t>
      </w:r>
      <w:bookmarkEnd w:id="203"/>
      <w:bookmarkEnd w:id="204"/>
      <w:bookmarkEnd w:id="205"/>
      <w:bookmarkEnd w:id="206"/>
      <w:bookmarkEnd w:id="207"/>
      <w:bookmarkEnd w:id="208"/>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09" w:name="_Toc426369524"/>
      <w:bookmarkStart w:id="210" w:name="_Toc274249618"/>
      <w:bookmarkStart w:id="211" w:name="_Toc403122534"/>
      <w:bookmarkStart w:id="212" w:name="_Toc279599814"/>
      <w:r>
        <w:rPr>
          <w:rFonts w:hint="eastAsia" w:asciiTheme="minorEastAsia" w:hAnsiTheme="minorEastAsia" w:eastAsiaTheme="minorEastAsia" w:cstheme="minorEastAsia"/>
          <w:b/>
          <w:bCs/>
          <w:color w:val="auto"/>
          <w:sz w:val="24"/>
          <w:highlight w:val="none"/>
        </w:rPr>
        <w:t>9.1 对采购人的纪律要求</w:t>
      </w:r>
      <w:bookmarkEnd w:id="209"/>
      <w:bookmarkEnd w:id="210"/>
      <w:bookmarkEnd w:id="211"/>
      <w:bookmarkEnd w:id="212"/>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13" w:name="_Toc279599815"/>
      <w:bookmarkStart w:id="214" w:name="_Toc274249619"/>
      <w:bookmarkStart w:id="215" w:name="_Toc426369525"/>
      <w:bookmarkStart w:id="216" w:name="_Toc403122535"/>
      <w:r>
        <w:rPr>
          <w:rFonts w:hint="eastAsia" w:asciiTheme="minorEastAsia" w:hAnsiTheme="minorEastAsia" w:eastAsiaTheme="minorEastAsia" w:cstheme="minorEastAsia"/>
          <w:b/>
          <w:bCs/>
          <w:color w:val="auto"/>
          <w:sz w:val="24"/>
          <w:highlight w:val="none"/>
        </w:rPr>
        <w:t>9.2 对投标人的纪律要求</w:t>
      </w:r>
      <w:bookmarkEnd w:id="213"/>
      <w:bookmarkEnd w:id="214"/>
      <w:bookmarkEnd w:id="215"/>
      <w:bookmarkEnd w:id="216"/>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17" w:name="_Toc274249620"/>
      <w:bookmarkStart w:id="218" w:name="_Toc279599816"/>
      <w:bookmarkStart w:id="219" w:name="_Toc426369526"/>
      <w:bookmarkStart w:id="220" w:name="_Toc403122536"/>
      <w:r>
        <w:rPr>
          <w:rFonts w:hint="eastAsia" w:asciiTheme="minorEastAsia" w:hAnsiTheme="minorEastAsia" w:eastAsiaTheme="minorEastAsia" w:cstheme="minorEastAsia"/>
          <w:b/>
          <w:bCs/>
          <w:color w:val="auto"/>
          <w:sz w:val="24"/>
          <w:highlight w:val="none"/>
        </w:rPr>
        <w:t>9.3 对评标委员会成员的纪律要求</w:t>
      </w:r>
      <w:bookmarkEnd w:id="217"/>
      <w:bookmarkEnd w:id="218"/>
      <w:bookmarkEnd w:id="219"/>
      <w:bookmarkEnd w:id="220"/>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21" w:name="_Toc274249621"/>
      <w:bookmarkStart w:id="222" w:name="_Toc279599817"/>
      <w:bookmarkStart w:id="223" w:name="_Toc426369527"/>
      <w:bookmarkStart w:id="224" w:name="_Toc403122537"/>
      <w:r>
        <w:rPr>
          <w:rFonts w:hint="eastAsia" w:asciiTheme="minorEastAsia" w:hAnsiTheme="minorEastAsia" w:eastAsiaTheme="minorEastAsia" w:cstheme="minorEastAsia"/>
          <w:b/>
          <w:bCs/>
          <w:color w:val="auto"/>
          <w:sz w:val="24"/>
          <w:highlight w:val="none"/>
        </w:rPr>
        <w:t>9.4 对与评标活动有关的工作人员的纪律要求</w:t>
      </w:r>
      <w:bookmarkEnd w:id="221"/>
      <w:bookmarkEnd w:id="222"/>
      <w:bookmarkEnd w:id="223"/>
      <w:bookmarkEnd w:id="224"/>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25" w:name="_Toc274249622"/>
      <w:bookmarkStart w:id="226" w:name="_Toc279599818"/>
      <w:bookmarkStart w:id="227" w:name="_Toc403122538"/>
      <w:bookmarkStart w:id="228" w:name="_Toc426369528"/>
      <w:r>
        <w:rPr>
          <w:rFonts w:hint="eastAsia" w:asciiTheme="minorEastAsia" w:hAnsiTheme="minorEastAsia" w:eastAsiaTheme="minorEastAsia" w:cstheme="minorEastAsia"/>
          <w:b/>
          <w:bCs/>
          <w:color w:val="auto"/>
          <w:sz w:val="24"/>
          <w:highlight w:val="none"/>
        </w:rPr>
        <w:t>9.5 投诉</w:t>
      </w:r>
      <w:bookmarkEnd w:id="225"/>
      <w:bookmarkEnd w:id="226"/>
      <w:bookmarkEnd w:id="227"/>
      <w:bookmarkEnd w:id="228"/>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供应商和其他利害关系人认为本次招标活动违反法律、法规和规章规定的，有权向有关行政监督部门投诉。 </w:t>
      </w:r>
    </w:p>
    <w:p>
      <w:pPr>
        <w:pStyle w:val="6"/>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229" w:name="_Toc10880"/>
      <w:bookmarkStart w:id="230" w:name="_Toc403122539"/>
      <w:bookmarkStart w:id="231" w:name="_Toc29091"/>
      <w:bookmarkStart w:id="232" w:name="_Toc426369529"/>
      <w:bookmarkStart w:id="233" w:name="_Toc25080"/>
      <w:bookmarkStart w:id="234" w:name="_Toc13281"/>
      <w:r>
        <w:rPr>
          <w:rFonts w:hint="eastAsia" w:asciiTheme="minorEastAsia" w:hAnsiTheme="minorEastAsia" w:eastAsiaTheme="minorEastAsia" w:cstheme="minorEastAsia"/>
          <w:color w:val="auto"/>
          <w:sz w:val="24"/>
          <w:szCs w:val="24"/>
          <w:highlight w:val="none"/>
        </w:rPr>
        <w:t>10. 需要补充的其他内容</w:t>
      </w:r>
      <w:bookmarkEnd w:id="229"/>
      <w:bookmarkEnd w:id="230"/>
      <w:bookmarkEnd w:id="231"/>
      <w:bookmarkEnd w:id="232"/>
      <w:bookmarkEnd w:id="233"/>
      <w:bookmarkEnd w:id="234"/>
    </w:p>
    <w:p>
      <w:pPr>
        <w:autoSpaceDE w:val="0"/>
        <w:autoSpaceDN w:val="0"/>
        <w:adjustRightInd w:val="0"/>
        <w:spacing w:line="440" w:lineRule="exact"/>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10.1 费用承担</w:t>
      </w:r>
    </w:p>
    <w:p>
      <w:pPr>
        <w:autoSpaceDE w:val="0"/>
        <w:autoSpaceDN w:val="0"/>
        <w:adjustRightInd w:val="0"/>
        <w:spacing w:line="440" w:lineRule="exact"/>
        <w:ind w:left="17" w:leftChars="8" w:firstLine="420" w:firstLineChars="200"/>
        <w:jc w:val="left"/>
        <w:rPr>
          <w:rFonts w:ascii="宋体" w:hAnsi="宋体" w:cs="宋体"/>
          <w:color w:val="auto"/>
          <w:szCs w:val="21"/>
          <w:highlight w:val="none"/>
        </w:rPr>
      </w:pPr>
      <w:r>
        <w:rPr>
          <w:rFonts w:hint="eastAsia" w:ascii="宋体" w:hAnsi="宋体" w:cs="宋体"/>
          <w:color w:val="auto"/>
          <w:szCs w:val="21"/>
          <w:highlight w:val="none"/>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color w:val="auto"/>
          <w:szCs w:val="21"/>
          <w:highlight w:val="none"/>
        </w:rPr>
      </w:pPr>
      <w:r>
        <w:rPr>
          <w:rFonts w:hint="eastAsia" w:ascii="宋体" w:hAnsi="宋体" w:cs="宋体"/>
          <w:color w:val="auto"/>
          <w:szCs w:val="21"/>
          <w:highlight w:val="none"/>
        </w:rPr>
        <w:t>（2）招标代理服务费由中标人支付。</w:t>
      </w:r>
    </w:p>
    <w:p>
      <w:pPr>
        <w:autoSpaceDE w:val="0"/>
        <w:autoSpaceDN w:val="0"/>
        <w:adjustRightInd w:val="0"/>
        <w:spacing w:line="500" w:lineRule="exact"/>
        <w:ind w:firstLine="420"/>
        <w:jc w:val="left"/>
        <w:rPr>
          <w:rFonts w:ascii="宋体" w:hAnsi="宋体" w:cs="宋体"/>
          <w:color w:val="auto"/>
          <w:szCs w:val="21"/>
          <w:highlight w:val="none"/>
        </w:rPr>
      </w:pPr>
      <w:r>
        <w:rPr>
          <w:rFonts w:hint="eastAsia" w:ascii="宋体" w:hAnsi="宋体" w:cs="宋体"/>
          <w:color w:val="auto"/>
          <w:szCs w:val="21"/>
          <w:highlight w:val="none"/>
        </w:rPr>
        <w:t>（3）供应商与采购人签订合同后，将合同报采购代理机构备案。</w:t>
      </w:r>
    </w:p>
    <w:p>
      <w:pPr>
        <w:pStyle w:val="37"/>
        <w:ind w:firstLine="482" w:firstLineChars="200"/>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10.2本招标文件未尽事宜，按《中华人民共和国政府采购法》等法律法规的有关规定执行。</w:t>
      </w:r>
    </w:p>
    <w:p>
      <w:pPr>
        <w:pStyle w:val="2"/>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br w:type="page"/>
      </w:r>
    </w:p>
    <w:p>
      <w:pPr>
        <w:pStyle w:val="6"/>
        <w:numPr>
          <w:ilvl w:val="0"/>
          <w:numId w:val="8"/>
        </w:numPr>
        <w:spacing w:line="600" w:lineRule="exact"/>
        <w:ind w:right="-63" w:rightChars="-30"/>
        <w:rPr>
          <w:rFonts w:asciiTheme="minorEastAsia" w:hAnsiTheme="minorEastAsia" w:eastAsiaTheme="minorEastAsia" w:cstheme="minorEastAsia"/>
          <w:color w:val="auto"/>
          <w:sz w:val="36"/>
          <w:szCs w:val="36"/>
          <w:highlight w:val="none"/>
        </w:rPr>
      </w:pPr>
      <w:bookmarkStart w:id="235" w:name="_Toc403122540"/>
      <w:bookmarkStart w:id="236" w:name="_Toc28433"/>
      <w:bookmarkStart w:id="237" w:name="_Toc426369530"/>
      <w:bookmarkStart w:id="238" w:name="_Toc21008"/>
      <w:r>
        <w:rPr>
          <w:rFonts w:hint="eastAsia" w:asciiTheme="minorEastAsia" w:hAnsiTheme="minorEastAsia" w:eastAsiaTheme="minorEastAsia" w:cstheme="minorEastAsia"/>
          <w:color w:val="auto"/>
          <w:sz w:val="36"/>
          <w:szCs w:val="36"/>
          <w:highlight w:val="none"/>
        </w:rPr>
        <w:t>评标办法</w:t>
      </w:r>
      <w:bookmarkEnd w:id="235"/>
      <w:bookmarkEnd w:id="236"/>
      <w:bookmarkEnd w:id="237"/>
      <w:r>
        <w:rPr>
          <w:rFonts w:hint="eastAsia" w:asciiTheme="minorEastAsia" w:hAnsiTheme="minorEastAsia" w:eastAsiaTheme="minorEastAsia" w:cstheme="minorEastAsia"/>
          <w:color w:val="auto"/>
          <w:sz w:val="36"/>
          <w:szCs w:val="36"/>
          <w:highlight w:val="none"/>
        </w:rPr>
        <w:t>（综合评分法）</w:t>
      </w:r>
      <w:bookmarkEnd w:id="238"/>
    </w:p>
    <w:p>
      <w:pPr>
        <w:pStyle w:val="38"/>
        <w:spacing w:line="540" w:lineRule="exact"/>
        <w:jc w:val="center"/>
        <w:outlineLvl w:val="2"/>
        <w:rPr>
          <w:rFonts w:asciiTheme="minorEastAsia" w:hAnsiTheme="minorEastAsia" w:eastAsiaTheme="minorEastAsia" w:cstheme="minorEastAsia"/>
          <w:b/>
          <w:bCs/>
          <w:color w:val="auto"/>
          <w:sz w:val="28"/>
          <w:szCs w:val="28"/>
          <w:highlight w:val="none"/>
        </w:rPr>
      </w:pPr>
      <w:bookmarkStart w:id="239" w:name="_Toc9561"/>
      <w:bookmarkStart w:id="240" w:name="_Toc12381"/>
      <w:bookmarkStart w:id="241" w:name="_Toc17859"/>
      <w:bookmarkStart w:id="242" w:name="_Toc21885"/>
      <w:bookmarkStart w:id="243" w:name="_Toc30933"/>
      <w:bookmarkStart w:id="244" w:name="_Toc29947"/>
      <w:bookmarkStart w:id="245" w:name="_Toc16529"/>
      <w:bookmarkStart w:id="246" w:name="_Toc2761070"/>
      <w:r>
        <w:rPr>
          <w:rFonts w:hint="eastAsia" w:asciiTheme="minorEastAsia" w:hAnsiTheme="minorEastAsia" w:eastAsiaTheme="minorEastAsia" w:cstheme="minorEastAsia"/>
          <w:b/>
          <w:bCs/>
          <w:color w:val="auto"/>
          <w:sz w:val="28"/>
          <w:szCs w:val="28"/>
          <w:highlight w:val="none"/>
        </w:rPr>
        <w:t>评分办法前附表</w:t>
      </w:r>
      <w:bookmarkEnd w:id="239"/>
      <w:bookmarkEnd w:id="240"/>
      <w:bookmarkEnd w:id="241"/>
      <w:bookmarkEnd w:id="242"/>
      <w:bookmarkEnd w:id="243"/>
      <w:bookmarkEnd w:id="244"/>
    </w:p>
    <w:bookmarkEnd w:id="245"/>
    <w:tbl>
      <w:tblPr>
        <w:tblStyle w:val="25"/>
        <w:tblpPr w:leftFromText="180" w:rightFromText="180" w:vertAnchor="text" w:horzAnchor="page" w:tblpX="1155" w:tblpY="363"/>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2163"/>
        <w:gridCol w:w="5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trPr>
        <w:tc>
          <w:tcPr>
            <w:tcW w:w="1095" w:type="dxa"/>
            <w:noWrap w:val="0"/>
            <w:vAlign w:val="center"/>
          </w:tcPr>
          <w:p>
            <w:pPr>
              <w:spacing w:line="500" w:lineRule="exact"/>
              <w:jc w:val="center"/>
              <w:rPr>
                <w:rFonts w:ascii="宋体" w:hAnsi="宋体" w:cs="宋体"/>
                <w:b/>
                <w:color w:val="000000"/>
                <w:szCs w:val="21"/>
              </w:rPr>
            </w:pPr>
            <w:bookmarkStart w:id="247" w:name="_Toc403122541"/>
            <w:bookmarkStart w:id="248" w:name="_Toc426369531"/>
            <w:bookmarkStart w:id="249" w:name="_Toc31084"/>
            <w:r>
              <w:rPr>
                <w:rFonts w:hint="eastAsia" w:ascii="宋体" w:hAnsi="宋体" w:cs="宋体"/>
                <w:b/>
                <w:bCs/>
                <w:color w:val="000000"/>
                <w:kern w:val="0"/>
                <w:szCs w:val="21"/>
              </w:rPr>
              <w:t>审查主体</w:t>
            </w:r>
          </w:p>
        </w:tc>
        <w:tc>
          <w:tcPr>
            <w:tcW w:w="3258" w:type="dxa"/>
            <w:gridSpan w:val="2"/>
            <w:noWrap w:val="0"/>
            <w:vAlign w:val="center"/>
          </w:tcPr>
          <w:p>
            <w:pPr>
              <w:spacing w:line="500" w:lineRule="exact"/>
              <w:jc w:val="center"/>
              <w:rPr>
                <w:rFonts w:ascii="宋体" w:hAnsi="宋体" w:cs="宋体"/>
                <w:b/>
                <w:color w:val="000000"/>
                <w:szCs w:val="21"/>
              </w:rPr>
            </w:pPr>
            <w:r>
              <w:rPr>
                <w:rFonts w:hint="eastAsia" w:ascii="宋体" w:hAnsi="宋体" w:cs="宋体"/>
                <w:b/>
                <w:color w:val="000000"/>
                <w:szCs w:val="21"/>
              </w:rPr>
              <w:t>评审因素</w:t>
            </w:r>
          </w:p>
        </w:tc>
        <w:tc>
          <w:tcPr>
            <w:tcW w:w="5523" w:type="dxa"/>
            <w:noWrap w:val="0"/>
            <w:vAlign w:val="center"/>
          </w:tcPr>
          <w:p>
            <w:pPr>
              <w:tabs>
                <w:tab w:val="left" w:pos="417"/>
                <w:tab w:val="center" w:pos="2999"/>
              </w:tabs>
              <w:spacing w:line="500" w:lineRule="exact"/>
              <w:jc w:val="left"/>
              <w:rPr>
                <w:rFonts w:ascii="宋体" w:hAnsi="宋体" w:cs="宋体"/>
                <w:b/>
                <w:color w:val="000000"/>
                <w:szCs w:val="21"/>
              </w:rPr>
            </w:pPr>
            <w:r>
              <w:rPr>
                <w:rFonts w:hint="eastAsia" w:ascii="宋体" w:hAnsi="宋体" w:cs="宋体"/>
                <w:b/>
                <w:color w:val="000000"/>
                <w:szCs w:val="21"/>
              </w:rPr>
              <w:tab/>
            </w:r>
            <w:r>
              <w:rPr>
                <w:rFonts w:hint="eastAsia" w:ascii="宋体" w:hAnsi="宋体" w:cs="宋体"/>
                <w:b/>
                <w:color w:val="000000"/>
                <w:szCs w:val="21"/>
              </w:rPr>
              <w:tab/>
            </w:r>
            <w:r>
              <w:rPr>
                <w:rFonts w:hint="eastAsia" w:ascii="宋体" w:hAnsi="宋体" w:cs="宋体"/>
                <w:b/>
                <w:color w:val="00000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exact"/>
        </w:trPr>
        <w:tc>
          <w:tcPr>
            <w:tcW w:w="1095" w:type="dxa"/>
            <w:vMerge w:val="restart"/>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资格审查小组</w:t>
            </w:r>
          </w:p>
        </w:tc>
        <w:tc>
          <w:tcPr>
            <w:tcW w:w="1095" w:type="dxa"/>
            <w:vMerge w:val="restart"/>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一、资格评审标准</w:t>
            </w:r>
          </w:p>
        </w:tc>
        <w:tc>
          <w:tcPr>
            <w:tcW w:w="2163" w:type="dxa"/>
            <w:noWrap w:val="0"/>
            <w:vAlign w:val="center"/>
          </w:tcPr>
          <w:p>
            <w:pPr>
              <w:spacing w:line="500" w:lineRule="exact"/>
              <w:jc w:val="left"/>
              <w:rPr>
                <w:rFonts w:ascii="宋体" w:hAnsi="宋体" w:cs="宋体"/>
                <w:color w:val="000000"/>
                <w:szCs w:val="21"/>
              </w:rPr>
            </w:pPr>
            <w:r>
              <w:rPr>
                <w:rFonts w:hint="eastAsia" w:ascii="宋体" w:hAnsi="宋体" w:cs="宋体"/>
                <w:color w:val="000000"/>
                <w:szCs w:val="21"/>
              </w:rPr>
              <w:t>营业执照、税务登记证、组织机构代码证</w:t>
            </w:r>
          </w:p>
        </w:tc>
        <w:tc>
          <w:tcPr>
            <w:tcW w:w="5523" w:type="dxa"/>
            <w:noWrap w:val="0"/>
            <w:vAlign w:val="center"/>
          </w:tcPr>
          <w:p>
            <w:pPr>
              <w:spacing w:line="500" w:lineRule="exact"/>
              <w:jc w:val="left"/>
              <w:rPr>
                <w:rFonts w:ascii="宋体" w:hAnsi="宋体" w:cs="宋体"/>
                <w:color w:val="000000"/>
                <w:szCs w:val="21"/>
              </w:rPr>
            </w:pPr>
            <w:r>
              <w:rPr>
                <w:rFonts w:hint="eastAsia" w:ascii="宋体" w:hAnsi="宋体" w:cs="宋体"/>
                <w:color w:val="000000"/>
                <w:szCs w:val="21"/>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trPr>
        <w:tc>
          <w:tcPr>
            <w:tcW w:w="1095" w:type="dxa"/>
            <w:vMerge w:val="continue"/>
            <w:noWrap w:val="0"/>
            <w:vAlign w:val="center"/>
          </w:tcPr>
          <w:p>
            <w:pPr>
              <w:spacing w:line="500" w:lineRule="exact"/>
              <w:jc w:val="center"/>
              <w:rPr>
                <w:rFonts w:ascii="宋体" w:hAnsi="宋体" w:cs="宋体"/>
                <w:color w:val="000000"/>
                <w:szCs w:val="21"/>
              </w:rPr>
            </w:pPr>
          </w:p>
        </w:tc>
        <w:tc>
          <w:tcPr>
            <w:tcW w:w="1095" w:type="dxa"/>
            <w:vMerge w:val="continue"/>
            <w:noWrap w:val="0"/>
            <w:vAlign w:val="center"/>
          </w:tcPr>
          <w:p>
            <w:pPr>
              <w:spacing w:line="500" w:lineRule="exact"/>
              <w:jc w:val="center"/>
              <w:rPr>
                <w:rFonts w:ascii="宋体" w:hAnsi="宋体" w:cs="宋体"/>
                <w:color w:val="000000"/>
                <w:szCs w:val="21"/>
              </w:rPr>
            </w:pPr>
          </w:p>
        </w:tc>
        <w:tc>
          <w:tcPr>
            <w:tcW w:w="2163" w:type="dxa"/>
            <w:noWrap w:val="0"/>
            <w:vAlign w:val="center"/>
          </w:tcPr>
          <w:p>
            <w:pPr>
              <w:spacing w:line="500" w:lineRule="exact"/>
              <w:jc w:val="left"/>
              <w:rPr>
                <w:rFonts w:ascii="宋体" w:hAnsi="宋体" w:cs="宋体"/>
                <w:color w:val="000000"/>
                <w:szCs w:val="21"/>
              </w:rPr>
            </w:pPr>
            <w:r>
              <w:rPr>
                <w:rFonts w:hint="eastAsia" w:ascii="宋体" w:hAnsi="宋体" w:cs="宋体"/>
                <w:color w:val="000000"/>
                <w:szCs w:val="21"/>
              </w:rPr>
              <w:t>法定代表人证明或法人授权委托书</w:t>
            </w:r>
          </w:p>
        </w:tc>
        <w:tc>
          <w:tcPr>
            <w:tcW w:w="5523" w:type="dxa"/>
            <w:noWrap w:val="0"/>
            <w:vAlign w:val="center"/>
          </w:tcPr>
          <w:p>
            <w:pPr>
              <w:spacing w:line="500" w:lineRule="exact"/>
              <w:jc w:val="left"/>
              <w:rPr>
                <w:rFonts w:ascii="宋体" w:hAnsi="宋体" w:cs="宋体"/>
                <w:color w:val="000000"/>
                <w:szCs w:val="21"/>
              </w:rPr>
            </w:pPr>
            <w:r>
              <w:rPr>
                <w:rFonts w:hint="eastAsia" w:ascii="宋体" w:hAnsi="宋体" w:cs="宋体"/>
                <w:color w:val="000000"/>
                <w:szCs w:val="21"/>
              </w:rPr>
              <w:t>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6" w:hRule="atLeast"/>
        </w:trPr>
        <w:tc>
          <w:tcPr>
            <w:tcW w:w="1095" w:type="dxa"/>
            <w:vMerge w:val="continue"/>
            <w:noWrap w:val="0"/>
            <w:vAlign w:val="center"/>
          </w:tcPr>
          <w:p>
            <w:pPr>
              <w:spacing w:line="500" w:lineRule="exact"/>
              <w:jc w:val="center"/>
              <w:rPr>
                <w:rFonts w:ascii="宋体" w:hAnsi="宋体" w:cs="宋体"/>
                <w:color w:val="000000"/>
                <w:szCs w:val="21"/>
              </w:rPr>
            </w:pPr>
          </w:p>
        </w:tc>
        <w:tc>
          <w:tcPr>
            <w:tcW w:w="1095" w:type="dxa"/>
            <w:vMerge w:val="continue"/>
            <w:noWrap w:val="0"/>
            <w:vAlign w:val="center"/>
          </w:tcPr>
          <w:p>
            <w:pPr>
              <w:spacing w:line="500" w:lineRule="exact"/>
              <w:jc w:val="center"/>
              <w:rPr>
                <w:rFonts w:ascii="宋体" w:hAnsi="宋体" w:cs="宋体"/>
                <w:color w:val="000000"/>
                <w:szCs w:val="21"/>
              </w:rPr>
            </w:pPr>
          </w:p>
        </w:tc>
        <w:tc>
          <w:tcPr>
            <w:tcW w:w="2163" w:type="dxa"/>
            <w:noWrap w:val="0"/>
            <w:vAlign w:val="center"/>
          </w:tcPr>
          <w:p>
            <w:pPr>
              <w:spacing w:line="500" w:lineRule="exact"/>
              <w:jc w:val="left"/>
              <w:rPr>
                <w:rFonts w:ascii="宋体" w:hAnsi="宋体" w:cs="宋体"/>
                <w:color w:val="000000"/>
                <w:szCs w:val="21"/>
              </w:rPr>
            </w:pPr>
            <w:r>
              <w:rPr>
                <w:rFonts w:hint="eastAsia" w:ascii="宋体" w:hAnsi="宋体" w:cs="宋体"/>
                <w:color w:val="000000"/>
                <w:szCs w:val="21"/>
              </w:rPr>
              <w:t>信誉要求</w:t>
            </w:r>
          </w:p>
        </w:tc>
        <w:tc>
          <w:tcPr>
            <w:tcW w:w="5523" w:type="dxa"/>
            <w:noWrap w:val="0"/>
            <w:vAlign w:val="center"/>
          </w:tcPr>
          <w:p>
            <w:pPr>
              <w:spacing w:line="500" w:lineRule="exact"/>
              <w:jc w:val="left"/>
              <w:rPr>
                <w:rFonts w:ascii="宋体" w:hAnsi="宋体" w:cs="宋体"/>
                <w:color w:val="000000"/>
                <w:szCs w:val="21"/>
              </w:rPr>
            </w:pPr>
            <w:r>
              <w:rPr>
                <w:rFonts w:hint="eastAsia" w:ascii="宋体" w:hAnsi="宋体" w:cs="宋体"/>
                <w:color w:val="000000"/>
                <w:sz w:val="21"/>
                <w:szCs w:val="21"/>
              </w:rPr>
              <w:t>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095" w:type="dxa"/>
            <w:vMerge w:val="continue"/>
            <w:tcBorders>
              <w:bottom w:val="single" w:color="auto" w:sz="4" w:space="0"/>
            </w:tcBorders>
            <w:noWrap w:val="0"/>
            <w:vAlign w:val="center"/>
          </w:tcPr>
          <w:p>
            <w:pPr>
              <w:spacing w:line="500" w:lineRule="exact"/>
              <w:jc w:val="center"/>
              <w:rPr>
                <w:rFonts w:ascii="宋体" w:hAnsi="宋体" w:cs="宋体"/>
                <w:color w:val="000000"/>
                <w:szCs w:val="21"/>
              </w:rPr>
            </w:pPr>
          </w:p>
        </w:tc>
        <w:tc>
          <w:tcPr>
            <w:tcW w:w="1095" w:type="dxa"/>
            <w:vMerge w:val="continue"/>
            <w:tcBorders>
              <w:bottom w:val="single" w:color="auto" w:sz="4" w:space="0"/>
            </w:tcBorders>
            <w:noWrap w:val="0"/>
            <w:vAlign w:val="center"/>
          </w:tcPr>
          <w:p>
            <w:pPr>
              <w:spacing w:line="500" w:lineRule="exact"/>
              <w:jc w:val="center"/>
              <w:rPr>
                <w:rFonts w:ascii="宋体" w:hAnsi="宋体" w:cs="宋体"/>
                <w:color w:val="000000"/>
                <w:szCs w:val="21"/>
              </w:rPr>
            </w:pPr>
          </w:p>
        </w:tc>
        <w:tc>
          <w:tcPr>
            <w:tcW w:w="2163" w:type="dxa"/>
            <w:tcBorders>
              <w:bottom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其他要求</w:t>
            </w:r>
          </w:p>
        </w:tc>
        <w:tc>
          <w:tcPr>
            <w:tcW w:w="5523" w:type="dxa"/>
            <w:tcBorders>
              <w:bottom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符合招标文件资格要求的其他要求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09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评标委员会</w:t>
            </w:r>
          </w:p>
        </w:tc>
        <w:tc>
          <w:tcPr>
            <w:tcW w:w="109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二、形式评审标准</w:t>
            </w: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投标人名称</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投标函签字盖章</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投标文件格式</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p>
        </w:tc>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报价唯一</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1095" w:type="dxa"/>
            <w:vMerge w:val="restart"/>
            <w:tcBorders>
              <w:top w:val="single" w:color="auto" w:sz="4" w:space="0"/>
              <w:left w:val="single" w:color="auto" w:sz="4" w:space="0"/>
              <w:right w:val="single" w:color="auto" w:sz="4" w:space="0"/>
            </w:tcBorders>
            <w:noWrap w:val="0"/>
            <w:vAlign w:val="top"/>
          </w:tcPr>
          <w:p>
            <w:pPr>
              <w:spacing w:line="500" w:lineRule="exact"/>
              <w:rPr>
                <w:rFonts w:hint="eastAsia" w:ascii="宋体" w:hAnsi="宋体" w:cs="宋体"/>
                <w:color w:val="000000"/>
                <w:szCs w:val="21"/>
              </w:rPr>
            </w:pPr>
          </w:p>
          <w:p>
            <w:pPr>
              <w:spacing w:line="500" w:lineRule="exact"/>
              <w:rPr>
                <w:rFonts w:hint="eastAsia" w:ascii="宋体" w:hAnsi="宋体" w:cs="宋体"/>
                <w:color w:val="000000"/>
                <w:szCs w:val="21"/>
              </w:rPr>
            </w:pPr>
          </w:p>
          <w:p>
            <w:pPr>
              <w:spacing w:line="500" w:lineRule="exact"/>
              <w:rPr>
                <w:rFonts w:ascii="宋体" w:hAnsi="宋体" w:cs="宋体"/>
                <w:color w:val="000000"/>
                <w:szCs w:val="21"/>
              </w:rPr>
            </w:pPr>
            <w:r>
              <w:rPr>
                <w:rFonts w:hint="eastAsia" w:ascii="宋体" w:hAnsi="宋体" w:cs="宋体"/>
                <w:color w:val="000000"/>
                <w:szCs w:val="21"/>
              </w:rPr>
              <w:t>三、响应性评审标准</w:t>
            </w: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highlight w:val="none"/>
              </w:rPr>
            </w:pPr>
            <w:r>
              <w:rPr>
                <w:rFonts w:hint="eastAsia" w:ascii="宋体" w:hAnsi="宋体" w:cs="宋体"/>
                <w:bCs/>
                <w:iCs/>
                <w:color w:val="000000"/>
                <w:szCs w:val="21"/>
                <w:highlight w:val="none"/>
              </w:rPr>
              <w:t>供货安装期</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highlight w:val="none"/>
              </w:rPr>
            </w:pP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质  量</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合格，符合国家及行业规范标准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highlight w:val="none"/>
              </w:rPr>
            </w:pPr>
            <w:r>
              <w:rPr>
                <w:rFonts w:hint="eastAsia" w:ascii="宋体" w:hAnsi="宋体" w:cs="宋体"/>
                <w:color w:val="000000"/>
                <w:szCs w:val="21"/>
                <w:highlight w:val="none"/>
              </w:rPr>
              <w:t>质保期</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highlight w:val="none"/>
              </w:rPr>
            </w:pPr>
            <w:r>
              <w:rPr>
                <w:rFonts w:hint="eastAsia" w:ascii="宋体" w:hAnsi="宋体" w:cs="宋体"/>
                <w:color w:val="000000"/>
                <w:szCs w:val="21"/>
                <w:highlight w:val="none"/>
                <w:lang w:eastAsia="zh-CN"/>
              </w:rPr>
              <w:t>三</w:t>
            </w:r>
            <w:r>
              <w:rPr>
                <w:rFonts w:hint="eastAsia" w:ascii="宋体" w:hAnsi="宋体" w:cs="宋体"/>
                <w:color w:val="000000"/>
                <w:szCs w:val="21"/>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商务报价</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投标有效期</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权利义务</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1095" w:type="dxa"/>
            <w:vMerge w:val="continue"/>
            <w:tcBorders>
              <w:left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采购内容及要求</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符合第五章</w:t>
            </w:r>
            <w:r>
              <w:rPr>
                <w:rFonts w:hint="eastAsia" w:ascii="宋体" w:hAnsi="宋体" w:cs="宋体"/>
                <w:color w:val="000000"/>
                <w:szCs w:val="21"/>
                <w:highlight w:val="none"/>
              </w:rPr>
              <w:t>“采购内容及要求”规定，若不符合第五章采购内容及要求规</w:t>
            </w:r>
            <w:r>
              <w:rPr>
                <w:rFonts w:hint="eastAsia" w:ascii="宋体" w:hAnsi="宋体" w:cs="宋体"/>
                <w:color w:val="000000"/>
                <w:szCs w:val="21"/>
              </w:rPr>
              <w:t>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1095" w:type="dxa"/>
            <w:vMerge w:val="continue"/>
            <w:tcBorders>
              <w:left w:val="single" w:color="auto" w:sz="4" w:space="0"/>
              <w:bottom w:val="single" w:color="auto" w:sz="4" w:space="0"/>
              <w:right w:val="single" w:color="auto" w:sz="4" w:space="0"/>
            </w:tcBorders>
            <w:noWrap w:val="0"/>
            <w:vAlign w:val="top"/>
          </w:tcPr>
          <w:p>
            <w:pPr>
              <w:spacing w:line="500" w:lineRule="exact"/>
              <w:rPr>
                <w:rFonts w:ascii="宋体" w:hAnsi="宋体" w:cs="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宋体" w:hAnsi="宋体" w:cs="宋体"/>
                <w:color w:val="000000"/>
                <w:szCs w:val="21"/>
              </w:rPr>
            </w:pPr>
            <w:r>
              <w:rPr>
                <w:rFonts w:hint="eastAsia" w:ascii="宋体" w:hAnsi="宋体" w:cs="宋体"/>
                <w:color w:val="000000"/>
                <w:szCs w:val="21"/>
              </w:rPr>
              <w:t>投标文件的其他响应</w:t>
            </w:r>
          </w:p>
        </w:tc>
        <w:tc>
          <w:tcPr>
            <w:tcW w:w="552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宋体" w:hAnsi="宋体" w:cs="宋体"/>
                <w:color w:val="000000"/>
                <w:szCs w:val="21"/>
              </w:rPr>
            </w:pPr>
            <w:r>
              <w:rPr>
                <w:rFonts w:hint="eastAsia" w:ascii="宋体" w:hAnsi="宋体" w:cs="宋体"/>
                <w:color w:val="000000"/>
                <w:szCs w:val="21"/>
              </w:rPr>
              <w:t>符合法律、法规和招标文件中规定的其他实质性要求的</w:t>
            </w:r>
          </w:p>
        </w:tc>
      </w:tr>
    </w:tbl>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
        <w:gridCol w:w="998"/>
        <w:gridCol w:w="968"/>
        <w:gridCol w:w="968"/>
        <w:gridCol w:w="6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79"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序号</w:t>
            </w:r>
          </w:p>
        </w:tc>
        <w:tc>
          <w:tcPr>
            <w:tcW w:w="998"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内容</w:t>
            </w:r>
          </w:p>
        </w:tc>
        <w:tc>
          <w:tcPr>
            <w:tcW w:w="968"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评标因素</w:t>
            </w:r>
          </w:p>
        </w:tc>
        <w:tc>
          <w:tcPr>
            <w:tcW w:w="968"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分值</w:t>
            </w:r>
          </w:p>
        </w:tc>
        <w:tc>
          <w:tcPr>
            <w:tcW w:w="6673"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79"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47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1</w:t>
            </w:r>
          </w:p>
        </w:tc>
        <w:tc>
          <w:tcPr>
            <w:tcW w:w="99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投标报价（3</w:t>
            </w:r>
            <w:r>
              <w:rPr>
                <w:rFonts w:hint="eastAsia" w:ascii="宋体" w:hAnsi="宋体" w:cs="宋体"/>
                <w:color w:val="000000"/>
                <w:sz w:val="18"/>
                <w:szCs w:val="18"/>
                <w:lang w:val="en-US" w:eastAsia="zh-CN"/>
              </w:rPr>
              <w:t>5</w:t>
            </w:r>
            <w:r>
              <w:rPr>
                <w:rFonts w:hint="eastAsia" w:ascii="宋体" w:hAnsi="宋体" w:cs="宋体"/>
                <w:color w:val="000000"/>
                <w:sz w:val="18"/>
                <w:szCs w:val="18"/>
              </w:rPr>
              <w:t>分）</w:t>
            </w:r>
          </w:p>
        </w:tc>
        <w:tc>
          <w:tcPr>
            <w:tcW w:w="96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投标报价</w:t>
            </w:r>
          </w:p>
        </w:tc>
        <w:tc>
          <w:tcPr>
            <w:tcW w:w="96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auto"/>
                <w:sz w:val="18"/>
                <w:szCs w:val="18"/>
                <w:highlight w:val="none"/>
              </w:rPr>
              <w:t>3</w:t>
            </w:r>
            <w:r>
              <w:rPr>
                <w:rFonts w:hint="eastAsia" w:ascii="宋体" w:hAnsi="宋体" w:cs="宋体"/>
                <w:color w:val="auto"/>
                <w:sz w:val="18"/>
                <w:szCs w:val="18"/>
                <w:highlight w:val="none"/>
                <w:lang w:val="en-US" w:eastAsia="zh-CN"/>
              </w:rPr>
              <w:t>5</w:t>
            </w:r>
            <w:r>
              <w:rPr>
                <w:rFonts w:hint="eastAsia" w:ascii="宋体" w:hAnsi="宋体" w:cs="宋体"/>
                <w:color w:val="auto"/>
                <w:sz w:val="18"/>
                <w:szCs w:val="18"/>
                <w:highlight w:val="none"/>
              </w:rPr>
              <w:t>分</w:t>
            </w: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满足招标文件要求且投标价格最低的投标报价（含小微企业、监狱企业和残疾人福利性单位产品的评标价）为评标基准价，其价格分为满分3</w:t>
            </w:r>
            <w:r>
              <w:rPr>
                <w:rFonts w:hint="eastAsia" w:ascii="宋体" w:hAnsi="宋体" w:cs="宋体"/>
                <w:color w:val="000000"/>
                <w:sz w:val="18"/>
                <w:szCs w:val="18"/>
                <w:lang w:val="en-US" w:eastAsia="zh-CN"/>
              </w:rPr>
              <w:t>5</w:t>
            </w:r>
            <w:r>
              <w:rPr>
                <w:rFonts w:hint="eastAsia" w:ascii="宋体" w:hAnsi="宋体" w:cs="宋体"/>
                <w:color w:val="000000"/>
                <w:sz w:val="18"/>
                <w:szCs w:val="18"/>
              </w:rPr>
              <w:t>分。其他投标人的价格得分，统一按照下列公式计算：投标报价得分=(评标基准价/评标价)×3</w:t>
            </w:r>
            <w:r>
              <w:rPr>
                <w:rFonts w:hint="eastAsia" w:ascii="宋体" w:hAnsi="宋体" w:cs="宋体"/>
                <w:color w:val="000000"/>
                <w:sz w:val="18"/>
                <w:szCs w:val="18"/>
                <w:lang w:val="en-US" w:eastAsia="zh-CN"/>
              </w:rPr>
              <w:t>5</w:t>
            </w:r>
            <w:r>
              <w:rPr>
                <w:rFonts w:hint="eastAsia" w:ascii="宋体" w:hAnsi="宋体" w:cs="宋体"/>
                <w:color w:val="000000"/>
                <w:sz w:val="18"/>
                <w:szCs w:val="18"/>
              </w:rPr>
              <w:t>，计算过程按四舍五入，保留两位小数。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479" w:type="dxa"/>
            <w:vMerge w:val="restart"/>
            <w:tcBorders>
              <w:top w:val="single" w:color="auto" w:sz="4" w:space="0"/>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2</w:t>
            </w:r>
          </w:p>
        </w:tc>
        <w:tc>
          <w:tcPr>
            <w:tcW w:w="998" w:type="dxa"/>
            <w:vMerge w:val="restart"/>
            <w:tcBorders>
              <w:top w:val="single" w:color="auto" w:sz="4" w:space="0"/>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rPr>
              <w:t>技术部分（3</w:t>
            </w:r>
            <w:r>
              <w:rPr>
                <w:rFonts w:hint="eastAsia" w:ascii="宋体" w:hAnsi="宋体" w:cs="宋体"/>
                <w:color w:val="000000"/>
                <w:sz w:val="18"/>
                <w:szCs w:val="18"/>
                <w:highlight w:val="none"/>
                <w:lang w:val="en-US" w:eastAsia="zh-CN"/>
              </w:rPr>
              <w:t>7</w:t>
            </w:r>
            <w:r>
              <w:rPr>
                <w:rFonts w:hint="eastAsia" w:ascii="宋体" w:hAnsi="宋体" w:cs="宋体"/>
                <w:color w:val="000000"/>
                <w:sz w:val="18"/>
                <w:szCs w:val="18"/>
                <w:highlight w:val="none"/>
              </w:rPr>
              <w:t>分）</w:t>
            </w:r>
          </w:p>
        </w:tc>
        <w:tc>
          <w:tcPr>
            <w:tcW w:w="968" w:type="dxa"/>
            <w:vMerge w:val="restart"/>
            <w:tcBorders>
              <w:top w:val="single" w:color="auto" w:sz="4" w:space="0"/>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rPr>
              <w:t>技术部分3</w:t>
            </w:r>
            <w:r>
              <w:rPr>
                <w:rFonts w:hint="eastAsia" w:ascii="宋体" w:hAnsi="宋体" w:cs="宋体"/>
                <w:color w:val="000000"/>
                <w:sz w:val="18"/>
                <w:szCs w:val="18"/>
                <w:highlight w:val="none"/>
                <w:lang w:val="en-US" w:eastAsia="zh-CN"/>
              </w:rPr>
              <w:t>7</w:t>
            </w:r>
            <w:r>
              <w:rPr>
                <w:rFonts w:hint="eastAsia" w:ascii="宋体" w:hAnsi="宋体" w:cs="宋体"/>
                <w:color w:val="000000"/>
                <w:sz w:val="18"/>
                <w:szCs w:val="18"/>
                <w:highlight w:val="none"/>
              </w:rPr>
              <w:t>分</w:t>
            </w:r>
          </w:p>
        </w:tc>
        <w:tc>
          <w:tcPr>
            <w:tcW w:w="968" w:type="dxa"/>
            <w:tcBorders>
              <w:top w:val="single" w:color="auto" w:sz="4" w:space="0"/>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技术参数（</w:t>
            </w:r>
            <w:r>
              <w:rPr>
                <w:rFonts w:hint="eastAsia" w:ascii="宋体" w:hAnsi="宋体" w:cs="宋体"/>
                <w:color w:val="000000"/>
                <w:sz w:val="18"/>
                <w:szCs w:val="18"/>
                <w:highlight w:val="none"/>
                <w:lang w:val="en-US" w:eastAsia="zh-CN"/>
              </w:rPr>
              <w:t>22分</w:t>
            </w:r>
            <w:r>
              <w:rPr>
                <w:rFonts w:hint="eastAsia" w:ascii="宋体" w:hAnsi="宋体" w:cs="宋体"/>
                <w:color w:val="000000"/>
                <w:sz w:val="18"/>
                <w:szCs w:val="18"/>
                <w:highlight w:val="none"/>
                <w:lang w:eastAsia="zh-CN"/>
              </w:rPr>
              <w:t>）</w:t>
            </w: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rPr>
              <w:t>投标货物的技术参数完全满足招标文件项目清单设备参数要求的得基本分</w:t>
            </w:r>
            <w:r>
              <w:rPr>
                <w:rFonts w:hint="eastAsia" w:ascii="宋体" w:hAnsi="宋体" w:cs="宋体"/>
                <w:color w:val="000000"/>
                <w:sz w:val="18"/>
                <w:szCs w:val="18"/>
                <w:highlight w:val="none"/>
                <w:lang w:val="en-US" w:eastAsia="zh-CN"/>
              </w:rPr>
              <w:t>22</w:t>
            </w:r>
            <w:r>
              <w:rPr>
                <w:rFonts w:hint="eastAsia" w:ascii="宋体" w:hAnsi="宋体" w:cs="宋体"/>
                <w:color w:val="000000"/>
                <w:sz w:val="18"/>
                <w:szCs w:val="18"/>
                <w:highlight w:val="none"/>
              </w:rPr>
              <w:t>分</w:t>
            </w:r>
            <w:r>
              <w:rPr>
                <w:rFonts w:hint="eastAsia" w:ascii="宋体" w:hAnsi="宋体" w:cs="宋体"/>
                <w:color w:val="000000"/>
                <w:sz w:val="18"/>
                <w:szCs w:val="18"/>
                <w:highlight w:val="none"/>
                <w:lang w:eastAsia="zh-CN"/>
              </w:rPr>
              <w:t>，</w:t>
            </w:r>
          </w:p>
          <w:p>
            <w:pPr>
              <w:spacing w:line="500" w:lineRule="exact"/>
              <w:jc w:val="left"/>
              <w:rPr>
                <w:rFonts w:hint="eastAsia" w:ascii="宋体" w:hAnsi="宋体" w:cs="宋体"/>
                <w:color w:val="000000"/>
                <w:sz w:val="18"/>
                <w:szCs w:val="18"/>
                <w:highlight w:val="none"/>
                <w:lang w:val="zh-CN"/>
              </w:rPr>
            </w:pPr>
            <w:r>
              <w:rPr>
                <w:rFonts w:hint="eastAsia" w:ascii="宋体" w:hAnsi="宋体" w:cs="宋体"/>
                <w:color w:val="000000"/>
                <w:sz w:val="18"/>
                <w:szCs w:val="18"/>
                <w:highlight w:val="none"/>
              </w:rPr>
              <w:t>以下要求的参数，如果能按照要求提供相应文件证明的,在基本分基础上相应加分。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highlight w:val="none"/>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highlight w:val="none"/>
              </w:rPr>
            </w:pPr>
          </w:p>
        </w:tc>
        <w:tc>
          <w:tcPr>
            <w:tcW w:w="968" w:type="dxa"/>
            <w:vMerge w:val="restart"/>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val="zh-CN"/>
              </w:rPr>
              <w:t>一．900W环保车辆人脸卡口抓拍单元</w:t>
            </w:r>
            <w:r>
              <w:rPr>
                <w:rFonts w:hint="eastAsia" w:ascii="宋体" w:hAnsi="宋体" w:cs="宋体"/>
                <w:color w:val="000000"/>
                <w:sz w:val="18"/>
                <w:szCs w:val="18"/>
                <w:highlight w:val="none"/>
              </w:rPr>
              <w:t>（共6分）</w:t>
            </w: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highlight w:val="none"/>
              </w:rPr>
            </w:pPr>
            <w:r>
              <w:rPr>
                <w:rFonts w:hint="eastAsia" w:ascii="宋体" w:hAnsi="宋体" w:cs="宋体"/>
                <w:color w:val="000000"/>
                <w:sz w:val="18"/>
                <w:szCs w:val="18"/>
                <w:highlight w:val="none"/>
              </w:rPr>
              <w:t>1. 支持车辆子品牌识别功能，通过车头可识别</w:t>
            </w:r>
            <w:r>
              <w:rPr>
                <w:rFonts w:hint="eastAsia" w:ascii="宋体" w:hAnsi="宋体" w:cs="宋体"/>
                <w:color w:val="000000"/>
                <w:sz w:val="18"/>
                <w:szCs w:val="18"/>
                <w:highlight w:val="none"/>
                <w:lang w:eastAsia="zh-CN"/>
              </w:rPr>
              <w:t>不低于</w:t>
            </w:r>
            <w:r>
              <w:rPr>
                <w:rFonts w:hint="eastAsia" w:ascii="宋体" w:hAnsi="宋体" w:cs="宋体"/>
                <w:color w:val="000000"/>
                <w:sz w:val="18"/>
                <w:szCs w:val="18"/>
                <w:highlight w:val="none"/>
              </w:rPr>
              <w:t>7100种，通过车尾可识别</w:t>
            </w:r>
            <w:r>
              <w:rPr>
                <w:rFonts w:hint="eastAsia" w:ascii="宋体" w:hAnsi="宋体" w:cs="宋体"/>
                <w:color w:val="000000"/>
                <w:sz w:val="18"/>
                <w:szCs w:val="18"/>
                <w:highlight w:val="none"/>
                <w:lang w:eastAsia="zh-CN"/>
              </w:rPr>
              <w:t>不低于</w:t>
            </w:r>
            <w:r>
              <w:rPr>
                <w:rFonts w:hint="eastAsia" w:ascii="宋体" w:hAnsi="宋体" w:cs="宋体"/>
                <w:color w:val="000000"/>
                <w:sz w:val="18"/>
                <w:szCs w:val="18"/>
                <w:highlight w:val="none"/>
              </w:rPr>
              <w:t>3800种，全天识别准确率不低于99%，得1分。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2. 支持人脸目标抓拍头肩照或全景照，模式可选，得1分。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highlight w:val="none"/>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highlight w:val="none"/>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highlight w:val="none"/>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highlight w:val="none"/>
              </w:rPr>
            </w:pPr>
            <w:r>
              <w:rPr>
                <w:rFonts w:hint="eastAsia" w:ascii="宋体" w:hAnsi="宋体" w:cs="宋体"/>
                <w:color w:val="000000"/>
                <w:sz w:val="18"/>
                <w:szCs w:val="18"/>
                <w:highlight w:val="none"/>
              </w:rPr>
              <w:t>3. 支持识别车标类型≥450种；在天气晴朗无雾，车辆无遮挡，白天环境光照度不低于</w:t>
            </w:r>
            <w:r>
              <w:rPr>
                <w:rFonts w:hint="eastAsia" w:ascii="宋体" w:hAnsi="宋体" w:cs="宋体"/>
                <w:color w:val="000000"/>
                <w:sz w:val="18"/>
                <w:szCs w:val="18"/>
                <w:highlight w:val="none"/>
                <w:lang w:val="en-US" w:eastAsia="zh-CN"/>
              </w:rPr>
              <w:t xml:space="preserve">  </w:t>
            </w:r>
            <w:r>
              <w:rPr>
                <w:rFonts w:hint="eastAsia" w:ascii="宋体" w:hAnsi="宋体" w:cs="宋体"/>
                <w:color w:val="000000"/>
                <w:sz w:val="18"/>
                <w:szCs w:val="18"/>
                <w:highlight w:val="none"/>
              </w:rPr>
              <w:t>200</w:t>
            </w:r>
            <w:r>
              <w:rPr>
                <w:rFonts w:hint="eastAsia" w:ascii="宋体" w:hAnsi="宋体" w:cs="宋体"/>
                <w:color w:val="000000"/>
                <w:sz w:val="18"/>
                <w:szCs w:val="18"/>
                <w:highlight w:val="none"/>
                <w:lang w:val="en-US" w:eastAsia="zh-CN"/>
              </w:rPr>
              <w:t xml:space="preserve"> </w:t>
            </w:r>
            <w:r>
              <w:rPr>
                <w:rFonts w:hint="eastAsia" w:ascii="宋体" w:hAnsi="宋体" w:cs="宋体"/>
                <w:color w:val="000000"/>
                <w:sz w:val="18"/>
                <w:szCs w:val="18"/>
                <w:highlight w:val="none"/>
              </w:rPr>
              <w:t>lx，夜晚辅助光照度不高于30</w:t>
            </w:r>
            <w:r>
              <w:rPr>
                <w:rFonts w:hint="eastAsia" w:ascii="宋体" w:hAnsi="宋体" w:cs="宋体"/>
                <w:color w:val="000000"/>
                <w:sz w:val="18"/>
                <w:szCs w:val="18"/>
                <w:highlight w:val="none"/>
                <w:lang w:val="en-US" w:eastAsia="zh-CN"/>
              </w:rPr>
              <w:t xml:space="preserve"> </w:t>
            </w:r>
            <w:r>
              <w:rPr>
                <w:rFonts w:hint="eastAsia" w:ascii="宋体" w:hAnsi="宋体" w:cs="宋体"/>
                <w:color w:val="000000"/>
                <w:sz w:val="18"/>
                <w:szCs w:val="18"/>
                <w:highlight w:val="none"/>
              </w:rPr>
              <w:t>lx的情况下进行测试；白天车标识别准确率≥99%；晚上车标识别准确率≥99%，得1分。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4. 支持驾驶人脸部特征信息大于50×50个像素点、夜间环境照度在10lx~30lx范围的情况下，配合LED补光与红外爆闪补光，输出高清人脸抠图，得1分。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5. 配合爆闪灯，样机可穿透车窗遮光条显示驾驶员头部画面 ，得1分。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6.支持侧脸过滤功能，过滤的人脸上下、左右角度阈值可设置，得1分。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注：以上1-6项开标时须提供公安部检测评测机构出具的检测证明复印件并加盖产品制造商公章，否则不得分；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restart"/>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lang w:val="zh-CN"/>
              </w:rPr>
              <w:t>二.</w:t>
            </w:r>
            <w:r>
              <w:rPr>
                <w:rFonts w:hint="eastAsia" w:ascii="宋体" w:hAnsi="宋体" w:cs="宋体"/>
                <w:color w:val="000000"/>
                <w:sz w:val="18"/>
                <w:szCs w:val="18"/>
              </w:rPr>
              <w:t xml:space="preserve"> </w:t>
            </w:r>
            <w:r>
              <w:rPr>
                <w:rFonts w:hint="eastAsia" w:ascii="宋体" w:hAnsi="宋体" w:cs="宋体"/>
                <w:color w:val="000000"/>
                <w:sz w:val="18"/>
                <w:szCs w:val="18"/>
                <w:lang w:val="zh-CN"/>
              </w:rPr>
              <w:t>800万黑光级双舱全结构化摄像机（</w:t>
            </w:r>
            <w:r>
              <w:rPr>
                <w:rFonts w:hint="eastAsia" w:ascii="宋体" w:hAnsi="宋体" w:cs="宋体"/>
                <w:color w:val="000000"/>
                <w:sz w:val="18"/>
                <w:szCs w:val="18"/>
              </w:rPr>
              <w:t>共6分</w:t>
            </w:r>
            <w:r>
              <w:rPr>
                <w:rFonts w:hint="eastAsia" w:ascii="宋体" w:hAnsi="宋体" w:cs="宋体"/>
                <w:color w:val="000000"/>
                <w:sz w:val="18"/>
                <w:szCs w:val="18"/>
                <w:lang w:val="zh-CN"/>
              </w:rPr>
              <w:t>）</w:t>
            </w: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1. 具有4个图像传感器和3个镜头，得1分。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2. 当监控场景无目标时，补光灯处于低亮模式；当设备全景采集通道检测到目标后，可自动将补光灯调节至高亮模式，并支持目标跟踪、检测、筛选、抓拍、分析属性信息和上报功能，得1分。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3. 具有耀光抑制功能，耀光区域≤1%。，得1分。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4. 采用金属外壳，下置藏线盒，得1分。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5. 支持混合抓拍模式，可同时对行人、非机动车、机动车进行检测、跟踪及抓拍，得1分。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6. 在混合抓拍模式下，行人、非机动车和机动车目标捕获率不低于99%，得1分。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注：以上1-6项开标时须提供公安部检测评测机构出具的检测证明复印件并加盖产品制造商公章，否则不得分；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restart"/>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lang w:val="zh-CN"/>
              </w:rPr>
              <w:t>三.</w:t>
            </w:r>
            <w:r>
              <w:rPr>
                <w:rFonts w:hint="eastAsia" w:ascii="宋体" w:hAnsi="宋体" w:cs="宋体"/>
                <w:color w:val="000000"/>
                <w:sz w:val="18"/>
                <w:szCs w:val="18"/>
              </w:rPr>
              <w:t xml:space="preserve"> </w:t>
            </w:r>
            <w:r>
              <w:rPr>
                <w:rFonts w:hint="eastAsia" w:ascii="宋体" w:hAnsi="宋体" w:cs="宋体"/>
                <w:color w:val="000000"/>
                <w:sz w:val="18"/>
                <w:szCs w:val="18"/>
                <w:lang w:val="zh-CN"/>
              </w:rPr>
              <w:t>数据分析服务器（</w:t>
            </w:r>
            <w:r>
              <w:rPr>
                <w:rFonts w:hint="eastAsia" w:ascii="宋体" w:hAnsi="宋体" w:cs="宋体"/>
                <w:color w:val="000000"/>
                <w:sz w:val="18"/>
                <w:szCs w:val="18"/>
              </w:rPr>
              <w:t>共3分</w:t>
            </w:r>
            <w:r>
              <w:rPr>
                <w:rFonts w:hint="eastAsia" w:ascii="宋体" w:hAnsi="宋体" w:cs="宋体"/>
                <w:color w:val="000000"/>
                <w:sz w:val="18"/>
                <w:szCs w:val="18"/>
                <w:lang w:val="zh-CN"/>
              </w:rPr>
              <w:t>）</w:t>
            </w:r>
          </w:p>
        </w:tc>
        <w:tc>
          <w:tcPr>
            <w:tcW w:w="6673" w:type="dxa"/>
            <w:tcBorders>
              <w:top w:val="single" w:color="auto" w:sz="4" w:space="0"/>
              <w:left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1.支持通过深度学习算法模型，自动识别画面中的人、机动车和非机动车，按照人、机动车、非机动车的目标进行识别和分类，得1分。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2.支持对人脸图片识别人脸性别；人脸性别检出率不低于99%；人脸性别识别准确率不低于99% 准确率=正检/ (正检+误检），得1分。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3.支持对已存储的人脸抓拍库进行历史过人记录查询，用于对历史的人脸抓拍记录进行回溯，得1分。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注：以上1-3项开标时须提供公安部检测评测机构出具的检测证明复印件并加盖产品制造商公章，否则不得分；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479" w:type="dxa"/>
            <w:vMerge w:val="restart"/>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3</w:t>
            </w:r>
          </w:p>
        </w:tc>
        <w:tc>
          <w:tcPr>
            <w:tcW w:w="998"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商务部分（1</w:t>
            </w:r>
            <w:r>
              <w:rPr>
                <w:rFonts w:hint="eastAsia" w:ascii="宋体" w:hAnsi="宋体" w:cs="宋体"/>
                <w:color w:val="000000"/>
                <w:sz w:val="18"/>
                <w:szCs w:val="18"/>
                <w:lang w:val="en-US" w:eastAsia="zh-CN"/>
              </w:rPr>
              <w:t>5</w:t>
            </w:r>
            <w:r>
              <w:rPr>
                <w:rFonts w:hint="eastAsia" w:ascii="宋体" w:hAnsi="宋体" w:cs="宋体"/>
                <w:color w:val="000000"/>
                <w:sz w:val="18"/>
                <w:szCs w:val="18"/>
              </w:rPr>
              <w:t>分）</w:t>
            </w:r>
          </w:p>
        </w:tc>
        <w:tc>
          <w:tcPr>
            <w:tcW w:w="968"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综合实力（1</w:t>
            </w:r>
            <w:r>
              <w:rPr>
                <w:rFonts w:hint="eastAsia" w:ascii="宋体" w:hAnsi="宋体" w:cs="宋体"/>
                <w:color w:val="000000"/>
                <w:sz w:val="18"/>
                <w:szCs w:val="18"/>
                <w:lang w:val="en-US" w:eastAsia="zh-CN"/>
              </w:rPr>
              <w:t>5</w:t>
            </w:r>
            <w:r>
              <w:rPr>
                <w:rFonts w:hint="eastAsia" w:ascii="宋体" w:hAnsi="宋体" w:cs="宋体"/>
                <w:color w:val="000000"/>
                <w:sz w:val="18"/>
                <w:szCs w:val="18"/>
              </w:rPr>
              <w:t>分）</w:t>
            </w:r>
          </w:p>
        </w:tc>
        <w:tc>
          <w:tcPr>
            <w:tcW w:w="968"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rPr>
              <w:t>1</w:t>
            </w:r>
            <w:r>
              <w:rPr>
                <w:rFonts w:hint="eastAsia" w:ascii="宋体" w:hAnsi="宋体" w:cs="宋体"/>
                <w:color w:val="000000"/>
                <w:sz w:val="18"/>
                <w:szCs w:val="18"/>
                <w:lang w:val="en-US" w:eastAsia="zh-CN"/>
              </w:rPr>
              <w:t>5</w:t>
            </w:r>
            <w:r>
              <w:rPr>
                <w:rFonts w:hint="eastAsia" w:ascii="宋体" w:hAnsi="宋体" w:cs="宋体"/>
                <w:color w:val="000000"/>
                <w:sz w:val="18"/>
                <w:szCs w:val="18"/>
              </w:rPr>
              <w:t>分</w:t>
            </w: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lang w:val="zh-CN"/>
              </w:rPr>
            </w:pPr>
            <w:r>
              <w:rPr>
                <w:rFonts w:hint="eastAsia" w:ascii="宋体" w:hAnsi="宋体" w:cs="宋体"/>
                <w:color w:val="000000"/>
                <w:sz w:val="18"/>
                <w:szCs w:val="18"/>
                <w:lang w:val="zh-CN"/>
              </w:rPr>
              <w:t>1、所投产品（900W环保车辆人脸卡口抓拍单元、400万像素红外全景球机、800万黑光级双舱全结构化摄像机、数据分析服务器、云存储视频存储单元）制造商具有公安部重点实验室的</w:t>
            </w:r>
            <w:r>
              <w:rPr>
                <w:rFonts w:hint="eastAsia" w:ascii="宋体" w:hAnsi="宋体" w:cs="宋体"/>
                <w:color w:val="000000"/>
                <w:sz w:val="18"/>
                <w:szCs w:val="18"/>
                <w:highlight w:val="none"/>
                <w:lang w:val="zh-CN"/>
              </w:rPr>
              <w:t>，得3分，</w:t>
            </w:r>
            <w:r>
              <w:rPr>
                <w:rFonts w:hint="eastAsia" w:ascii="宋体" w:hAnsi="宋体" w:cs="宋体"/>
                <w:color w:val="000000"/>
                <w:sz w:val="18"/>
                <w:szCs w:val="18"/>
                <w:lang w:val="zh-CN"/>
              </w:rPr>
              <w:t>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highlight w:val="none"/>
                <w:lang w:val="zh-CN"/>
              </w:rPr>
            </w:pPr>
            <w:r>
              <w:rPr>
                <w:rFonts w:hint="eastAsia" w:ascii="宋体" w:hAnsi="宋体" w:cs="宋体"/>
                <w:color w:val="000000"/>
                <w:sz w:val="18"/>
                <w:szCs w:val="18"/>
                <w:highlight w:val="none"/>
                <w:lang w:val="zh-CN"/>
              </w:rPr>
              <w:t>2、所投产品（900W环保车辆人脸卡口抓拍单元、400万像素红外全景球机、800万黑光级双舱全结构化摄像机、数据分析服务器、云存储视频存储单元）制造商具有国家级政府部门颁发的科学技术进步奖的，得3分，具有省级政府部门颁发的科学技术进步奖的，得1分，没有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lang w:val="zh-CN"/>
              </w:rPr>
            </w:pPr>
            <w:r>
              <w:rPr>
                <w:rFonts w:hint="eastAsia" w:ascii="宋体" w:hAnsi="宋体" w:cs="宋体"/>
                <w:color w:val="000000"/>
                <w:sz w:val="18"/>
                <w:szCs w:val="18"/>
                <w:lang w:val="zh-CN"/>
              </w:rPr>
              <w:t>3、所投产品（900W环保车辆人脸卡口抓拍单元、400万像素红外全景球机、800万黑光级双舱全结构化摄像机、数据分析服务器、云存储视频存储单元）制造商具备CCC现场检测实验室资质的，得3分，没有不得分。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lang w:val="zh-CN"/>
              </w:rPr>
            </w:pPr>
            <w:r>
              <w:rPr>
                <w:rFonts w:hint="eastAsia" w:ascii="宋体" w:hAnsi="宋体" w:cs="宋体"/>
                <w:color w:val="000000"/>
                <w:sz w:val="18"/>
                <w:szCs w:val="18"/>
                <w:lang w:val="zh-CN"/>
              </w:rPr>
              <w:t>4、所投产品（900W环保车辆人脸卡口抓拍单元、400万像素红外全景球机、800万黑光级双舱全结构化摄像机、数据分析服务器、云存储视频存储单元）制造商获得过国家级政府部门颁发的守合同重信用企业的，得3分，获得过省级政府部门颁发的守合同重信用企业的，得1分，没有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lang w:val="zh-CN"/>
              </w:rPr>
            </w:pPr>
            <w:r>
              <w:rPr>
                <w:rFonts w:hint="eastAsia" w:ascii="宋体" w:hAnsi="宋体" w:cs="宋体"/>
                <w:color w:val="000000"/>
                <w:sz w:val="18"/>
                <w:szCs w:val="18"/>
                <w:lang w:val="zh-CN"/>
              </w:rPr>
              <w:t>5、为保证本项目产品、服务及信息系统的稳定性与可靠性，所投产品（900W环保车辆人脸卡口抓拍单元、400万像素红外全景球机、800万黑光级双舱全结构化摄像机、数据分析服务器、云存储视频存储单元）制造商可提供中国信息安全评测中心颁发的信息安全服务资质（风险评估）证书的，得3分，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479" w:type="dxa"/>
            <w:vMerge w:val="continue"/>
            <w:tcBorders>
              <w:left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备注：以上1-</w:t>
            </w:r>
            <w:r>
              <w:rPr>
                <w:rFonts w:hint="eastAsia" w:ascii="宋体" w:hAnsi="宋体" w:cs="宋体"/>
                <w:color w:val="000000"/>
                <w:sz w:val="18"/>
                <w:szCs w:val="18"/>
                <w:lang w:val="en-US" w:eastAsia="zh-CN"/>
              </w:rPr>
              <w:t>5</w:t>
            </w:r>
            <w:r>
              <w:rPr>
                <w:rFonts w:hint="eastAsia" w:ascii="宋体" w:hAnsi="宋体" w:cs="宋体"/>
                <w:color w:val="000000"/>
                <w:sz w:val="18"/>
                <w:szCs w:val="18"/>
              </w:rPr>
              <w:t>项须提供所有证明文件并加盖产品制造商公章，否则不得分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479"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4</w:t>
            </w:r>
          </w:p>
        </w:tc>
        <w:tc>
          <w:tcPr>
            <w:tcW w:w="998"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综合部分（1</w:t>
            </w:r>
            <w:r>
              <w:rPr>
                <w:rFonts w:hint="eastAsia" w:ascii="宋体" w:hAnsi="宋体" w:cs="宋体"/>
                <w:color w:val="000000"/>
                <w:sz w:val="18"/>
                <w:szCs w:val="18"/>
                <w:lang w:val="en-US" w:eastAsia="zh-CN"/>
              </w:rPr>
              <w:t>3</w:t>
            </w:r>
            <w:r>
              <w:rPr>
                <w:rFonts w:hint="eastAsia" w:ascii="宋体" w:hAnsi="宋体" w:cs="宋体"/>
                <w:color w:val="000000"/>
                <w:sz w:val="18"/>
                <w:szCs w:val="18"/>
              </w:rPr>
              <w:t>分）</w:t>
            </w:r>
          </w:p>
        </w:tc>
        <w:tc>
          <w:tcPr>
            <w:tcW w:w="968"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售后服务</w:t>
            </w:r>
          </w:p>
        </w:tc>
        <w:tc>
          <w:tcPr>
            <w:tcW w:w="968" w:type="dxa"/>
            <w:vMerge w:val="restart"/>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lang w:val="en-US" w:eastAsia="zh-CN"/>
              </w:rPr>
              <w:t>6</w:t>
            </w:r>
            <w:r>
              <w:rPr>
                <w:rFonts w:hint="eastAsia" w:ascii="宋体" w:hAnsi="宋体" w:cs="宋体"/>
                <w:color w:val="000000"/>
                <w:sz w:val="18"/>
                <w:szCs w:val="18"/>
              </w:rPr>
              <w:t>分</w:t>
            </w: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highlight w:val="none"/>
              </w:rPr>
            </w:pPr>
            <w:r>
              <w:rPr>
                <w:rFonts w:hint="eastAsia" w:ascii="宋体" w:hAnsi="宋体" w:cs="宋体"/>
                <w:color w:val="000000"/>
                <w:sz w:val="18"/>
                <w:szCs w:val="18"/>
                <w:highlight w:val="none"/>
              </w:rPr>
              <w:t>1.提出完整的服务内容、服务形式、质保期内及质保期外服务承诺、维修单位及地点、技术人员情况、应急维修时间安排，优秀的得</w:t>
            </w:r>
            <w:r>
              <w:rPr>
                <w:rFonts w:hint="eastAsia" w:ascii="宋体" w:hAnsi="宋体" w:cs="宋体"/>
                <w:color w:val="000000"/>
                <w:sz w:val="18"/>
                <w:szCs w:val="18"/>
                <w:highlight w:val="none"/>
                <w:lang w:val="en-US" w:eastAsia="zh-CN"/>
              </w:rPr>
              <w:t>4-5</w:t>
            </w:r>
            <w:r>
              <w:rPr>
                <w:rFonts w:hint="eastAsia" w:ascii="宋体" w:hAnsi="宋体" w:cs="宋体"/>
                <w:color w:val="000000"/>
                <w:sz w:val="18"/>
                <w:szCs w:val="18"/>
                <w:highlight w:val="none"/>
              </w:rPr>
              <w:t>分，良好的得</w:t>
            </w:r>
            <w:r>
              <w:rPr>
                <w:rFonts w:hint="eastAsia" w:ascii="宋体" w:hAnsi="宋体" w:cs="宋体"/>
                <w:color w:val="000000"/>
                <w:sz w:val="18"/>
                <w:szCs w:val="18"/>
                <w:highlight w:val="none"/>
                <w:lang w:val="en-US" w:eastAsia="zh-CN"/>
              </w:rPr>
              <w:t>2-3</w:t>
            </w:r>
            <w:r>
              <w:rPr>
                <w:rFonts w:hint="eastAsia" w:ascii="宋体" w:hAnsi="宋体" w:cs="宋体"/>
                <w:color w:val="000000"/>
                <w:sz w:val="18"/>
                <w:szCs w:val="18"/>
                <w:highlight w:val="none"/>
              </w:rPr>
              <w:t>分，一般的得0-</w:t>
            </w:r>
            <w:r>
              <w:rPr>
                <w:rFonts w:hint="eastAsia" w:ascii="宋体" w:hAnsi="宋体" w:cs="宋体"/>
                <w:color w:val="000000"/>
                <w:sz w:val="18"/>
                <w:szCs w:val="18"/>
                <w:highlight w:val="none"/>
                <w:lang w:val="en-US" w:eastAsia="zh-CN"/>
              </w:rPr>
              <w:t>1</w:t>
            </w:r>
            <w:r>
              <w:rPr>
                <w:rFonts w:hint="eastAsia" w:ascii="宋体" w:hAnsi="宋体" w:cs="宋体"/>
                <w:color w:val="000000"/>
                <w:sz w:val="18"/>
                <w:szCs w:val="18"/>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479"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rPr>
            </w:pPr>
            <w:r>
              <w:rPr>
                <w:rFonts w:hint="eastAsia" w:ascii="宋体" w:hAnsi="宋体" w:cs="宋体"/>
                <w:color w:val="000000"/>
                <w:sz w:val="18"/>
                <w:szCs w:val="18"/>
              </w:rPr>
              <w:t>2.</w:t>
            </w:r>
            <w:r>
              <w:rPr>
                <w:rFonts w:hint="eastAsia" w:ascii="宋体" w:hAnsi="宋体" w:cs="宋体"/>
                <w:color w:val="000000"/>
                <w:sz w:val="18"/>
                <w:szCs w:val="18"/>
                <w:lang w:val="zh-CN"/>
              </w:rPr>
              <w:t>所投产品（900W环保车辆人脸卡口抓拍单元、400万像素红外全景球机、800万黑光级双舱全结构化摄像机、数据分析服务器、云存储视频存储单元）制造</w:t>
            </w:r>
            <w:r>
              <w:rPr>
                <w:rFonts w:hint="eastAsia" w:ascii="宋体" w:hAnsi="宋体" w:cs="宋体"/>
                <w:color w:val="000000"/>
                <w:sz w:val="18"/>
                <w:szCs w:val="18"/>
              </w:rPr>
              <w:t xml:space="preserve">商提供针对本项目的售后服务承诺书，得1分，否则不得分；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479"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施工组织方案</w:t>
            </w:r>
          </w:p>
        </w:tc>
        <w:tc>
          <w:tcPr>
            <w:tcW w:w="96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lang w:val="en-US" w:eastAsia="zh-CN"/>
              </w:rPr>
              <w:t>5</w:t>
            </w:r>
            <w:r>
              <w:rPr>
                <w:rFonts w:hint="eastAsia" w:ascii="宋体" w:hAnsi="宋体" w:cs="宋体"/>
                <w:color w:val="000000"/>
                <w:sz w:val="18"/>
                <w:szCs w:val="18"/>
              </w:rPr>
              <w:t>分</w:t>
            </w: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rPr>
              <w:t>提出完整的运行方案、资源配置、安全、质量保证、维护方案、维护标准，优秀的得</w:t>
            </w:r>
            <w:r>
              <w:rPr>
                <w:rFonts w:hint="eastAsia" w:ascii="宋体" w:hAnsi="宋体" w:cs="宋体"/>
                <w:color w:val="000000"/>
                <w:sz w:val="18"/>
                <w:szCs w:val="18"/>
                <w:highlight w:val="none"/>
                <w:lang w:val="en-US" w:eastAsia="zh-CN"/>
              </w:rPr>
              <w:t>4-5</w:t>
            </w:r>
            <w:r>
              <w:rPr>
                <w:rFonts w:hint="eastAsia" w:ascii="宋体" w:hAnsi="宋体" w:cs="宋体"/>
                <w:color w:val="000000"/>
                <w:sz w:val="18"/>
                <w:szCs w:val="18"/>
                <w:highlight w:val="none"/>
              </w:rPr>
              <w:t>分，良好的得</w:t>
            </w:r>
            <w:r>
              <w:rPr>
                <w:rFonts w:hint="eastAsia" w:ascii="宋体" w:hAnsi="宋体" w:cs="宋体"/>
                <w:color w:val="000000"/>
                <w:sz w:val="18"/>
                <w:szCs w:val="18"/>
                <w:highlight w:val="none"/>
                <w:lang w:val="en-US" w:eastAsia="zh-CN"/>
              </w:rPr>
              <w:t>2-3</w:t>
            </w:r>
            <w:r>
              <w:rPr>
                <w:rFonts w:hint="eastAsia" w:ascii="宋体" w:hAnsi="宋体" w:cs="宋体"/>
                <w:color w:val="000000"/>
                <w:sz w:val="18"/>
                <w:szCs w:val="18"/>
                <w:highlight w:val="none"/>
              </w:rPr>
              <w:t>分，一般的得0-</w:t>
            </w:r>
            <w:r>
              <w:rPr>
                <w:rFonts w:hint="eastAsia" w:ascii="宋体" w:hAnsi="宋体" w:cs="宋体"/>
                <w:color w:val="000000"/>
                <w:sz w:val="18"/>
                <w:szCs w:val="18"/>
                <w:highlight w:val="none"/>
                <w:lang w:val="en-US" w:eastAsia="zh-CN"/>
              </w:rPr>
              <w:t>1</w:t>
            </w:r>
            <w:r>
              <w:rPr>
                <w:rFonts w:hint="eastAsia" w:ascii="宋体" w:hAnsi="宋体" w:cs="宋体"/>
                <w:color w:val="000000"/>
                <w:sz w:val="18"/>
                <w:szCs w:val="18"/>
                <w:highlight w:val="none"/>
              </w:rPr>
              <w:t>分</w:t>
            </w:r>
            <w:r>
              <w:rPr>
                <w:rFonts w:hint="eastAsia" w:ascii="宋体" w:hAnsi="宋体" w:cs="宋体"/>
                <w:color w:val="000000"/>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79"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98" w:type="dxa"/>
            <w:vMerge w:val="continue"/>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p>
        </w:tc>
        <w:tc>
          <w:tcPr>
            <w:tcW w:w="96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rPr>
              <w:t>培训计划</w:t>
            </w:r>
          </w:p>
        </w:tc>
        <w:tc>
          <w:tcPr>
            <w:tcW w:w="96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宋体" w:hAnsi="宋体" w:cs="宋体"/>
                <w:color w:val="000000"/>
                <w:sz w:val="18"/>
                <w:szCs w:val="18"/>
              </w:rPr>
            </w:pPr>
            <w:r>
              <w:rPr>
                <w:rFonts w:hint="eastAsia" w:ascii="宋体" w:hAnsi="宋体" w:cs="宋体"/>
                <w:color w:val="000000"/>
                <w:sz w:val="18"/>
                <w:szCs w:val="18"/>
                <w:lang w:val="en-US" w:eastAsia="zh-CN"/>
              </w:rPr>
              <w:t>2</w:t>
            </w:r>
            <w:r>
              <w:rPr>
                <w:rFonts w:hint="eastAsia" w:ascii="宋体" w:hAnsi="宋体" w:cs="宋体"/>
                <w:color w:val="000000"/>
                <w:sz w:val="18"/>
                <w:szCs w:val="18"/>
              </w:rPr>
              <w:t>分</w:t>
            </w:r>
          </w:p>
        </w:tc>
        <w:tc>
          <w:tcPr>
            <w:tcW w:w="6673"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hint="eastAsia" w:ascii="宋体" w:hAnsi="宋体" w:cs="宋体"/>
                <w:color w:val="000000"/>
                <w:sz w:val="18"/>
                <w:szCs w:val="18"/>
                <w:highlight w:val="none"/>
              </w:rPr>
            </w:pPr>
            <w:r>
              <w:rPr>
                <w:rFonts w:hint="eastAsia" w:ascii="宋体" w:hAnsi="宋体" w:cs="宋体"/>
                <w:color w:val="000000"/>
                <w:sz w:val="18"/>
                <w:szCs w:val="18"/>
                <w:highlight w:val="none"/>
              </w:rPr>
              <w:t>投标人培训计划提供培训内容、培训教材、培训方式，优秀的得</w:t>
            </w:r>
            <w:r>
              <w:rPr>
                <w:rFonts w:hint="eastAsia" w:ascii="宋体" w:hAnsi="宋体" w:cs="宋体"/>
                <w:color w:val="000000"/>
                <w:sz w:val="18"/>
                <w:szCs w:val="18"/>
                <w:highlight w:val="none"/>
                <w:lang w:val="en-US" w:eastAsia="zh-CN"/>
              </w:rPr>
              <w:t>2</w:t>
            </w:r>
            <w:r>
              <w:rPr>
                <w:rFonts w:hint="eastAsia" w:ascii="宋体" w:hAnsi="宋体" w:cs="宋体"/>
                <w:color w:val="000000"/>
                <w:sz w:val="18"/>
                <w:szCs w:val="18"/>
                <w:highlight w:val="none"/>
              </w:rPr>
              <w:t>分，良好的得</w:t>
            </w:r>
            <w:r>
              <w:rPr>
                <w:rFonts w:hint="eastAsia" w:ascii="宋体" w:hAnsi="宋体" w:cs="宋体"/>
                <w:color w:val="000000"/>
                <w:sz w:val="18"/>
                <w:szCs w:val="18"/>
                <w:highlight w:val="none"/>
                <w:lang w:val="en-US" w:eastAsia="zh-CN"/>
              </w:rPr>
              <w:t>1</w:t>
            </w:r>
            <w:r>
              <w:rPr>
                <w:rFonts w:hint="eastAsia" w:ascii="宋体" w:hAnsi="宋体" w:cs="宋体"/>
                <w:color w:val="000000"/>
                <w:sz w:val="18"/>
                <w:szCs w:val="18"/>
                <w:highlight w:val="none"/>
              </w:rPr>
              <w:t>分，一般的得</w:t>
            </w:r>
            <w:r>
              <w:rPr>
                <w:rFonts w:hint="eastAsia" w:ascii="宋体" w:hAnsi="宋体" w:cs="宋体"/>
                <w:color w:val="000000"/>
                <w:sz w:val="18"/>
                <w:szCs w:val="18"/>
                <w:highlight w:val="none"/>
                <w:lang w:val="en-US" w:eastAsia="zh-CN"/>
              </w:rPr>
              <w:t>0.5</w:t>
            </w:r>
            <w:r>
              <w:rPr>
                <w:rFonts w:hint="eastAsia" w:ascii="宋体" w:hAnsi="宋体" w:cs="宋体"/>
                <w:color w:val="000000"/>
                <w:sz w:val="18"/>
                <w:szCs w:val="18"/>
                <w:highlight w:val="none"/>
              </w:rPr>
              <w:t>分。</w:t>
            </w:r>
          </w:p>
        </w:tc>
      </w:tr>
    </w:tbl>
    <w:p>
      <w:pPr>
        <w:numPr>
          <w:ilvl w:val="0"/>
          <w:numId w:val="9"/>
        </w:numPr>
        <w:tabs>
          <w:tab w:val="left" w:pos="170"/>
          <w:tab w:val="left" w:pos="303"/>
          <w:tab w:val="left" w:pos="420"/>
        </w:tabs>
        <w:adjustRightInd w:val="0"/>
        <w:snapToGrid w:val="0"/>
        <w:spacing w:line="560" w:lineRule="exact"/>
        <w:ind w:left="0" w:firstLine="0"/>
        <w:outlineLvl w:val="1"/>
        <w:rPr>
          <w:rFonts w:ascii="宋体" w:hAnsi="宋体" w:cs="仿宋_GB2312"/>
          <w:b/>
          <w:color w:val="auto"/>
          <w:sz w:val="28"/>
          <w:szCs w:val="28"/>
          <w:highlight w:val="none"/>
        </w:rPr>
      </w:pPr>
      <w:bookmarkStart w:id="250" w:name="_Toc466017207"/>
      <w:bookmarkStart w:id="251" w:name="_Toc465502579"/>
      <w:bookmarkStart w:id="252" w:name="_Toc454147538"/>
      <w:bookmarkStart w:id="253" w:name="_Toc19403"/>
      <w:bookmarkStart w:id="254" w:name="_Toc21064"/>
      <w:r>
        <w:rPr>
          <w:rFonts w:hint="eastAsia" w:ascii="宋体" w:hAnsi="宋体" w:cs="仿宋_GB2312"/>
          <w:b/>
          <w:color w:val="auto"/>
          <w:sz w:val="28"/>
          <w:szCs w:val="28"/>
          <w:highlight w:val="none"/>
        </w:rPr>
        <w:t xml:space="preserve"> </w:t>
      </w:r>
      <w:bookmarkStart w:id="255" w:name="_Toc20267"/>
      <w:bookmarkStart w:id="256" w:name="_Toc6843"/>
      <w:r>
        <w:rPr>
          <w:rFonts w:hint="eastAsia" w:ascii="宋体" w:hAnsi="宋体" w:cs="仿宋_GB2312"/>
          <w:b/>
          <w:color w:val="auto"/>
          <w:sz w:val="28"/>
          <w:szCs w:val="28"/>
          <w:highlight w:val="none"/>
        </w:rPr>
        <w:t>评标准则和评标方法</w:t>
      </w:r>
      <w:bookmarkEnd w:id="250"/>
      <w:bookmarkEnd w:id="251"/>
      <w:bookmarkEnd w:id="252"/>
      <w:bookmarkEnd w:id="253"/>
      <w:bookmarkEnd w:id="254"/>
      <w:bookmarkEnd w:id="255"/>
      <w:bookmarkEnd w:id="256"/>
    </w:p>
    <w:p>
      <w:pPr>
        <w:adjustRightInd w:val="0"/>
        <w:snapToGrid w:val="0"/>
        <w:spacing w:line="560" w:lineRule="exact"/>
        <w:rPr>
          <w:color w:val="auto"/>
          <w:szCs w:val="21"/>
          <w:highlight w:val="none"/>
        </w:rPr>
      </w:pPr>
      <w:r>
        <w:rPr>
          <w:rFonts w:hint="eastAsia"/>
          <w:color w:val="auto"/>
          <w:szCs w:val="21"/>
          <w:highlight w:val="none"/>
        </w:rPr>
        <w:t>1.1 评标过程将遵循“公平、公正、科学、择优”的原则进行。</w:t>
      </w:r>
    </w:p>
    <w:p>
      <w:pPr>
        <w:adjustRightInd w:val="0"/>
        <w:snapToGrid w:val="0"/>
        <w:spacing w:line="560" w:lineRule="exact"/>
        <w:rPr>
          <w:color w:val="auto"/>
          <w:szCs w:val="21"/>
          <w:highlight w:val="none"/>
        </w:rPr>
      </w:pPr>
      <w:r>
        <w:rPr>
          <w:rFonts w:hint="eastAsia"/>
          <w:color w:val="auto"/>
          <w:szCs w:val="21"/>
          <w:highlight w:val="none"/>
        </w:rPr>
        <w:t>1.2 评标将严格按照招标文件的要求和条件进行。</w:t>
      </w:r>
    </w:p>
    <w:p>
      <w:pPr>
        <w:adjustRightInd w:val="0"/>
        <w:snapToGrid w:val="0"/>
        <w:spacing w:line="560" w:lineRule="exact"/>
        <w:rPr>
          <w:color w:val="auto"/>
          <w:szCs w:val="21"/>
          <w:highlight w:val="none"/>
        </w:rPr>
      </w:pPr>
      <w:r>
        <w:rPr>
          <w:rFonts w:hint="eastAsia"/>
          <w:color w:val="auto"/>
          <w:szCs w:val="21"/>
          <w:highlight w:val="none"/>
        </w:rPr>
        <w:t>1.3 本次评标采用综合评分法。</w:t>
      </w:r>
    </w:p>
    <w:p>
      <w:pPr>
        <w:numPr>
          <w:ilvl w:val="0"/>
          <w:numId w:val="9"/>
        </w:numPr>
        <w:tabs>
          <w:tab w:val="left" w:pos="170"/>
          <w:tab w:val="left" w:pos="303"/>
          <w:tab w:val="left" w:pos="420"/>
        </w:tabs>
        <w:adjustRightInd w:val="0"/>
        <w:snapToGrid w:val="0"/>
        <w:spacing w:line="560" w:lineRule="exact"/>
        <w:ind w:left="0" w:firstLine="0"/>
        <w:outlineLvl w:val="1"/>
        <w:rPr>
          <w:rFonts w:ascii="宋体" w:hAnsi="宋体" w:cs="仿宋_GB2312"/>
          <w:b/>
          <w:color w:val="auto"/>
          <w:sz w:val="28"/>
          <w:szCs w:val="28"/>
          <w:highlight w:val="none"/>
        </w:rPr>
      </w:pPr>
      <w:bookmarkStart w:id="257" w:name="_Toc23631"/>
      <w:bookmarkStart w:id="258" w:name="_Toc13195"/>
      <w:bookmarkStart w:id="259" w:name="_Toc454147539"/>
      <w:bookmarkStart w:id="260" w:name="_Toc465502580"/>
      <w:bookmarkStart w:id="261" w:name="_Toc15449"/>
      <w:bookmarkStart w:id="262" w:name="_Toc466017208"/>
      <w:bookmarkStart w:id="263" w:name="_Toc7951"/>
      <w:r>
        <w:rPr>
          <w:rFonts w:hint="eastAsia" w:ascii="宋体" w:hAnsi="宋体" w:cs="仿宋_GB2312"/>
          <w:b/>
          <w:color w:val="auto"/>
          <w:sz w:val="28"/>
          <w:szCs w:val="28"/>
          <w:highlight w:val="none"/>
        </w:rPr>
        <w:t>评审标准</w:t>
      </w:r>
      <w:bookmarkEnd w:id="257"/>
      <w:bookmarkEnd w:id="258"/>
      <w:bookmarkEnd w:id="259"/>
      <w:bookmarkEnd w:id="260"/>
      <w:bookmarkEnd w:id="261"/>
      <w:bookmarkEnd w:id="262"/>
      <w:bookmarkEnd w:id="263"/>
    </w:p>
    <w:p>
      <w:pPr>
        <w:adjustRightInd w:val="0"/>
        <w:snapToGrid w:val="0"/>
        <w:spacing w:line="560" w:lineRule="exact"/>
        <w:rPr>
          <w:color w:val="auto"/>
          <w:szCs w:val="21"/>
          <w:highlight w:val="none"/>
        </w:rPr>
      </w:pPr>
      <w:r>
        <w:rPr>
          <w:rFonts w:hint="eastAsia"/>
          <w:color w:val="auto"/>
          <w:szCs w:val="21"/>
          <w:highlight w:val="none"/>
        </w:rPr>
        <w:t>2.1 资格评审标准：详见《评分办法前附表》中资格评审标准。</w:t>
      </w:r>
    </w:p>
    <w:p>
      <w:pPr>
        <w:adjustRightInd w:val="0"/>
        <w:snapToGrid w:val="0"/>
        <w:spacing w:line="560" w:lineRule="exact"/>
        <w:rPr>
          <w:color w:val="auto"/>
          <w:szCs w:val="21"/>
          <w:highlight w:val="none"/>
        </w:rPr>
      </w:pPr>
      <w:r>
        <w:rPr>
          <w:rFonts w:hint="eastAsia"/>
          <w:color w:val="auto"/>
          <w:szCs w:val="21"/>
          <w:highlight w:val="none"/>
        </w:rPr>
        <w:t>2.2 评分标准：详见《评分办法前附表》报价部分、技术部分、商务部分评审因素。</w:t>
      </w:r>
    </w:p>
    <w:p>
      <w:pPr>
        <w:numPr>
          <w:ilvl w:val="0"/>
          <w:numId w:val="9"/>
        </w:numPr>
        <w:tabs>
          <w:tab w:val="left" w:pos="170"/>
          <w:tab w:val="left" w:pos="303"/>
          <w:tab w:val="left" w:pos="420"/>
        </w:tabs>
        <w:adjustRightInd w:val="0"/>
        <w:snapToGrid w:val="0"/>
        <w:spacing w:line="560" w:lineRule="exact"/>
        <w:ind w:left="0" w:firstLine="0"/>
        <w:outlineLvl w:val="1"/>
        <w:rPr>
          <w:rFonts w:ascii="宋体" w:hAnsi="宋体" w:cs="仿宋_GB2312"/>
          <w:b/>
          <w:color w:val="auto"/>
          <w:sz w:val="28"/>
          <w:szCs w:val="28"/>
          <w:highlight w:val="none"/>
        </w:rPr>
      </w:pPr>
      <w:bookmarkStart w:id="264" w:name="_Toc29737"/>
      <w:bookmarkStart w:id="265" w:name="_Toc19609"/>
      <w:bookmarkStart w:id="266" w:name="_Toc11065"/>
      <w:r>
        <w:rPr>
          <w:rFonts w:hint="eastAsia" w:ascii="宋体" w:hAnsi="宋体" w:cs="仿宋_GB2312"/>
          <w:b/>
          <w:color w:val="auto"/>
          <w:sz w:val="28"/>
          <w:szCs w:val="28"/>
          <w:highlight w:val="none"/>
        </w:rPr>
        <w:t>评标程序</w:t>
      </w:r>
      <w:bookmarkEnd w:id="264"/>
      <w:bookmarkEnd w:id="265"/>
      <w:bookmarkEnd w:id="266"/>
    </w:p>
    <w:p>
      <w:pPr>
        <w:adjustRightInd w:val="0"/>
        <w:snapToGrid w:val="0"/>
        <w:spacing w:line="560" w:lineRule="exact"/>
        <w:rPr>
          <w:b/>
          <w:bCs/>
          <w:color w:val="auto"/>
          <w:sz w:val="24"/>
          <w:highlight w:val="none"/>
        </w:rPr>
      </w:pPr>
      <w:r>
        <w:rPr>
          <w:rFonts w:hint="eastAsia"/>
          <w:b/>
          <w:bCs/>
          <w:color w:val="auto"/>
          <w:sz w:val="24"/>
          <w:highlight w:val="none"/>
        </w:rPr>
        <w:t>3.1初步评审</w:t>
      </w:r>
    </w:p>
    <w:p>
      <w:pPr>
        <w:adjustRightInd w:val="0"/>
        <w:snapToGrid w:val="0"/>
        <w:spacing w:line="560" w:lineRule="exact"/>
        <w:rPr>
          <w:color w:val="auto"/>
          <w:highlight w:val="none"/>
          <w:lang w:val="zh-CN"/>
        </w:rPr>
      </w:pPr>
      <w:r>
        <w:rPr>
          <w:rFonts w:hint="eastAsia" w:ascii="Times New Roman" w:hAnsi="Times New Roman"/>
          <w:color w:val="auto"/>
          <w:szCs w:val="21"/>
          <w:highlight w:val="none"/>
        </w:rPr>
        <w:t xml:space="preserve">3.11 </w:t>
      </w:r>
      <w:r>
        <w:rPr>
          <w:rFonts w:hint="eastAsia" w:ascii="Times New Roman" w:hAnsi="Times New Roman"/>
          <w:color w:val="auto"/>
          <w:szCs w:val="21"/>
          <w:highlight w:val="none"/>
          <w:lang w:val="zh-CN"/>
        </w:rPr>
        <w:t>采购人或代理机构可以要求投标人提交第二章“投标人须知”规定的有关证明。采购人或代理机构依据本章第2.1款规定的标准对投标文件进行资格评审。有一项</w:t>
      </w:r>
      <w:r>
        <w:rPr>
          <w:rFonts w:hint="eastAsia"/>
          <w:color w:val="auto"/>
          <w:highlight w:val="none"/>
          <w:lang w:val="zh-CN"/>
        </w:rPr>
        <w:t>不符合资格评审标准的，作无效投标处理。</w:t>
      </w:r>
    </w:p>
    <w:p>
      <w:pPr>
        <w:adjustRightInd w:val="0"/>
        <w:snapToGrid w:val="0"/>
        <w:spacing w:line="560" w:lineRule="exact"/>
        <w:rPr>
          <w:color w:val="auto"/>
          <w:highlight w:val="none"/>
          <w:lang w:val="zh-CN"/>
        </w:rPr>
      </w:pPr>
      <w:r>
        <w:rPr>
          <w:rFonts w:hint="eastAsia"/>
          <w:color w:val="auto"/>
          <w:highlight w:val="none"/>
        </w:rPr>
        <w:t xml:space="preserve">3.12 </w:t>
      </w:r>
      <w:r>
        <w:rPr>
          <w:rFonts w:hint="eastAsia"/>
          <w:color w:val="auto"/>
          <w:highlight w:val="none"/>
          <w:lang w:val="zh-CN"/>
        </w:rPr>
        <w:t>投标文件属下列情况之一的，应当在资格性、符合性检查时按照无效投标处理：</w:t>
      </w:r>
    </w:p>
    <w:p>
      <w:pPr>
        <w:numPr>
          <w:ilvl w:val="0"/>
          <w:numId w:val="10"/>
        </w:numPr>
        <w:autoSpaceDE w:val="0"/>
        <w:autoSpaceDN w:val="0"/>
        <w:adjustRightInd w:val="0"/>
        <w:snapToGrid w:val="0"/>
        <w:spacing w:line="560" w:lineRule="exact"/>
        <w:jc w:val="left"/>
        <w:rPr>
          <w:rFonts w:ascii="宋体" w:hAnsi="宋体" w:cs="宋体"/>
          <w:color w:val="auto"/>
          <w:highlight w:val="none"/>
        </w:rPr>
      </w:pPr>
      <w:r>
        <w:rPr>
          <w:rFonts w:hint="eastAsia" w:ascii="宋体" w:hAnsi="宋体" w:cs="宋体"/>
          <w:color w:val="auto"/>
          <w:highlight w:val="none"/>
        </w:rPr>
        <w:t>未按照招标文件规定要求签署、盖章的；</w:t>
      </w:r>
    </w:p>
    <w:p>
      <w:pPr>
        <w:numPr>
          <w:ilvl w:val="0"/>
          <w:numId w:val="10"/>
        </w:numPr>
        <w:autoSpaceDE w:val="0"/>
        <w:autoSpaceDN w:val="0"/>
        <w:adjustRightInd w:val="0"/>
        <w:snapToGrid w:val="0"/>
        <w:spacing w:line="560" w:lineRule="exact"/>
        <w:jc w:val="left"/>
        <w:rPr>
          <w:rFonts w:ascii="宋体" w:hAnsi="宋体" w:cs="宋体"/>
          <w:color w:val="auto"/>
          <w:highlight w:val="none"/>
        </w:rPr>
      </w:pPr>
      <w:r>
        <w:rPr>
          <w:rFonts w:hint="eastAsia" w:ascii="宋体" w:hAnsi="宋体" w:cs="宋体"/>
          <w:color w:val="auto"/>
          <w:highlight w:val="none"/>
        </w:rPr>
        <w:t>不具备招标文件中规定资格要求的；</w:t>
      </w:r>
    </w:p>
    <w:p>
      <w:pPr>
        <w:numPr>
          <w:ilvl w:val="0"/>
          <w:numId w:val="10"/>
        </w:numPr>
        <w:autoSpaceDE w:val="0"/>
        <w:autoSpaceDN w:val="0"/>
        <w:adjustRightInd w:val="0"/>
        <w:snapToGrid w:val="0"/>
        <w:spacing w:line="560" w:lineRule="exact"/>
        <w:jc w:val="left"/>
        <w:rPr>
          <w:rFonts w:ascii="宋体" w:hAnsi="宋体" w:cs="宋体"/>
          <w:color w:val="auto"/>
          <w:highlight w:val="none"/>
        </w:rPr>
      </w:pPr>
      <w:r>
        <w:rPr>
          <w:rFonts w:hint="eastAsia" w:ascii="宋体" w:hAnsi="宋体" w:cs="宋体"/>
          <w:color w:val="auto"/>
          <w:highlight w:val="none"/>
        </w:rPr>
        <w:t>不符合法律、法规和招标文件中规定的其他实质性要求的。</w:t>
      </w:r>
    </w:p>
    <w:p>
      <w:pPr>
        <w:adjustRightInd w:val="0"/>
        <w:snapToGrid w:val="0"/>
        <w:spacing w:line="560" w:lineRule="exact"/>
        <w:rPr>
          <w:color w:val="auto"/>
          <w:highlight w:val="none"/>
          <w:lang w:val="zh-CN"/>
        </w:rPr>
      </w:pPr>
      <w:r>
        <w:rPr>
          <w:rFonts w:hint="eastAsia"/>
          <w:color w:val="auto"/>
          <w:highlight w:val="none"/>
        </w:rPr>
        <w:t xml:space="preserve">3.13 </w:t>
      </w:r>
      <w:r>
        <w:rPr>
          <w:rFonts w:hint="eastAsia"/>
          <w:color w:val="auto"/>
          <w:highlight w:val="none"/>
          <w:lang w:val="zh-CN"/>
        </w:rPr>
        <w:t>投标报价有算数错误的，评标委员会按以下原则对投标报价进行修正，修正的价格经投标人书面确认后具有约束力。投标人不接受修正价格的，其投标作无效投标处理。</w:t>
      </w:r>
    </w:p>
    <w:p>
      <w:pPr>
        <w:numPr>
          <w:ilvl w:val="0"/>
          <w:numId w:val="11"/>
        </w:numPr>
        <w:autoSpaceDE w:val="0"/>
        <w:autoSpaceDN w:val="0"/>
        <w:adjustRightInd w:val="0"/>
        <w:snapToGrid w:val="0"/>
        <w:spacing w:line="560" w:lineRule="exact"/>
        <w:jc w:val="left"/>
        <w:rPr>
          <w:rFonts w:ascii="宋体" w:hAnsi="宋体" w:cs="宋体"/>
          <w:color w:val="auto"/>
          <w:highlight w:val="none"/>
        </w:rPr>
      </w:pPr>
      <w:r>
        <w:rPr>
          <w:rFonts w:hint="eastAsia" w:ascii="宋体" w:hAnsi="宋体" w:cs="宋体"/>
          <w:color w:val="auto"/>
          <w:highlight w:val="none"/>
        </w:rPr>
        <w:t>投标文件中的大写金额与小写金额不一致的，以大写金额为准；</w:t>
      </w:r>
    </w:p>
    <w:p>
      <w:pPr>
        <w:numPr>
          <w:ilvl w:val="0"/>
          <w:numId w:val="11"/>
        </w:numPr>
        <w:autoSpaceDE w:val="0"/>
        <w:autoSpaceDN w:val="0"/>
        <w:adjustRightInd w:val="0"/>
        <w:snapToGrid w:val="0"/>
        <w:spacing w:line="560" w:lineRule="exact"/>
        <w:jc w:val="left"/>
        <w:rPr>
          <w:rFonts w:ascii="宋体" w:hAnsi="宋体" w:cs="宋体"/>
          <w:color w:val="auto"/>
          <w:highlight w:val="none"/>
        </w:rPr>
      </w:pPr>
      <w:r>
        <w:rPr>
          <w:rFonts w:hint="eastAsia" w:ascii="宋体" w:hAnsi="宋体" w:cs="宋体"/>
          <w:color w:val="auto"/>
          <w:highlight w:val="none"/>
        </w:rPr>
        <w:t>投标文件中开标一览表内容与投标文件中明细表内容不一致的，以开标一览表为准。</w:t>
      </w:r>
    </w:p>
    <w:p>
      <w:pPr>
        <w:adjustRightInd w:val="0"/>
        <w:snapToGrid w:val="0"/>
        <w:spacing w:line="560" w:lineRule="exact"/>
        <w:rPr>
          <w:b/>
          <w:bCs/>
          <w:color w:val="auto"/>
          <w:sz w:val="24"/>
          <w:highlight w:val="none"/>
        </w:rPr>
      </w:pPr>
      <w:r>
        <w:rPr>
          <w:rFonts w:hint="eastAsia"/>
          <w:b/>
          <w:bCs/>
          <w:color w:val="auto"/>
          <w:sz w:val="24"/>
          <w:highlight w:val="none"/>
        </w:rPr>
        <w:t>3.2 详细评审</w:t>
      </w:r>
    </w:p>
    <w:p>
      <w:pPr>
        <w:adjustRightInd w:val="0"/>
        <w:snapToGrid w:val="0"/>
        <w:spacing w:line="560" w:lineRule="exact"/>
        <w:rPr>
          <w:color w:val="auto"/>
          <w:highlight w:val="none"/>
          <w:lang w:val="zh-CN"/>
        </w:rPr>
      </w:pPr>
      <w:r>
        <w:rPr>
          <w:rFonts w:hint="eastAsia"/>
          <w:color w:val="auto"/>
          <w:highlight w:val="none"/>
        </w:rPr>
        <w:t xml:space="preserve">3.2.1 </w:t>
      </w:r>
      <w:r>
        <w:rPr>
          <w:rFonts w:hint="eastAsia"/>
          <w:color w:val="auto"/>
          <w:highlight w:val="none"/>
          <w:lang w:val="zh-CN"/>
        </w:rPr>
        <w:t>评标委员会按本章</w:t>
      </w:r>
      <w:r>
        <w:rPr>
          <w:rFonts w:hint="eastAsia"/>
          <w:color w:val="auto"/>
          <w:highlight w:val="none"/>
          <w:lang w:val="en-US" w:eastAsia="zh-CN"/>
        </w:rPr>
        <w:t>的</w:t>
      </w:r>
      <w:r>
        <w:rPr>
          <w:rFonts w:hint="eastAsia"/>
          <w:color w:val="auto"/>
          <w:highlight w:val="none"/>
          <w:lang w:val="zh-CN"/>
        </w:rPr>
        <w:t>评分标准进行打分，并计算出综合评审得分。</w:t>
      </w:r>
    </w:p>
    <w:p>
      <w:pPr>
        <w:adjustRightInd w:val="0"/>
        <w:snapToGrid w:val="0"/>
        <w:spacing w:line="560" w:lineRule="exact"/>
        <w:rPr>
          <w:color w:val="auto"/>
          <w:highlight w:val="none"/>
          <w:lang w:val="zh-CN"/>
        </w:rPr>
      </w:pPr>
      <w:r>
        <w:rPr>
          <w:rFonts w:hint="eastAsia"/>
          <w:color w:val="auto"/>
          <w:highlight w:val="none"/>
        </w:rPr>
        <w:t xml:space="preserve">3.2.2 </w:t>
      </w:r>
      <w:r>
        <w:rPr>
          <w:rFonts w:hint="eastAsia"/>
          <w:color w:val="auto"/>
          <w:highlight w:val="none"/>
          <w:lang w:val="zh-CN"/>
        </w:rPr>
        <w:t>评标委员会发现投标人的投标总报价</w:t>
      </w:r>
      <w:r>
        <w:rPr>
          <w:rFonts w:hint="eastAsia"/>
          <w:color w:val="auto"/>
          <w:highlight w:val="none"/>
        </w:rPr>
        <w:t>高</w:t>
      </w:r>
      <w:r>
        <w:rPr>
          <w:rFonts w:hint="eastAsia"/>
          <w:color w:val="auto"/>
          <w:highlight w:val="none"/>
          <w:lang w:val="zh-CN"/>
        </w:rPr>
        <w:t>于</w:t>
      </w:r>
      <w:r>
        <w:rPr>
          <w:rFonts w:hint="eastAsia"/>
          <w:color w:val="auto"/>
          <w:highlight w:val="none"/>
        </w:rPr>
        <w:t>招标文件规定的控制价</w:t>
      </w:r>
      <w:r>
        <w:rPr>
          <w:rFonts w:hint="eastAsia"/>
          <w:color w:val="auto"/>
          <w:highlight w:val="none"/>
          <w:lang w:val="zh-CN"/>
        </w:rPr>
        <w:t>，评标委员会应按无效投标处理。</w:t>
      </w:r>
    </w:p>
    <w:p>
      <w:pPr>
        <w:adjustRightInd w:val="0"/>
        <w:snapToGrid w:val="0"/>
        <w:spacing w:line="560" w:lineRule="exact"/>
        <w:rPr>
          <w:b/>
          <w:bCs/>
          <w:color w:val="auto"/>
          <w:sz w:val="24"/>
          <w:highlight w:val="none"/>
        </w:rPr>
      </w:pPr>
      <w:r>
        <w:rPr>
          <w:rFonts w:hint="eastAsia"/>
          <w:b/>
          <w:bCs/>
          <w:color w:val="auto"/>
          <w:sz w:val="24"/>
          <w:highlight w:val="none"/>
        </w:rPr>
        <w:t>3.3 投标文件的澄清和补正</w:t>
      </w:r>
    </w:p>
    <w:p>
      <w:pPr>
        <w:adjustRightInd w:val="0"/>
        <w:snapToGrid w:val="0"/>
        <w:spacing w:line="560" w:lineRule="exact"/>
        <w:rPr>
          <w:color w:val="auto"/>
          <w:highlight w:val="none"/>
          <w:lang w:val="zh-CN"/>
        </w:rPr>
      </w:pPr>
      <w:r>
        <w:rPr>
          <w:rFonts w:hint="eastAsia"/>
          <w:color w:val="auto"/>
          <w:highlight w:val="none"/>
        </w:rPr>
        <w:t xml:space="preserve">3.3.1 </w:t>
      </w:r>
      <w:r>
        <w:rPr>
          <w:rFonts w:hint="eastAsia"/>
          <w:color w:val="auto"/>
          <w:highlight w:val="none"/>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color w:val="auto"/>
          <w:highlight w:val="none"/>
          <w:lang w:val="zh-CN"/>
        </w:rPr>
      </w:pPr>
      <w:r>
        <w:rPr>
          <w:rFonts w:hint="eastAsia"/>
          <w:color w:val="auto"/>
          <w:highlight w:val="none"/>
        </w:rPr>
        <w:t xml:space="preserve">3.3.2 </w:t>
      </w:r>
      <w:r>
        <w:rPr>
          <w:rFonts w:hint="eastAsia"/>
          <w:color w:val="auto"/>
          <w:highlight w:val="none"/>
          <w:lang w:val="zh-CN"/>
        </w:rPr>
        <w:t>澄清、说明和补正不得改变投标文件的实质性内容（算术性错误修正的除外）。投标人的书面澄清、说明和补正属于投标文件的组成部分。</w:t>
      </w:r>
    </w:p>
    <w:p>
      <w:pPr>
        <w:adjustRightInd w:val="0"/>
        <w:snapToGrid w:val="0"/>
        <w:spacing w:line="560" w:lineRule="exact"/>
        <w:rPr>
          <w:b/>
          <w:bCs/>
          <w:color w:val="auto"/>
          <w:sz w:val="24"/>
          <w:highlight w:val="none"/>
        </w:rPr>
      </w:pPr>
      <w:r>
        <w:rPr>
          <w:rFonts w:hint="eastAsia"/>
          <w:b/>
          <w:bCs/>
          <w:color w:val="auto"/>
          <w:sz w:val="24"/>
          <w:highlight w:val="none"/>
        </w:rPr>
        <w:t>3.4 评标结果</w:t>
      </w:r>
    </w:p>
    <w:p>
      <w:pPr>
        <w:adjustRightInd w:val="0"/>
        <w:snapToGrid w:val="0"/>
        <w:spacing w:line="560" w:lineRule="exact"/>
        <w:rPr>
          <w:rFonts w:hint="eastAsia" w:eastAsia="宋体"/>
          <w:color w:val="auto"/>
          <w:highlight w:val="red"/>
          <w:lang w:val="en-US" w:eastAsia="zh-CN"/>
        </w:rPr>
      </w:pPr>
      <w:r>
        <w:rPr>
          <w:rFonts w:hint="eastAsia"/>
          <w:color w:val="auto"/>
          <w:highlight w:val="none"/>
        </w:rPr>
        <w:t xml:space="preserve">3.4.1 </w:t>
      </w:r>
      <w:r>
        <w:rPr>
          <w:rFonts w:hint="eastAsia"/>
          <w:color w:val="auto"/>
          <w:highlight w:val="none"/>
          <w:lang w:val="zh-CN"/>
        </w:rPr>
        <w:t>投标人得分=投标报价得分+</w:t>
      </w:r>
      <w:r>
        <w:rPr>
          <w:rFonts w:hint="eastAsia"/>
          <w:color w:val="auto"/>
          <w:highlight w:val="none"/>
        </w:rPr>
        <w:t>技术部分得分</w:t>
      </w:r>
      <w:r>
        <w:rPr>
          <w:rFonts w:hint="eastAsia"/>
          <w:color w:val="auto"/>
          <w:highlight w:val="none"/>
          <w:lang w:val="zh-CN"/>
        </w:rPr>
        <w:t>+</w:t>
      </w:r>
      <w:r>
        <w:rPr>
          <w:rFonts w:hint="eastAsia"/>
          <w:color w:val="auto"/>
          <w:highlight w:val="none"/>
          <w:lang w:eastAsia="zh-CN"/>
        </w:rPr>
        <w:t>综合</w:t>
      </w:r>
      <w:r>
        <w:rPr>
          <w:rFonts w:hint="eastAsia"/>
          <w:color w:val="auto"/>
          <w:highlight w:val="none"/>
        </w:rPr>
        <w:t>部分得分</w:t>
      </w:r>
    </w:p>
    <w:p>
      <w:pPr>
        <w:adjustRightInd w:val="0"/>
        <w:snapToGrid w:val="0"/>
        <w:spacing w:line="560" w:lineRule="exact"/>
        <w:rPr>
          <w:color w:val="auto"/>
          <w:highlight w:val="none"/>
          <w:lang w:val="zh-CN"/>
        </w:rPr>
      </w:pPr>
      <w:r>
        <w:rPr>
          <w:rFonts w:hint="eastAsia"/>
          <w:color w:val="auto"/>
          <w:highlight w:val="none"/>
        </w:rPr>
        <w:t>3.4.2</w:t>
      </w:r>
      <w:r>
        <w:rPr>
          <w:rFonts w:hint="eastAsia"/>
          <w:color w:val="auto"/>
          <w:highlight w:val="none"/>
          <w:lang w:val="zh-CN"/>
        </w:rPr>
        <w:t>投标人最终得分为评标委员会完成评审后所有评分的算术平均值，作为该投标人最终得分。</w:t>
      </w:r>
    </w:p>
    <w:p>
      <w:pPr>
        <w:adjustRightInd w:val="0"/>
        <w:snapToGrid w:val="0"/>
        <w:spacing w:line="560" w:lineRule="exact"/>
        <w:rPr>
          <w:color w:val="auto"/>
          <w:highlight w:val="none"/>
          <w:lang w:val="zh-CN"/>
        </w:rPr>
      </w:pPr>
      <w:r>
        <w:rPr>
          <w:rFonts w:hint="eastAsia"/>
          <w:color w:val="auto"/>
          <w:highlight w:val="none"/>
        </w:rPr>
        <w:t xml:space="preserve">3.4.3 </w:t>
      </w:r>
      <w:r>
        <w:rPr>
          <w:rFonts w:hint="eastAsia"/>
          <w:color w:val="auto"/>
          <w:highlight w:val="none"/>
          <w:lang w:val="zh-CN"/>
        </w:rPr>
        <w:t>投标人最终得分相同的，投标报价</w:t>
      </w:r>
      <w:r>
        <w:rPr>
          <w:rFonts w:hint="eastAsia"/>
          <w:color w:val="auto"/>
          <w:highlight w:val="none"/>
        </w:rPr>
        <w:t>低</w:t>
      </w:r>
      <w:r>
        <w:rPr>
          <w:rFonts w:hint="eastAsia"/>
          <w:color w:val="auto"/>
          <w:highlight w:val="none"/>
          <w:lang w:val="zh-CN"/>
        </w:rPr>
        <w:t>的优先，</w:t>
      </w:r>
      <w:r>
        <w:rPr>
          <w:rFonts w:hint="eastAsia"/>
          <w:color w:val="auto"/>
          <w:highlight w:val="none"/>
        </w:rPr>
        <w:t>投标报价也相同的以技术得分高的优先，技术得分也相同的由采购人自行确定</w:t>
      </w:r>
      <w:r>
        <w:rPr>
          <w:rFonts w:hint="eastAsia"/>
          <w:color w:val="auto"/>
          <w:highlight w:val="none"/>
          <w:lang w:val="zh-CN"/>
        </w:rPr>
        <w:t>。</w:t>
      </w:r>
    </w:p>
    <w:p>
      <w:pPr>
        <w:adjustRightInd w:val="0"/>
        <w:snapToGrid w:val="0"/>
        <w:spacing w:line="560" w:lineRule="exact"/>
        <w:rPr>
          <w:color w:val="auto"/>
          <w:highlight w:val="none"/>
          <w:lang w:val="zh-CN"/>
        </w:rPr>
      </w:pPr>
      <w:r>
        <w:rPr>
          <w:rFonts w:hint="eastAsia"/>
          <w:color w:val="auto"/>
          <w:highlight w:val="none"/>
        </w:rPr>
        <w:t xml:space="preserve">3.4.4 </w:t>
      </w:r>
      <w:r>
        <w:rPr>
          <w:rFonts w:hint="eastAsia"/>
          <w:color w:val="auto"/>
          <w:highlight w:val="none"/>
          <w:lang w:val="zh-CN"/>
        </w:rPr>
        <w:t>计分过程中按四舍五入的法则，最终结果取至小数点后两位。</w:t>
      </w:r>
    </w:p>
    <w:p>
      <w:pPr>
        <w:adjustRightInd w:val="0"/>
        <w:snapToGrid w:val="0"/>
        <w:spacing w:line="560" w:lineRule="exact"/>
        <w:rPr>
          <w:color w:val="auto"/>
          <w:highlight w:val="none"/>
          <w:lang w:val="zh-CN"/>
        </w:rPr>
      </w:pPr>
      <w:r>
        <w:rPr>
          <w:rFonts w:hint="eastAsia"/>
          <w:color w:val="auto"/>
          <w:highlight w:val="none"/>
        </w:rPr>
        <w:t xml:space="preserve">3.4.5 </w:t>
      </w:r>
      <w:r>
        <w:rPr>
          <w:rFonts w:hint="eastAsia"/>
          <w:color w:val="auto"/>
          <w:highlight w:val="none"/>
          <w:lang w:val="zh-CN"/>
        </w:rPr>
        <w:t>评标委员会按照得分由高到低的顺序推荐</w:t>
      </w:r>
      <w:r>
        <w:rPr>
          <w:rFonts w:hint="eastAsia"/>
          <w:color w:val="auto"/>
          <w:highlight w:val="none"/>
        </w:rPr>
        <w:t>1-3名</w:t>
      </w:r>
      <w:r>
        <w:rPr>
          <w:rFonts w:hint="eastAsia"/>
          <w:color w:val="auto"/>
          <w:highlight w:val="none"/>
          <w:lang w:val="zh-CN"/>
        </w:rPr>
        <w:t>中标候选人。</w:t>
      </w:r>
    </w:p>
    <w:p>
      <w:pPr>
        <w:adjustRightInd w:val="0"/>
        <w:snapToGrid w:val="0"/>
        <w:spacing w:line="560" w:lineRule="exact"/>
        <w:rPr>
          <w:color w:val="auto"/>
          <w:highlight w:val="none"/>
          <w:lang w:val="zh-CN"/>
        </w:rPr>
      </w:pPr>
      <w:r>
        <w:rPr>
          <w:rFonts w:hint="eastAsia"/>
          <w:color w:val="auto"/>
          <w:highlight w:val="none"/>
        </w:rPr>
        <w:t xml:space="preserve">3.4.6 </w:t>
      </w:r>
      <w:r>
        <w:rPr>
          <w:rFonts w:hint="eastAsia"/>
          <w:color w:val="auto"/>
          <w:highlight w:val="none"/>
          <w:lang w:val="zh-CN"/>
        </w:rPr>
        <w:t>评标委员会完成评标后，应当向采购人提交书面评标报告。</w:t>
      </w:r>
    </w:p>
    <w:p>
      <w:pPr>
        <w:adjustRightInd w:val="0"/>
        <w:snapToGrid w:val="0"/>
        <w:spacing w:line="560" w:lineRule="exact"/>
        <w:rPr>
          <w:b/>
          <w:bCs/>
          <w:color w:val="auto"/>
          <w:sz w:val="24"/>
          <w:highlight w:val="none"/>
          <w:lang w:val="zh-CN"/>
        </w:rPr>
      </w:pPr>
      <w:r>
        <w:rPr>
          <w:rFonts w:hint="eastAsia"/>
          <w:b/>
          <w:bCs/>
          <w:color w:val="auto"/>
          <w:sz w:val="24"/>
          <w:highlight w:val="none"/>
        </w:rPr>
        <w:t xml:space="preserve">3.5 </w:t>
      </w:r>
      <w:r>
        <w:rPr>
          <w:rFonts w:hint="eastAsia"/>
          <w:b/>
          <w:bCs/>
          <w:color w:val="auto"/>
          <w:sz w:val="24"/>
          <w:highlight w:val="none"/>
          <w:lang w:val="zh-CN"/>
        </w:rPr>
        <w:t>顺延中标人或重新招标</w:t>
      </w:r>
    </w:p>
    <w:p>
      <w:pPr>
        <w:adjustRightInd w:val="0"/>
        <w:snapToGrid w:val="0"/>
        <w:spacing w:line="560" w:lineRule="exact"/>
        <w:rPr>
          <w:color w:val="auto"/>
          <w:highlight w:val="none"/>
          <w:lang w:val="zh-CN"/>
        </w:rPr>
      </w:pPr>
      <w:r>
        <w:rPr>
          <w:rFonts w:hint="eastAsia"/>
          <w:color w:val="auto"/>
          <w:highlight w:val="none"/>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color w:val="auto"/>
          <w:sz w:val="24"/>
          <w:highlight w:val="none"/>
        </w:rPr>
      </w:pPr>
      <w:bookmarkStart w:id="267" w:name="_Toc19590"/>
      <w:bookmarkStart w:id="268" w:name="_Toc17922"/>
      <w:bookmarkStart w:id="269" w:name="_Toc16293"/>
      <w:bookmarkStart w:id="270" w:name="_Toc28863"/>
      <w:bookmarkStart w:id="271" w:name="_Toc7468"/>
      <w:bookmarkStart w:id="272" w:name="_Toc11630"/>
      <w:bookmarkStart w:id="273" w:name="_Toc54"/>
      <w:r>
        <w:rPr>
          <w:rFonts w:hint="eastAsia"/>
          <w:b/>
          <w:bCs/>
          <w:color w:val="auto"/>
          <w:sz w:val="24"/>
          <w:highlight w:val="none"/>
        </w:rPr>
        <w:t>3.6 保密及其他注意事项</w:t>
      </w:r>
      <w:bookmarkEnd w:id="267"/>
      <w:bookmarkEnd w:id="268"/>
      <w:bookmarkEnd w:id="269"/>
      <w:bookmarkEnd w:id="270"/>
      <w:bookmarkEnd w:id="271"/>
      <w:bookmarkEnd w:id="272"/>
      <w:bookmarkEnd w:id="273"/>
    </w:p>
    <w:p>
      <w:pPr>
        <w:adjustRightInd w:val="0"/>
        <w:snapToGrid w:val="0"/>
        <w:spacing w:line="560" w:lineRule="exact"/>
        <w:rPr>
          <w:color w:val="auto"/>
          <w:highlight w:val="none"/>
          <w:lang w:val="zh-CN"/>
        </w:rPr>
      </w:pPr>
      <w:r>
        <w:rPr>
          <w:rFonts w:hint="eastAsia"/>
          <w:color w:val="auto"/>
          <w:highlight w:val="none"/>
        </w:rPr>
        <w:t xml:space="preserve">3.6.1 </w:t>
      </w:r>
      <w:r>
        <w:rPr>
          <w:rFonts w:hint="eastAsia"/>
          <w:color w:val="auto"/>
          <w:highlight w:val="none"/>
          <w:lang w:val="zh-CN"/>
        </w:rPr>
        <w:t>在评标期间，投标企业不得向评标委员会成员询问评标情况，不得进行旨在影响中标结果的活动。</w:t>
      </w:r>
    </w:p>
    <w:p>
      <w:pPr>
        <w:adjustRightInd w:val="0"/>
        <w:snapToGrid w:val="0"/>
        <w:spacing w:line="560" w:lineRule="exact"/>
        <w:rPr>
          <w:color w:val="auto"/>
          <w:highlight w:val="none"/>
          <w:lang w:val="zh-CN"/>
        </w:rPr>
      </w:pPr>
      <w:r>
        <w:rPr>
          <w:rFonts w:hint="eastAsia"/>
          <w:color w:val="auto"/>
          <w:highlight w:val="none"/>
        </w:rPr>
        <w:t xml:space="preserve">3.6.2 </w:t>
      </w:r>
      <w:r>
        <w:rPr>
          <w:rFonts w:hint="eastAsia"/>
          <w:color w:val="auto"/>
          <w:highlight w:val="none"/>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color w:val="auto"/>
          <w:sz w:val="44"/>
          <w:szCs w:val="44"/>
          <w:highlight w:val="none"/>
        </w:rPr>
      </w:pPr>
      <w:r>
        <w:rPr>
          <w:rFonts w:hint="eastAsia"/>
          <w:color w:val="auto"/>
          <w:highlight w:val="none"/>
        </w:rPr>
        <w:t>3.6.3</w:t>
      </w:r>
      <w:r>
        <w:rPr>
          <w:rFonts w:hint="eastAsia"/>
          <w:color w:val="auto"/>
          <w:highlight w:val="none"/>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color w:val="auto"/>
          <w:szCs w:val="28"/>
          <w:highlight w:val="none"/>
        </w:rPr>
      </w:pPr>
      <w:r>
        <w:rPr>
          <w:rFonts w:hint="eastAsia" w:asciiTheme="minorEastAsia" w:hAnsiTheme="minorEastAsia" w:eastAsiaTheme="minorEastAsia" w:cstheme="minorEastAsia"/>
          <w:bCs/>
          <w:color w:val="auto"/>
          <w:kern w:val="0"/>
          <w:szCs w:val="21"/>
          <w:highlight w:val="none"/>
        </w:rPr>
        <w:br w:type="page"/>
      </w:r>
    </w:p>
    <w:p>
      <w:pPr>
        <w:pStyle w:val="6"/>
        <w:numPr>
          <w:ilvl w:val="0"/>
          <w:numId w:val="8"/>
        </w:numPr>
        <w:spacing w:line="600" w:lineRule="exact"/>
        <w:ind w:left="0" w:leftChars="0" w:right="-63" w:rightChars="-30" w:firstLine="0" w:firstLineChars="0"/>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 xml:space="preserve"> </w:t>
      </w:r>
      <w:bookmarkStart w:id="274" w:name="_Toc15098"/>
      <w:r>
        <w:rPr>
          <w:rFonts w:hint="eastAsia" w:asciiTheme="minorEastAsia" w:hAnsiTheme="minorEastAsia" w:eastAsiaTheme="minorEastAsia" w:cstheme="minorEastAsia"/>
          <w:color w:val="auto"/>
          <w:sz w:val="36"/>
          <w:szCs w:val="36"/>
          <w:highlight w:val="none"/>
        </w:rPr>
        <w:t>合同条款及格式</w:t>
      </w:r>
      <w:bookmarkEnd w:id="247"/>
      <w:bookmarkEnd w:id="248"/>
      <w:bookmarkEnd w:id="249"/>
      <w:bookmarkEnd w:id="274"/>
    </w:p>
    <w:p>
      <w:pPr>
        <w:numPr>
          <w:ilvl w:val="0"/>
          <w:numId w:val="0"/>
        </w:numPr>
        <w:ind w:leftChars="0"/>
        <w:rPr>
          <w:rFonts w:hint="default" w:eastAsia="宋体"/>
          <w:color w:val="auto"/>
          <w:highlight w:val="none"/>
          <w:lang w:val="en-US" w:eastAsia="zh-CN"/>
        </w:rPr>
      </w:pPr>
      <w:r>
        <w:rPr>
          <w:rFonts w:hint="eastAsia"/>
          <w:color w:val="auto"/>
          <w:highlight w:val="none"/>
          <w:lang w:val="en-US" w:eastAsia="zh-CN"/>
        </w:rPr>
        <w:t xml:space="preserve">                             </w:t>
      </w:r>
      <w:r>
        <w:rPr>
          <w:rFonts w:hint="eastAsia"/>
          <w:color w:val="auto"/>
          <w:sz w:val="28"/>
          <w:szCs w:val="28"/>
          <w:highlight w:val="none"/>
          <w:lang w:val="en-US" w:eastAsia="zh-CN"/>
        </w:rPr>
        <w:t xml:space="preserve">    </w:t>
      </w:r>
      <w:r>
        <w:rPr>
          <w:rFonts w:hint="eastAsia"/>
          <w:b/>
          <w:bCs/>
          <w:color w:val="auto"/>
          <w:sz w:val="28"/>
          <w:szCs w:val="28"/>
          <w:highlight w:val="none"/>
          <w:lang w:val="en-US" w:eastAsia="zh-CN"/>
        </w:rPr>
        <w:t xml:space="preserve">  （仅供参考）</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color w:val="auto"/>
          <w:sz w:val="24"/>
          <w:szCs w:val="24"/>
          <w:highlight w:val="none"/>
        </w:rPr>
      </w:pPr>
      <w:bookmarkStart w:id="275" w:name="_Toc12807"/>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甲方：（采购单位）</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乙方：（供应商 ）</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甲、乙双方持采购人、采购代理公司签发的</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采购项目成交通知书，根据</w:t>
      </w:r>
      <w:r>
        <w:rPr>
          <w:rFonts w:hint="eastAsia" w:asciiTheme="minorEastAsia" w:hAnsiTheme="minorEastAsia" w:eastAsiaTheme="minorEastAsia" w:cstheme="minorEastAsia"/>
          <w:color w:val="auto"/>
          <w:sz w:val="21"/>
          <w:szCs w:val="21"/>
          <w:highlight w:val="none"/>
          <w:lang w:eastAsia="zh-CN"/>
        </w:rPr>
        <w:t>采购</w:t>
      </w:r>
      <w:r>
        <w:rPr>
          <w:rFonts w:hint="eastAsia" w:asciiTheme="minorEastAsia" w:hAnsiTheme="minorEastAsia" w:eastAsiaTheme="minorEastAsia" w:cstheme="minorEastAsia"/>
          <w:color w:val="auto"/>
          <w:sz w:val="21"/>
          <w:szCs w:val="21"/>
          <w:highlight w:val="none"/>
        </w:rPr>
        <w:t>文件、响应性文件的内容，并经双方协商一致，达成以下合同条款：</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一、本合同所指货物为此次采购的货物（注明品名、规格、数量、单价等技术要求），合同总价款为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元（大写）</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二、货物质量要求及乙方对质量负责条件和期限：</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乙方提供的货物达到乙方响应文件及澄清中的技术标准。（售后服务要求按</w:t>
      </w:r>
      <w:r>
        <w:rPr>
          <w:rFonts w:hint="eastAsia" w:asciiTheme="minorEastAsia" w:hAnsiTheme="minorEastAsia" w:eastAsiaTheme="minorEastAsia" w:cstheme="minorEastAsia"/>
          <w:color w:val="auto"/>
          <w:sz w:val="21"/>
          <w:szCs w:val="21"/>
          <w:highlight w:val="none"/>
          <w:lang w:eastAsia="zh-CN"/>
        </w:rPr>
        <w:t>采购</w:t>
      </w:r>
      <w:r>
        <w:rPr>
          <w:rFonts w:hint="eastAsia" w:asciiTheme="minorEastAsia" w:hAnsiTheme="minorEastAsia" w:eastAsiaTheme="minorEastAsia" w:cstheme="minorEastAsia"/>
          <w:color w:val="auto"/>
          <w:sz w:val="21"/>
          <w:szCs w:val="21"/>
          <w:highlight w:val="none"/>
        </w:rPr>
        <w:t>文件及响应性文件相应条款制订）</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三、交货时间、地点、方式、验收：</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乙方应于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年 月 日前按甲方要求在</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（甲方指定地点）将货物运送达到验收条件。货物运送产生的费用由乙方负责。由甲方组织相关人员进行验收。</w:t>
      </w:r>
    </w:p>
    <w:p>
      <w:pPr>
        <w:pageBreakBefore w:val="0"/>
        <w:numPr>
          <w:ilvl w:val="0"/>
          <w:numId w:val="12"/>
        </w:numPr>
        <w:kinsoku/>
        <w:wordWrap/>
        <w:overflowPunct/>
        <w:topLinePunct w:val="0"/>
        <w:bidi w:val="0"/>
        <w:adjustRightInd w:val="0"/>
        <w:spacing w:beforeAutospacing="0" w:afterAutospacing="0" w:line="360" w:lineRule="auto"/>
        <w:ind w:left="-60" w:leftChars="0" w:firstLine="480" w:firstLineChars="0"/>
        <w:textAlignment w:val="baseline"/>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付款方式</w:t>
      </w:r>
      <w:r>
        <w:rPr>
          <w:rFonts w:hint="eastAsia" w:asciiTheme="minorEastAsia" w:hAnsiTheme="minorEastAsia" w:eastAsiaTheme="minorEastAsia" w:cstheme="minorEastAsia"/>
          <w:color w:val="auto"/>
          <w:sz w:val="21"/>
          <w:szCs w:val="21"/>
          <w:highlight w:val="none"/>
          <w:lang w:val="en-US" w:eastAsia="zh-CN"/>
        </w:rPr>
        <w:t>：</w:t>
      </w:r>
      <w:r>
        <w:rPr>
          <w:rFonts w:hint="eastAsia" w:ascii="宋体" w:hAnsi="宋体" w:cs="宋体"/>
          <w:bCs/>
          <w:color w:val="auto"/>
          <w:highlight w:val="none"/>
          <w:lang w:val="en-US" w:eastAsia="zh-CN"/>
        </w:rPr>
        <w:t>供货安装完毕、验收合格后支付合同价的100%。</w:t>
      </w:r>
    </w:p>
    <w:p>
      <w:pPr>
        <w:pageBreakBefore w:val="0"/>
        <w:numPr>
          <w:ilvl w:val="0"/>
          <w:numId w:val="12"/>
        </w:numPr>
        <w:kinsoku/>
        <w:wordWrap/>
        <w:overflowPunct/>
        <w:topLinePunct w:val="0"/>
        <w:bidi w:val="0"/>
        <w:adjustRightInd w:val="0"/>
        <w:spacing w:beforeAutospacing="0" w:afterAutospacing="0" w:line="360" w:lineRule="auto"/>
        <w:ind w:left="-60" w:leftChars="0" w:firstLine="480" w:firstLineChars="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违约责任：甲方无正当理由拒收货物、拒付货款的，向乙方偿付拒收拒付部分货物款总额的________违约金。</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乙方所交货物的规格型号、技术要求、质量品质等不符合合同规定，甲方有权拒收货物，乙方应负责更换并承担因更换而支付的全部实际费用。因更换而造成逾期交货，则按逾期交货处理。</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乙方不能交付货物的，乙方向甲方支付未交付部分货物款总额____违约金。</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若因中标人原因不能按期按质供货的，将扣除中标人2万元的违约金，同时每超过一天另扣除合同金额的千分之一。</w:t>
      </w:r>
    </w:p>
    <w:p>
      <w:pPr>
        <w:pageBreakBefore w:val="0"/>
        <w:kinsoku/>
        <w:wordWrap/>
        <w:overflowPunct/>
        <w:topLinePunct w:val="0"/>
        <w:bidi w:val="0"/>
        <w:adjustRightInd w:val="0"/>
        <w:spacing w:beforeAutospacing="0" w:afterAutospacing="0" w:line="360" w:lineRule="auto"/>
        <w:ind w:firstLine="210" w:firstLineChars="1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六、因货物的质量问题发生争议，由甲方所在地市级技术监督单位进行质量鉴定。</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七、甲乙双方应严格遵守投标要求和供应商须知，如有违反，按投标要求和供应商须知规定予以处理。</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八、</w:t>
      </w:r>
      <w:r>
        <w:rPr>
          <w:rFonts w:hint="eastAsia" w:asciiTheme="minorEastAsia" w:hAnsiTheme="minorEastAsia" w:eastAsiaTheme="minorEastAsia" w:cstheme="minorEastAsia"/>
          <w:color w:val="auto"/>
          <w:sz w:val="21"/>
          <w:szCs w:val="21"/>
          <w:highlight w:val="none"/>
          <w:lang w:eastAsia="zh-CN"/>
        </w:rPr>
        <w:t>采购</w:t>
      </w:r>
      <w:r>
        <w:rPr>
          <w:rFonts w:hint="eastAsia" w:asciiTheme="minorEastAsia" w:hAnsiTheme="minorEastAsia" w:eastAsiaTheme="minorEastAsia" w:cstheme="minorEastAsia"/>
          <w:color w:val="auto"/>
          <w:sz w:val="21"/>
          <w:szCs w:val="21"/>
          <w:highlight w:val="none"/>
        </w:rPr>
        <w:t>文件及其修改补充、投标文件及其修改补充澄清均为本合同的组成部分。</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十、合同生效及其它：</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本合同经甲、乙双方代表签字、加盖公章和骑缝章后生效。本合同一式五份，甲乙双方各持两份。</w:t>
      </w:r>
      <w:r>
        <w:rPr>
          <w:rFonts w:hint="eastAsia" w:asciiTheme="minorEastAsia" w:hAnsiTheme="minorEastAsia" w:eastAsiaTheme="minorEastAsia" w:cstheme="minorEastAsia"/>
          <w:color w:val="auto"/>
          <w:sz w:val="21"/>
          <w:szCs w:val="21"/>
          <w:highlight w:val="none"/>
          <w:lang w:val="en-US" w:eastAsia="zh-CN"/>
        </w:rPr>
        <w:t>合同签订后在2个工作日内，采购人将合同在焦作市政府采购网公示并备案。</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甲方：</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地址：</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地址：</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                   法定代表人：</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委托代理人：                   委托代理人：</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电话：</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开户银行：</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开户银行：</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银行账号：</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银行账号：</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签约时间：                     签约地点：</w:t>
      </w:r>
    </w:p>
    <w:p>
      <w:pPr>
        <w:pageBreakBefore w:val="0"/>
        <w:kinsoku/>
        <w:wordWrap/>
        <w:overflowPunct/>
        <w:topLinePunct w:val="0"/>
        <w:bidi w:val="0"/>
        <w:adjustRightInd w:val="0"/>
        <w:spacing w:beforeAutospacing="0" w:afterAutospacing="0" w:line="360" w:lineRule="auto"/>
        <w:ind w:firstLine="422" w:firstLineChars="200"/>
        <w:textAlignment w:val="baseline"/>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重要提示</w:t>
      </w:r>
      <w:r>
        <w:rPr>
          <w:rFonts w:hint="eastAsia" w:asciiTheme="minorEastAsia" w:hAnsiTheme="minorEastAsia" w:eastAsiaTheme="minorEastAsia" w:cstheme="minorEastAsia"/>
          <w:b/>
          <w:bCs/>
          <w:color w:val="auto"/>
          <w:sz w:val="21"/>
          <w:szCs w:val="21"/>
          <w:highlight w:val="none"/>
        </w:rPr>
        <w:t>：以上合同文本</w:t>
      </w:r>
      <w:r>
        <w:rPr>
          <w:rFonts w:hint="eastAsia" w:asciiTheme="minorEastAsia" w:hAnsiTheme="minorEastAsia" w:eastAsiaTheme="minorEastAsia" w:cstheme="minorEastAsia"/>
          <w:b/>
          <w:bCs/>
          <w:color w:val="auto"/>
          <w:sz w:val="21"/>
          <w:szCs w:val="21"/>
          <w:highlight w:val="none"/>
          <w:lang w:val="en-US" w:eastAsia="zh-CN"/>
        </w:rPr>
        <w:t>作为签订合同的重要依据，涉及付款方式、供应商名称等实质性内容不得变更。</w:t>
      </w:r>
    </w:p>
    <w:p>
      <w:pPr>
        <w:pStyle w:val="13"/>
        <w:jc w:val="center"/>
        <w:outlineLvl w:val="0"/>
        <w:rPr>
          <w:rFonts w:hint="eastAsia" w:asciiTheme="minorEastAsia" w:hAnsiTheme="minorEastAsia" w:eastAsiaTheme="minorEastAsia" w:cstheme="minorEastAsia"/>
          <w:b/>
          <w:bCs/>
          <w:color w:val="auto"/>
          <w:sz w:val="21"/>
          <w:szCs w:val="21"/>
          <w:highlight w:val="none"/>
        </w:rPr>
      </w:pPr>
    </w:p>
    <w:p>
      <w:pPr>
        <w:pStyle w:val="13"/>
        <w:jc w:val="center"/>
        <w:outlineLvl w:val="0"/>
        <w:rPr>
          <w:rFonts w:hint="eastAsia" w:asciiTheme="minorEastAsia" w:hAnsiTheme="minorEastAsia" w:eastAsiaTheme="minorEastAsia" w:cstheme="minorEastAsia"/>
          <w:b/>
          <w:bCs/>
          <w:color w:val="auto"/>
          <w:sz w:val="21"/>
          <w:szCs w:val="21"/>
          <w:highlight w:val="none"/>
        </w:rPr>
      </w:pPr>
    </w:p>
    <w:p>
      <w:pPr>
        <w:pStyle w:val="13"/>
        <w:jc w:val="center"/>
        <w:outlineLvl w:val="0"/>
        <w:rPr>
          <w:rFonts w:hint="eastAsia" w:asciiTheme="minorEastAsia" w:hAnsiTheme="minorEastAsia" w:eastAsiaTheme="minorEastAsia" w:cstheme="minorEastAsia"/>
          <w:b/>
          <w:bCs/>
          <w:color w:val="auto"/>
          <w:sz w:val="21"/>
          <w:szCs w:val="21"/>
          <w:highlight w:val="none"/>
        </w:rPr>
      </w:pPr>
    </w:p>
    <w:p>
      <w:pPr>
        <w:pStyle w:val="13"/>
        <w:jc w:val="center"/>
        <w:outlineLvl w:val="0"/>
        <w:rPr>
          <w:rFonts w:hint="eastAsia" w:asciiTheme="minorEastAsia" w:hAnsiTheme="minorEastAsia" w:eastAsiaTheme="minorEastAsia" w:cstheme="minorEastAsia"/>
          <w:b/>
          <w:bCs/>
          <w:color w:val="auto"/>
          <w:sz w:val="21"/>
          <w:szCs w:val="21"/>
          <w:highlight w:val="none"/>
        </w:rPr>
      </w:pPr>
    </w:p>
    <w:p>
      <w:pPr>
        <w:pStyle w:val="13"/>
        <w:jc w:val="center"/>
        <w:outlineLvl w:val="0"/>
        <w:rPr>
          <w:rFonts w:hint="eastAsia" w:asciiTheme="minorEastAsia" w:hAnsiTheme="minorEastAsia" w:eastAsiaTheme="minorEastAsia" w:cstheme="minorEastAsia"/>
          <w:b/>
          <w:bCs/>
          <w:color w:val="auto"/>
          <w:sz w:val="21"/>
          <w:szCs w:val="21"/>
          <w:highlight w:val="none"/>
        </w:rPr>
      </w:pPr>
    </w:p>
    <w:p>
      <w:pPr>
        <w:pStyle w:val="13"/>
        <w:jc w:val="center"/>
        <w:outlineLvl w:val="0"/>
        <w:rPr>
          <w:rFonts w:hint="eastAsia" w:asciiTheme="minorEastAsia" w:hAnsiTheme="minorEastAsia" w:eastAsiaTheme="minorEastAsia" w:cstheme="minorEastAsia"/>
          <w:b/>
          <w:bCs/>
          <w:color w:val="auto"/>
          <w:sz w:val="21"/>
          <w:szCs w:val="21"/>
          <w:highlight w:val="none"/>
        </w:rPr>
      </w:pPr>
    </w:p>
    <w:p>
      <w:pPr>
        <w:pStyle w:val="13"/>
        <w:jc w:val="center"/>
        <w:outlineLvl w:val="0"/>
        <w:rPr>
          <w:rFonts w:hint="eastAsia" w:asciiTheme="minorEastAsia" w:hAnsiTheme="minorEastAsia" w:eastAsiaTheme="minorEastAsia" w:cstheme="minorEastAsia"/>
          <w:b/>
          <w:bCs/>
          <w:color w:val="auto"/>
          <w:sz w:val="21"/>
          <w:szCs w:val="21"/>
          <w:highlight w:val="none"/>
        </w:rPr>
      </w:pPr>
    </w:p>
    <w:p>
      <w:pPr>
        <w:pStyle w:val="13"/>
        <w:jc w:val="center"/>
        <w:outlineLvl w:val="0"/>
        <w:rPr>
          <w:rFonts w:hint="eastAsia" w:asciiTheme="minorEastAsia" w:hAnsiTheme="minorEastAsia" w:eastAsiaTheme="minorEastAsia" w:cstheme="minorEastAsia"/>
          <w:b/>
          <w:bCs/>
          <w:color w:val="auto"/>
          <w:sz w:val="21"/>
          <w:szCs w:val="21"/>
          <w:highlight w:val="none"/>
        </w:rPr>
      </w:pPr>
    </w:p>
    <w:p>
      <w:pPr>
        <w:pStyle w:val="13"/>
        <w:jc w:val="center"/>
        <w:outlineLvl w:val="0"/>
        <w:rPr>
          <w:rFonts w:hint="eastAsia" w:asciiTheme="minorEastAsia" w:hAnsiTheme="minorEastAsia" w:eastAsiaTheme="minorEastAsia" w:cstheme="minorEastAsia"/>
          <w:b/>
          <w:bCs/>
          <w:color w:val="auto"/>
          <w:sz w:val="21"/>
          <w:szCs w:val="21"/>
          <w:highlight w:val="none"/>
        </w:rPr>
      </w:pPr>
    </w:p>
    <w:p>
      <w:pPr>
        <w:pStyle w:val="13"/>
        <w:jc w:val="center"/>
        <w:outlineLvl w:val="0"/>
        <w:rPr>
          <w:rFonts w:hint="eastAsia" w:asciiTheme="minorEastAsia" w:hAnsiTheme="minorEastAsia" w:eastAsiaTheme="minorEastAsia" w:cstheme="minorEastAsia"/>
          <w:b/>
          <w:bCs/>
          <w:color w:val="auto"/>
          <w:sz w:val="21"/>
          <w:szCs w:val="21"/>
          <w:highlight w:val="none"/>
        </w:rPr>
      </w:pPr>
    </w:p>
    <w:p>
      <w:pPr>
        <w:pStyle w:val="13"/>
        <w:jc w:val="center"/>
        <w:outlineLvl w:val="0"/>
        <w:rPr>
          <w:rFonts w:hint="eastAsia"/>
          <w:b/>
          <w:bCs/>
          <w:color w:val="auto"/>
          <w:sz w:val="32"/>
          <w:szCs w:val="32"/>
          <w:highlight w:val="none"/>
        </w:rPr>
      </w:pPr>
    </w:p>
    <w:p>
      <w:pPr>
        <w:pStyle w:val="13"/>
        <w:numPr>
          <w:ilvl w:val="0"/>
          <w:numId w:val="8"/>
        </w:numPr>
        <w:ind w:left="0" w:leftChars="0" w:firstLine="0" w:firstLineChars="0"/>
        <w:jc w:val="center"/>
        <w:outlineLvl w:val="0"/>
        <w:rPr>
          <w:rFonts w:hint="eastAsia"/>
          <w:b/>
          <w:bCs/>
          <w:color w:val="auto"/>
          <w:sz w:val="32"/>
          <w:szCs w:val="32"/>
          <w:highlight w:val="none"/>
          <w:lang w:val="en-US" w:eastAsia="zh-CN"/>
        </w:rPr>
      </w:pPr>
      <w:r>
        <w:rPr>
          <w:rFonts w:hint="eastAsia"/>
          <w:b/>
          <w:bCs/>
          <w:color w:val="auto"/>
          <w:sz w:val="32"/>
          <w:szCs w:val="32"/>
          <w:highlight w:val="none"/>
          <w:lang w:val="en-US" w:eastAsia="zh-CN"/>
        </w:rPr>
        <w:t xml:space="preserve">  </w:t>
      </w:r>
      <w:r>
        <w:rPr>
          <w:rFonts w:hint="eastAsia"/>
          <w:b/>
          <w:bCs/>
          <w:color w:val="auto"/>
          <w:sz w:val="32"/>
          <w:szCs w:val="32"/>
          <w:highlight w:val="none"/>
          <w:lang w:eastAsia="zh-CN"/>
        </w:rPr>
        <w:t>采购内容及技术要求</w:t>
      </w:r>
    </w:p>
    <w:p>
      <w:pPr>
        <w:pStyle w:val="35"/>
        <w:spacing w:line="440" w:lineRule="exact"/>
        <w:ind w:left="0" w:leftChars="0" w:firstLine="0" w:firstLineChars="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1、项目名称：博爱县公安局建设完善“防控圈”感知设备采购项目</w:t>
      </w:r>
    </w:p>
    <w:p>
      <w:pPr>
        <w:pStyle w:val="35"/>
        <w:spacing w:line="440" w:lineRule="exact"/>
        <w:ind w:left="0" w:leftChars="0" w:firstLine="0" w:firstLineChars="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2、采购内容：采购900W环保车辆人脸卡口抓拍单元、红外白光爆闪一体灯、卡口终端服务器、400万像素红外全景球机、800万黑光级双舱全结构化摄像机、云计算服务器、数据分析服务器等（详见下表）。</w:t>
      </w:r>
    </w:p>
    <w:bookmarkEnd w:id="275"/>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959"/>
        <w:gridCol w:w="7426"/>
        <w:gridCol w:w="428"/>
        <w:gridCol w:w="428"/>
        <w:gridCol w:w="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7" w:type="dxa"/>
            <w:shd w:val="clear" w:color="auto" w:fill="auto"/>
            <w:vAlign w:val="center"/>
          </w:tcPr>
          <w:p>
            <w:pPr>
              <w:widowControl/>
              <w:jc w:val="center"/>
              <w:rPr>
                <w:rFonts w:hint="eastAsia" w:ascii="宋体" w:hAnsi="宋体" w:cs="宋体"/>
                <w:b/>
                <w:bCs/>
                <w:color w:val="000000"/>
                <w:kern w:val="0"/>
                <w:sz w:val="18"/>
                <w:szCs w:val="18"/>
              </w:rPr>
            </w:pPr>
            <w:bookmarkStart w:id="276" w:name="_Toc7906"/>
            <w:bookmarkStart w:id="277" w:name="_Toc426369533"/>
            <w:bookmarkStart w:id="278" w:name="_Toc403122572"/>
            <w:r>
              <w:rPr>
                <w:rFonts w:hint="eastAsia" w:ascii="宋体" w:hAnsi="宋体" w:cs="宋体"/>
                <w:b/>
                <w:bCs/>
                <w:color w:val="000000"/>
                <w:kern w:val="0"/>
                <w:sz w:val="18"/>
                <w:szCs w:val="18"/>
              </w:rPr>
              <w:t>序号</w:t>
            </w:r>
          </w:p>
        </w:tc>
        <w:tc>
          <w:tcPr>
            <w:tcW w:w="960" w:type="dxa"/>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0" w:type="auto"/>
            <w:shd w:val="clear" w:color="auto" w:fill="auto"/>
            <w:vAlign w:val="center"/>
          </w:tcPr>
          <w:p>
            <w:pPr>
              <w:widowControl/>
              <w:jc w:val="center"/>
              <w:rPr>
                <w:rFonts w:hint="eastAsia" w:ascii="宋体" w:hAnsi="宋体" w:eastAsia="宋体" w:cs="宋体"/>
                <w:b/>
                <w:bCs/>
                <w:color w:val="000000"/>
                <w:kern w:val="0"/>
                <w:sz w:val="18"/>
                <w:szCs w:val="18"/>
                <w:lang w:eastAsia="zh-CN"/>
              </w:rPr>
            </w:pPr>
            <w:r>
              <w:rPr>
                <w:rFonts w:hint="eastAsia" w:ascii="宋体" w:hAnsi="宋体" w:cs="宋体"/>
                <w:b/>
                <w:bCs/>
                <w:color w:val="000000"/>
                <w:kern w:val="0"/>
                <w:sz w:val="18"/>
                <w:szCs w:val="18"/>
                <w:lang w:eastAsia="zh-CN"/>
              </w:rPr>
              <w:t>技术参数要求</w:t>
            </w:r>
          </w:p>
        </w:tc>
        <w:tc>
          <w:tcPr>
            <w:tcW w:w="0" w:type="auto"/>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0" w:type="auto"/>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数量</w:t>
            </w:r>
          </w:p>
        </w:tc>
        <w:tc>
          <w:tcPr>
            <w:tcW w:w="0" w:type="auto"/>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900W环保车辆人脸卡口抓拍单元</w:t>
            </w:r>
          </w:p>
        </w:tc>
        <w:tc>
          <w:tcPr>
            <w:tcW w:w="0" w:type="auto"/>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内置LED补光灯，在晚间使用内置LED灯结合红外爆闪灯的情况下，仍得到全彩的图片； </w:t>
            </w:r>
            <w:r>
              <w:rPr>
                <w:rFonts w:hint="eastAsia" w:ascii="宋体" w:hAnsi="宋体" w:cs="宋体"/>
                <w:kern w:val="0"/>
                <w:sz w:val="18"/>
                <w:szCs w:val="18"/>
              </w:rPr>
              <w:br w:type="textWrapping"/>
            </w:r>
            <w:r>
              <w:rPr>
                <w:rFonts w:hint="eastAsia" w:ascii="宋体" w:hAnsi="宋体" w:cs="宋体"/>
                <w:kern w:val="0"/>
                <w:sz w:val="18"/>
                <w:szCs w:val="18"/>
                <w:highlight w:val="none"/>
              </w:rPr>
              <w:t>采用</w:t>
            </w:r>
            <w:r>
              <w:rPr>
                <w:rFonts w:hint="eastAsia" w:ascii="宋体" w:hAnsi="宋体" w:cs="宋体"/>
                <w:kern w:val="0"/>
                <w:sz w:val="18"/>
                <w:szCs w:val="18"/>
                <w:highlight w:val="none"/>
                <w:lang w:eastAsia="zh-CN"/>
              </w:rPr>
              <w:t>不低于</w:t>
            </w:r>
            <w:r>
              <w:rPr>
                <w:rFonts w:hint="eastAsia" w:ascii="宋体" w:hAnsi="宋体" w:cs="宋体"/>
                <w:kern w:val="0"/>
                <w:sz w:val="18"/>
                <w:szCs w:val="18"/>
                <w:highlight w:val="none"/>
              </w:rPr>
              <w:t>两个1英寸900万像素全局曝光CMOS智能高清摄像机，最大分辨率可达4096*2160，帧率</w:t>
            </w:r>
            <w:r>
              <w:rPr>
                <w:rFonts w:hint="eastAsia" w:ascii="宋体" w:hAnsi="宋体" w:cs="宋体"/>
                <w:kern w:val="0"/>
                <w:sz w:val="18"/>
                <w:szCs w:val="18"/>
                <w:highlight w:val="none"/>
                <w:lang w:eastAsia="zh-CN"/>
              </w:rPr>
              <w:t>不低于</w:t>
            </w:r>
            <w:r>
              <w:rPr>
                <w:rFonts w:hint="eastAsia" w:ascii="宋体" w:hAnsi="宋体" w:cs="宋体"/>
                <w:kern w:val="0"/>
                <w:sz w:val="18"/>
                <w:szCs w:val="18"/>
                <w:highlight w:val="none"/>
              </w:rPr>
              <w:t>25帧； </w:t>
            </w:r>
            <w:r>
              <w:rPr>
                <w:rFonts w:hint="eastAsia" w:ascii="宋体" w:hAnsi="宋体" w:cs="宋体"/>
                <w:kern w:val="0"/>
                <w:sz w:val="18"/>
                <w:szCs w:val="18"/>
                <w:highlight w:val="none"/>
              </w:rPr>
              <w:br w:type="textWrapping"/>
            </w:r>
            <w:r>
              <w:rPr>
                <w:rFonts w:hint="eastAsia" w:ascii="宋体" w:hAnsi="宋体" w:cs="宋体"/>
                <w:kern w:val="0"/>
                <w:sz w:val="18"/>
                <w:szCs w:val="18"/>
              </w:rPr>
              <w:t>支持白天用白光爆闪，晚上用内置灯加红外爆闪同步补光； </w:t>
            </w:r>
            <w:r>
              <w:rPr>
                <w:rFonts w:hint="eastAsia" w:ascii="宋体" w:hAnsi="宋体" w:cs="宋体"/>
                <w:kern w:val="0"/>
                <w:sz w:val="18"/>
                <w:szCs w:val="18"/>
              </w:rPr>
              <w:br w:type="textWrapping"/>
            </w:r>
            <w:r>
              <w:rPr>
                <w:rFonts w:hint="eastAsia" w:ascii="宋体" w:hAnsi="宋体" w:cs="宋体"/>
                <w:kern w:val="0"/>
                <w:sz w:val="18"/>
                <w:szCs w:val="18"/>
              </w:rPr>
              <w:t>抓拍图片可看清前排司乘人员人脸，并可用于后端人脸比对； </w:t>
            </w:r>
            <w:r>
              <w:rPr>
                <w:rFonts w:hint="eastAsia" w:ascii="宋体" w:hAnsi="宋体" w:cs="宋体"/>
                <w:kern w:val="0"/>
                <w:sz w:val="18"/>
                <w:szCs w:val="18"/>
              </w:rPr>
              <w:br w:type="textWrapping"/>
            </w:r>
            <w:r>
              <w:rPr>
                <w:rFonts w:hint="eastAsia" w:ascii="宋体" w:hAnsi="宋体" w:cs="宋体"/>
                <w:kern w:val="0"/>
                <w:sz w:val="18"/>
                <w:szCs w:val="18"/>
              </w:rPr>
              <w:t>支持视频触发模式； </w:t>
            </w:r>
            <w:r>
              <w:rPr>
                <w:rFonts w:hint="eastAsia" w:ascii="宋体" w:hAnsi="宋体" w:cs="宋体"/>
                <w:kern w:val="0"/>
                <w:sz w:val="18"/>
                <w:szCs w:val="18"/>
              </w:rPr>
              <w:br w:type="textWrapping"/>
            </w:r>
            <w:r>
              <w:rPr>
                <w:rFonts w:hint="eastAsia" w:ascii="宋体" w:hAnsi="宋体" w:cs="宋体"/>
                <w:kern w:val="0"/>
                <w:sz w:val="18"/>
                <w:szCs w:val="18"/>
              </w:rPr>
              <w:t>支持车牌、车型、车身颜色、车辆主品牌及子品牌、挂坠、安全带、遮阳板等信息识别； </w:t>
            </w:r>
            <w:r>
              <w:rPr>
                <w:rFonts w:hint="eastAsia" w:ascii="宋体" w:hAnsi="宋体" w:cs="宋体"/>
                <w:kern w:val="0"/>
                <w:sz w:val="18"/>
                <w:szCs w:val="18"/>
              </w:rPr>
              <w:br w:type="textWrapping"/>
            </w:r>
            <w:r>
              <w:rPr>
                <w:rFonts w:hint="eastAsia" w:ascii="宋体" w:hAnsi="宋体" w:cs="宋体"/>
                <w:kern w:val="0"/>
                <w:sz w:val="18"/>
                <w:szCs w:val="18"/>
              </w:rPr>
              <w:t>支持多种车牌种类识别：民用车牌，警用车牌，2012式新军用车牌，2012式武警车牌，新能源车牌； </w:t>
            </w:r>
            <w:r>
              <w:rPr>
                <w:rFonts w:hint="eastAsia" w:ascii="宋体" w:hAnsi="宋体" w:cs="宋体"/>
                <w:kern w:val="0"/>
                <w:sz w:val="18"/>
                <w:szCs w:val="18"/>
              </w:rPr>
              <w:br w:type="textWrapping"/>
            </w:r>
            <w:r>
              <w:rPr>
                <w:rFonts w:hint="eastAsia" w:ascii="宋体" w:hAnsi="宋体" w:cs="宋体"/>
                <w:kern w:val="0"/>
                <w:sz w:val="18"/>
                <w:szCs w:val="18"/>
              </w:rPr>
              <w:t>支持多种常见颜色（白、灰、黄、红、紫、绿、蓝、棕、黑）识别； </w:t>
            </w:r>
            <w:r>
              <w:rPr>
                <w:rFonts w:hint="eastAsia" w:ascii="宋体" w:hAnsi="宋体" w:cs="宋体"/>
                <w:kern w:val="0"/>
                <w:sz w:val="18"/>
                <w:szCs w:val="18"/>
              </w:rPr>
              <w:br w:type="textWrapping"/>
            </w:r>
            <w:r>
              <w:rPr>
                <w:rFonts w:hint="eastAsia" w:ascii="宋体" w:hAnsi="宋体" w:cs="宋体"/>
                <w:kern w:val="0"/>
                <w:sz w:val="18"/>
                <w:szCs w:val="18"/>
              </w:rPr>
              <w:t>支持多种车型识别：大客车、中型客车、大货车、小货车、面包车、小轿车及SUV； </w:t>
            </w:r>
            <w:r>
              <w:rPr>
                <w:rFonts w:hint="eastAsia" w:ascii="宋体" w:hAnsi="宋体" w:cs="宋体"/>
                <w:kern w:val="0"/>
                <w:sz w:val="18"/>
                <w:szCs w:val="18"/>
              </w:rPr>
              <w:br w:type="textWrapping"/>
            </w:r>
            <w:r>
              <w:rPr>
                <w:rFonts w:hint="eastAsia" w:ascii="宋体" w:hAnsi="宋体" w:cs="宋体"/>
                <w:kern w:val="0"/>
                <w:sz w:val="18"/>
                <w:szCs w:val="18"/>
              </w:rPr>
              <w:t>传感器类型：1英寸全局曝光CMOS（*2） </w:t>
            </w:r>
            <w:r>
              <w:rPr>
                <w:rFonts w:hint="eastAsia" w:ascii="宋体" w:hAnsi="宋体" w:cs="宋体"/>
                <w:kern w:val="0"/>
                <w:sz w:val="18"/>
                <w:szCs w:val="18"/>
              </w:rPr>
              <w:br w:type="textWrapping"/>
            </w:r>
            <w:r>
              <w:rPr>
                <w:rFonts w:hint="eastAsia" w:ascii="宋体" w:hAnsi="宋体" w:cs="宋体"/>
                <w:kern w:val="0"/>
                <w:sz w:val="18"/>
                <w:szCs w:val="18"/>
              </w:rPr>
              <w:t>智能识别：目标检测：机动车抓拍，非机动抓拍，行人抓拍；</w:t>
            </w:r>
            <w:r>
              <w:rPr>
                <w:rFonts w:hint="eastAsia" w:ascii="宋体" w:hAnsi="宋体" w:cs="宋体"/>
                <w:kern w:val="0"/>
                <w:sz w:val="18"/>
                <w:szCs w:val="18"/>
              </w:rPr>
              <w:br w:type="textWrapping"/>
            </w:r>
            <w:r>
              <w:rPr>
                <w:rFonts w:hint="eastAsia" w:ascii="宋体" w:hAnsi="宋体" w:cs="宋体"/>
                <w:kern w:val="0"/>
                <w:sz w:val="18"/>
                <w:szCs w:val="18"/>
              </w:rPr>
              <w:t>视频分辨率：4096(H)×2160(V) </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14 </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2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红外白光爆闪一体灯</w:t>
            </w:r>
          </w:p>
        </w:tc>
        <w:tc>
          <w:tcPr>
            <w:tcW w:w="0" w:type="auto"/>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highlight w:val="none"/>
              </w:rPr>
              <w:t>采用</w:t>
            </w:r>
            <w:r>
              <w:rPr>
                <w:rFonts w:hint="eastAsia" w:ascii="宋体" w:hAnsi="宋体" w:cs="宋体"/>
                <w:kern w:val="0"/>
                <w:sz w:val="18"/>
                <w:szCs w:val="18"/>
                <w:highlight w:val="none"/>
                <w:lang w:eastAsia="zh-CN"/>
              </w:rPr>
              <w:t>不低于</w:t>
            </w:r>
            <w:r>
              <w:rPr>
                <w:rFonts w:hint="eastAsia" w:ascii="宋体" w:hAnsi="宋体" w:cs="宋体"/>
                <w:kern w:val="0"/>
                <w:sz w:val="18"/>
                <w:szCs w:val="18"/>
                <w:highlight w:val="none"/>
              </w:rPr>
              <w:t>24颗原装高亮度LED芯片 </w:t>
            </w:r>
            <w:r>
              <w:rPr>
                <w:rFonts w:hint="eastAsia" w:ascii="宋体" w:hAnsi="宋体" w:cs="宋体"/>
                <w:kern w:val="0"/>
                <w:sz w:val="18"/>
                <w:szCs w:val="18"/>
              </w:rPr>
              <w:br w:type="textWrapping"/>
            </w:r>
            <w:r>
              <w:rPr>
                <w:rFonts w:hint="eastAsia" w:ascii="宋体" w:hAnsi="宋体" w:cs="宋体"/>
                <w:kern w:val="0"/>
                <w:sz w:val="18"/>
                <w:szCs w:val="18"/>
              </w:rPr>
              <w:t>LED频闪支持PWM跟随触发，具有频率及占空比保护功能，发光角度10°；气体爆闪具有防误触发功能，提高产品寿命。可覆盖1个车道 </w:t>
            </w:r>
            <w:r>
              <w:rPr>
                <w:rFonts w:hint="eastAsia" w:ascii="宋体" w:hAnsi="宋体" w:cs="宋体"/>
                <w:kern w:val="0"/>
                <w:sz w:val="18"/>
                <w:szCs w:val="18"/>
              </w:rPr>
              <w:br w:type="textWrapping"/>
            </w:r>
            <w:r>
              <w:rPr>
                <w:rFonts w:hint="eastAsia" w:ascii="宋体" w:hAnsi="宋体" w:cs="宋体"/>
                <w:kern w:val="0"/>
                <w:sz w:val="18"/>
                <w:szCs w:val="18"/>
              </w:rPr>
              <w:t>气体光源回电时间小于67ms，支持超速连拍， </w:t>
            </w:r>
            <w:r>
              <w:rPr>
                <w:rFonts w:hint="eastAsia" w:ascii="宋体" w:hAnsi="宋体" w:cs="宋体"/>
                <w:kern w:val="0"/>
                <w:sz w:val="18"/>
                <w:szCs w:val="18"/>
              </w:rPr>
              <w:br w:type="textWrapping"/>
            </w:r>
            <w:r>
              <w:rPr>
                <w:rFonts w:hint="eastAsia" w:ascii="宋体" w:hAnsi="宋体" w:cs="宋体"/>
                <w:kern w:val="0"/>
                <w:sz w:val="18"/>
                <w:szCs w:val="18"/>
              </w:rPr>
              <w:t>支持LED灯频闪、白光气体爆闪，红外气体爆闪 </w:t>
            </w:r>
            <w:r>
              <w:rPr>
                <w:rFonts w:hint="eastAsia" w:ascii="宋体" w:hAnsi="宋体" w:cs="宋体"/>
                <w:kern w:val="0"/>
                <w:sz w:val="18"/>
                <w:szCs w:val="18"/>
              </w:rPr>
              <w:br w:type="textWrapping"/>
            </w:r>
            <w:r>
              <w:rPr>
                <w:rFonts w:hint="eastAsia" w:ascii="宋体" w:hAnsi="宋体" w:cs="宋体"/>
                <w:kern w:val="0"/>
                <w:sz w:val="18"/>
                <w:szCs w:val="18"/>
              </w:rPr>
              <w:t>支持相机误触发保护功能，触发信号输入异常时自动保护、且自动恢复 </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套</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28 </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3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卡口终端服务器</w:t>
            </w:r>
          </w:p>
        </w:tc>
        <w:tc>
          <w:tcPr>
            <w:tcW w:w="0" w:type="auto"/>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内置1块3.5寸4T硬盘；支持12路IPC接入； </w:t>
            </w:r>
            <w:r>
              <w:rPr>
                <w:rFonts w:hint="eastAsia" w:ascii="宋体" w:hAnsi="宋体" w:cs="宋体"/>
                <w:kern w:val="0"/>
                <w:sz w:val="18"/>
                <w:szCs w:val="18"/>
              </w:rPr>
              <w:br w:type="textWrapping"/>
            </w:r>
            <w:r>
              <w:rPr>
                <w:rFonts w:hint="eastAsia" w:ascii="宋体" w:hAnsi="宋体" w:cs="宋体"/>
                <w:kern w:val="0"/>
                <w:sz w:val="18"/>
                <w:szCs w:val="18"/>
              </w:rPr>
              <w:t>支持对通行车辆的信息（记录和图片）存储； </w:t>
            </w:r>
            <w:r>
              <w:rPr>
                <w:rFonts w:hint="eastAsia" w:ascii="宋体" w:hAnsi="宋体" w:cs="宋体"/>
                <w:kern w:val="0"/>
                <w:sz w:val="18"/>
                <w:szCs w:val="18"/>
              </w:rPr>
              <w:br w:type="textWrapping"/>
            </w:r>
            <w:r>
              <w:rPr>
                <w:rFonts w:hint="eastAsia" w:ascii="宋体" w:hAnsi="宋体" w:cs="宋体"/>
                <w:kern w:val="0"/>
                <w:sz w:val="18"/>
                <w:szCs w:val="18"/>
              </w:rPr>
              <w:t>支持录像存储功能； </w:t>
            </w:r>
            <w:r>
              <w:rPr>
                <w:rFonts w:hint="eastAsia" w:ascii="宋体" w:hAnsi="宋体" w:cs="宋体"/>
                <w:kern w:val="0"/>
                <w:sz w:val="18"/>
                <w:szCs w:val="18"/>
              </w:rPr>
              <w:br w:type="textWrapping"/>
            </w:r>
            <w:r>
              <w:rPr>
                <w:rFonts w:hint="eastAsia" w:ascii="宋体" w:hAnsi="宋体" w:cs="宋体"/>
                <w:kern w:val="0"/>
                <w:sz w:val="18"/>
                <w:szCs w:val="18"/>
              </w:rPr>
              <w:t>可配置多种字符叠加、图片合成模式； </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5 </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4 </w:t>
            </w:r>
          </w:p>
        </w:tc>
        <w:tc>
          <w:tcPr>
            <w:tcW w:w="960"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400万像素红外全景球机</w:t>
            </w:r>
          </w:p>
        </w:tc>
        <w:tc>
          <w:tcPr>
            <w:tcW w:w="0" w:type="auto"/>
            <w:shd w:val="clear" w:color="auto" w:fill="auto"/>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配套电源、支架。</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具备人脸、人体抓拍并关联输出功能，支持多场景轮巡抓拍、远距离卡口抓拍模式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支持人脸人体车辆同时抓拍，人脸人体关联输出，并实现对人脸、人体、车辆结构化属性特征信息提取</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传感器类型: 1/1.8＂ progressive scan CMOS</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内置GPU芯片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支持最低照</w:t>
            </w:r>
            <w:r>
              <w:rPr>
                <w:rFonts w:hint="eastAsia" w:ascii="宋体" w:hAnsi="宋体" w:cs="宋体"/>
                <w:color w:val="000000"/>
                <w:kern w:val="0"/>
                <w:sz w:val="18"/>
                <w:szCs w:val="18"/>
                <w:highlight w:val="none"/>
              </w:rPr>
              <w:t>度</w:t>
            </w:r>
            <w:r>
              <w:rPr>
                <w:rFonts w:hint="eastAsia" w:ascii="宋体" w:hAnsi="宋体" w:cs="宋体"/>
                <w:color w:val="000000"/>
                <w:kern w:val="0"/>
                <w:sz w:val="18"/>
                <w:szCs w:val="18"/>
                <w:highlight w:val="none"/>
                <w:lang w:eastAsia="zh-CN"/>
              </w:rPr>
              <w:t>不高于</w:t>
            </w:r>
            <w:r>
              <w:rPr>
                <w:rFonts w:hint="eastAsia" w:ascii="宋体" w:hAnsi="宋体" w:cs="宋体"/>
                <w:color w:val="000000"/>
                <w:kern w:val="0"/>
                <w:sz w:val="18"/>
                <w:szCs w:val="18"/>
                <w:highlight w:val="none"/>
              </w:rPr>
              <w:t>彩色0.0002 lx，黑白0.0001 lx</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焦距: 25倍光学变倍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 xml:space="preserve">红外照射距离: </w:t>
            </w:r>
            <w:r>
              <w:rPr>
                <w:rFonts w:hint="eastAsia" w:ascii="宋体" w:hAnsi="宋体" w:cs="宋体"/>
                <w:color w:val="000000"/>
                <w:kern w:val="0"/>
                <w:sz w:val="18"/>
                <w:szCs w:val="18"/>
                <w:highlight w:val="none"/>
                <w:lang w:eastAsia="zh-CN"/>
              </w:rPr>
              <w:t>不低于</w:t>
            </w:r>
            <w:r>
              <w:rPr>
                <w:rFonts w:hint="eastAsia" w:ascii="宋体" w:hAnsi="宋体" w:cs="宋体"/>
                <w:color w:val="000000"/>
                <w:kern w:val="0"/>
                <w:sz w:val="18"/>
                <w:szCs w:val="18"/>
                <w:highlight w:val="none"/>
              </w:rPr>
              <w:t>200m</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 </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5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卡口室外机柜</w:t>
            </w:r>
          </w:p>
        </w:tc>
        <w:tc>
          <w:tcPr>
            <w:tcW w:w="0" w:type="auto"/>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包含强电模块，基础等</w:t>
            </w:r>
            <w:r>
              <w:rPr>
                <w:rFonts w:hint="eastAsia" w:ascii="宋体" w:hAnsi="宋体" w:cs="宋体"/>
                <w:kern w:val="0"/>
                <w:sz w:val="18"/>
                <w:szCs w:val="18"/>
              </w:rPr>
              <w:br w:type="textWrapping"/>
            </w:r>
            <w:r>
              <w:rPr>
                <w:rFonts w:hint="eastAsia" w:ascii="宋体" w:hAnsi="宋体" w:cs="宋体"/>
                <w:kern w:val="0"/>
                <w:sz w:val="18"/>
                <w:szCs w:val="18"/>
              </w:rPr>
              <w:t>尺寸：600mm（宽）×800mm（高）×450mm（深）</w:t>
            </w:r>
            <w:r>
              <w:rPr>
                <w:rFonts w:hint="eastAsia" w:ascii="宋体" w:hAnsi="宋体" w:cs="宋体"/>
                <w:kern w:val="0"/>
                <w:sz w:val="18"/>
                <w:szCs w:val="18"/>
              </w:rPr>
              <w:br w:type="textWrapping"/>
            </w:r>
            <w:r>
              <w:rPr>
                <w:rFonts w:hint="eastAsia" w:ascii="宋体" w:hAnsi="宋体" w:cs="宋体"/>
                <w:kern w:val="0"/>
                <w:sz w:val="18"/>
                <w:szCs w:val="18"/>
              </w:rPr>
              <w:t>防护等级IP55</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 </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6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卡口设备箱</w:t>
            </w:r>
          </w:p>
        </w:tc>
        <w:tc>
          <w:tcPr>
            <w:tcW w:w="0" w:type="auto"/>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不锈钢材质，外部喷塑；尺寸不小于450mm*350mm*200mm，具体根据现场情况选择</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2 </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7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卡口立杆</w:t>
            </w:r>
          </w:p>
        </w:tc>
        <w:tc>
          <w:tcPr>
            <w:tcW w:w="0" w:type="auto"/>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定制。八棱、镀锌、喷塑，底径280mm，稍径240mm,壁厚7mm,材料，钢材；悬臂：底径240mm，稍径120mm,长度不低于6000mm,具体大小根据现场情况确定，壁厚7mm,材料Q235钢材，法兰：底径550mm，稍径440mm,壁厚18mm,材料Q235钢材，基坑 长×宽×深mm 1200×1200×1500，承载力N≥12T/ M3.臂长根据实际路宽定（含混凝土基础）</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根</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4 </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8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监控立杆</w:t>
            </w:r>
          </w:p>
        </w:tc>
        <w:tc>
          <w:tcPr>
            <w:tcW w:w="0" w:type="auto"/>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定制6米 镀锌,材料：钢材（含混凝土基础）</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套</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0" w:type="auto"/>
            <w:shd w:val="clear" w:color="auto" w:fill="auto"/>
            <w:vAlign w:val="center"/>
          </w:tcPr>
          <w:p>
            <w:pPr>
              <w:widowControl/>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9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800万黑光级双舱全结构化摄像机</w:t>
            </w:r>
          </w:p>
        </w:tc>
        <w:tc>
          <w:tcPr>
            <w:tcW w:w="0" w:type="auto"/>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含支架</w:t>
            </w:r>
            <w:r>
              <w:rPr>
                <w:rFonts w:hint="eastAsia" w:ascii="宋体" w:hAnsi="宋体" w:cs="宋体"/>
                <w:kern w:val="0"/>
                <w:sz w:val="18"/>
                <w:szCs w:val="18"/>
              </w:rPr>
              <w:br w:type="textWrapping"/>
            </w:r>
            <w:r>
              <w:rPr>
                <w:rFonts w:hint="eastAsia" w:ascii="宋体" w:hAnsi="宋体" w:cs="宋体"/>
                <w:kern w:val="0"/>
                <w:sz w:val="18"/>
                <w:szCs w:val="18"/>
              </w:rPr>
              <w:t>全结构化模式：支持对人脸、人体、非机动车、机动车目标抓拍及相关属性识别</w:t>
            </w:r>
            <w:r>
              <w:rPr>
                <w:rFonts w:hint="eastAsia" w:ascii="宋体" w:hAnsi="宋体" w:cs="宋体"/>
                <w:kern w:val="0"/>
                <w:sz w:val="18"/>
                <w:szCs w:val="18"/>
              </w:rPr>
              <w:br w:type="textWrapping"/>
            </w:r>
            <w:r>
              <w:rPr>
                <w:rFonts w:hint="eastAsia" w:ascii="宋体" w:hAnsi="宋体" w:cs="宋体"/>
                <w:kern w:val="0"/>
                <w:sz w:val="18"/>
                <w:szCs w:val="18"/>
              </w:rPr>
              <w:t>比对模式：支持前端人脸比对、布防、报警输出等</w:t>
            </w:r>
            <w:r>
              <w:rPr>
                <w:rFonts w:hint="eastAsia" w:ascii="宋体" w:hAnsi="宋体" w:cs="宋体"/>
                <w:kern w:val="0"/>
                <w:sz w:val="18"/>
                <w:szCs w:val="18"/>
              </w:rPr>
              <w:br w:type="textWrapping"/>
            </w:r>
            <w:r>
              <w:rPr>
                <w:rFonts w:hint="eastAsia" w:ascii="宋体" w:hAnsi="宋体" w:cs="宋体"/>
                <w:kern w:val="0"/>
                <w:sz w:val="18"/>
                <w:szCs w:val="18"/>
              </w:rPr>
              <w:t>安全服务：支持三级用户权限管理，支持授权的用户和密码，支持IP地址过滤 ，支持GB35114安全加密</w:t>
            </w:r>
            <w:r>
              <w:rPr>
                <w:rFonts w:hint="eastAsia" w:ascii="宋体" w:hAnsi="宋体" w:cs="宋体"/>
                <w:kern w:val="0"/>
                <w:sz w:val="18"/>
                <w:szCs w:val="18"/>
              </w:rPr>
              <w:br w:type="textWrapping"/>
            </w:r>
            <w:r>
              <w:rPr>
                <w:rFonts w:hint="eastAsia" w:ascii="宋体" w:hAnsi="宋体" w:cs="宋体"/>
                <w:kern w:val="0"/>
                <w:sz w:val="18"/>
                <w:szCs w:val="18"/>
              </w:rPr>
              <w:t>传感器类型：通道1：1/1.2" Progressive Scan CMOS</w:t>
            </w:r>
            <w:r>
              <w:rPr>
                <w:rFonts w:hint="eastAsia" w:ascii="宋体" w:hAnsi="宋体" w:cs="宋体"/>
                <w:kern w:val="0"/>
                <w:sz w:val="18"/>
                <w:szCs w:val="18"/>
              </w:rPr>
              <w:br w:type="textWrapping"/>
            </w:r>
            <w:r>
              <w:rPr>
                <w:rFonts w:hint="eastAsia" w:ascii="宋体" w:hAnsi="宋体" w:cs="宋体"/>
                <w:kern w:val="0"/>
                <w:sz w:val="18"/>
                <w:szCs w:val="18"/>
              </w:rPr>
              <w:t>通道2：1/1.8" Progressive Scan CMOS</w:t>
            </w:r>
            <w:r>
              <w:rPr>
                <w:rFonts w:hint="eastAsia" w:ascii="宋体" w:hAnsi="宋体" w:cs="宋体"/>
                <w:kern w:val="0"/>
                <w:sz w:val="18"/>
                <w:szCs w:val="18"/>
              </w:rPr>
              <w:br w:type="textWrapping"/>
            </w:r>
            <w:r>
              <w:rPr>
                <w:rFonts w:hint="eastAsia" w:ascii="宋体" w:hAnsi="宋体" w:cs="宋体"/>
                <w:kern w:val="0"/>
                <w:sz w:val="18"/>
                <w:szCs w:val="18"/>
              </w:rPr>
              <w:t>最低照度：通道1：</w:t>
            </w:r>
            <w:r>
              <w:rPr>
                <w:rFonts w:hint="eastAsia" w:ascii="宋体" w:hAnsi="宋体" w:cs="宋体"/>
                <w:kern w:val="0"/>
                <w:sz w:val="18"/>
                <w:szCs w:val="18"/>
              </w:rPr>
              <w:br w:type="textWrapping"/>
            </w:r>
            <w:r>
              <w:rPr>
                <w:rFonts w:hint="eastAsia" w:ascii="宋体" w:hAnsi="宋体" w:cs="宋体"/>
                <w:kern w:val="0"/>
                <w:sz w:val="18"/>
                <w:szCs w:val="18"/>
                <w:highlight w:val="none"/>
              </w:rPr>
              <w:t>彩色：</w:t>
            </w:r>
            <w:r>
              <w:rPr>
                <w:rFonts w:hint="eastAsia" w:ascii="宋体" w:hAnsi="宋体" w:cs="宋体"/>
                <w:kern w:val="0"/>
                <w:sz w:val="18"/>
                <w:szCs w:val="18"/>
                <w:highlight w:val="none"/>
                <w:lang w:eastAsia="zh-CN"/>
              </w:rPr>
              <w:t>不高于</w:t>
            </w:r>
            <w:r>
              <w:rPr>
                <w:rFonts w:hint="eastAsia" w:ascii="宋体" w:hAnsi="宋体" w:cs="宋体"/>
                <w:kern w:val="0"/>
                <w:sz w:val="18"/>
                <w:szCs w:val="18"/>
                <w:highlight w:val="none"/>
              </w:rPr>
              <w:t>0.0003 Lux @（F1.0，AGC ON）</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黑白：</w:t>
            </w:r>
            <w:r>
              <w:rPr>
                <w:rFonts w:hint="eastAsia" w:ascii="宋体" w:hAnsi="宋体" w:cs="宋体"/>
                <w:kern w:val="0"/>
                <w:sz w:val="18"/>
                <w:szCs w:val="18"/>
                <w:highlight w:val="none"/>
                <w:lang w:eastAsia="zh-CN"/>
              </w:rPr>
              <w:t>不高于</w:t>
            </w:r>
            <w:r>
              <w:rPr>
                <w:rFonts w:hint="eastAsia" w:ascii="宋体" w:hAnsi="宋体" w:cs="宋体"/>
                <w:kern w:val="0"/>
                <w:sz w:val="18"/>
                <w:szCs w:val="18"/>
                <w:highlight w:val="none"/>
              </w:rPr>
              <w:t>0.0001 Lux @（F1.0，AGC ON），0 Lux with IR</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通道2：</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彩色：</w:t>
            </w:r>
            <w:r>
              <w:rPr>
                <w:rFonts w:hint="eastAsia" w:ascii="宋体" w:hAnsi="宋体" w:cs="宋体"/>
                <w:kern w:val="0"/>
                <w:sz w:val="18"/>
                <w:szCs w:val="18"/>
                <w:highlight w:val="none"/>
                <w:lang w:eastAsia="zh-CN"/>
              </w:rPr>
              <w:t>不高于</w:t>
            </w:r>
            <w:r>
              <w:rPr>
                <w:rFonts w:hint="eastAsia" w:ascii="宋体" w:hAnsi="宋体" w:cs="宋体"/>
                <w:kern w:val="0"/>
                <w:sz w:val="18"/>
                <w:szCs w:val="18"/>
                <w:highlight w:val="none"/>
              </w:rPr>
              <w:t>0.0003 Lux @（F1.0，AGC ON），0 Lux with Light</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黑白：</w:t>
            </w:r>
            <w:r>
              <w:rPr>
                <w:rFonts w:hint="eastAsia" w:ascii="宋体" w:hAnsi="宋体" w:cs="宋体"/>
                <w:kern w:val="0"/>
                <w:sz w:val="18"/>
                <w:szCs w:val="18"/>
                <w:highlight w:val="none"/>
                <w:lang w:eastAsia="zh-CN"/>
              </w:rPr>
              <w:t>不高于</w:t>
            </w:r>
            <w:r>
              <w:rPr>
                <w:rFonts w:hint="eastAsia" w:ascii="宋体" w:hAnsi="宋体" w:cs="宋体"/>
                <w:kern w:val="0"/>
                <w:sz w:val="18"/>
                <w:szCs w:val="18"/>
                <w:highlight w:val="none"/>
              </w:rPr>
              <w:t>0.0001 Lux @（F1.0，AGC ON），0 Lux with IR</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图像尺寸：通道1：</w:t>
            </w:r>
            <w:r>
              <w:rPr>
                <w:rFonts w:hint="eastAsia" w:ascii="宋体" w:hAnsi="宋体" w:cs="宋体"/>
                <w:kern w:val="0"/>
                <w:sz w:val="18"/>
                <w:szCs w:val="18"/>
                <w:highlight w:val="none"/>
                <w:lang w:eastAsia="zh-CN"/>
              </w:rPr>
              <w:t>不低于</w:t>
            </w:r>
            <w:r>
              <w:rPr>
                <w:rFonts w:hint="eastAsia" w:ascii="宋体" w:hAnsi="宋体" w:cs="宋体"/>
                <w:kern w:val="0"/>
                <w:sz w:val="18"/>
                <w:szCs w:val="18"/>
                <w:highlight w:val="none"/>
              </w:rPr>
              <w:t>3840 × 2160</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通道2：</w:t>
            </w:r>
            <w:r>
              <w:rPr>
                <w:rFonts w:hint="eastAsia" w:ascii="宋体" w:hAnsi="宋体" w:cs="宋体"/>
                <w:kern w:val="0"/>
                <w:sz w:val="18"/>
                <w:szCs w:val="18"/>
                <w:highlight w:val="none"/>
                <w:lang w:eastAsia="zh-CN"/>
              </w:rPr>
              <w:t>不低于</w:t>
            </w:r>
            <w:r>
              <w:rPr>
                <w:rFonts w:hint="eastAsia" w:ascii="宋体" w:hAnsi="宋体" w:cs="宋体"/>
                <w:kern w:val="0"/>
                <w:sz w:val="18"/>
                <w:szCs w:val="18"/>
                <w:highlight w:val="none"/>
              </w:rPr>
              <w:t>5120 × 1440</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15</w:t>
            </w:r>
          </w:p>
        </w:tc>
        <w:tc>
          <w:tcPr>
            <w:tcW w:w="0" w:type="auto"/>
            <w:shd w:val="clear" w:color="auto" w:fill="auto"/>
            <w:vAlign w:val="center"/>
          </w:tcPr>
          <w:p>
            <w:pPr>
              <w:widowControl/>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万兆光口交换机</w:t>
            </w:r>
          </w:p>
        </w:tc>
        <w:tc>
          <w:tcPr>
            <w:tcW w:w="0" w:type="auto"/>
            <w:shd w:val="clear" w:color="auto" w:fill="auto"/>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含40个万兆光模块，20根多模光纤跳线。全网管三层交换机，机架式，48个1G/10G SFP+光接口，2个40G QSFP+光接口，1个console口，1个usb接口，1个带外管理网口；2个业务扩展槽，2个电源模块槽位，2个风扇模块槽位，交换容量：2.56Tbps/25.6Tbps，包转发率：1080Mpps/1620Mpps，1U高度，19英寸宽，工作温度：0℃～45℃，支持交直流供电，满负荷功耗234W；支持RIP/OSPF/BGP/IS-IS/VRRP，IPv6，VLAN，流量控制，ACL，QoS，端口镜像，环网RRPP/ERPS、支持SNMP V1/V2c/V3网管</w:t>
            </w:r>
          </w:p>
        </w:tc>
        <w:tc>
          <w:tcPr>
            <w:tcW w:w="0" w:type="auto"/>
            <w:shd w:val="clear" w:color="auto" w:fill="auto"/>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0" w:type="auto"/>
            <w:shd w:val="clear" w:color="auto" w:fill="auto"/>
            <w:vAlign w:val="center"/>
          </w:tcPr>
          <w:p>
            <w:pPr>
              <w:widowControl/>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11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云计算服务器</w:t>
            </w:r>
          </w:p>
        </w:tc>
        <w:tc>
          <w:tcPr>
            <w:tcW w:w="0" w:type="auto"/>
            <w:shd w:val="clear" w:color="auto" w:fill="auto"/>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highlight w:val="none"/>
              </w:rPr>
              <w:t>CPU：</w:t>
            </w:r>
            <w:r>
              <w:rPr>
                <w:rFonts w:hint="eastAsia" w:ascii="宋体" w:hAnsi="宋体" w:cs="宋体"/>
                <w:color w:val="000000"/>
                <w:kern w:val="0"/>
                <w:sz w:val="18"/>
                <w:szCs w:val="18"/>
                <w:highlight w:val="none"/>
                <w:lang w:eastAsia="zh-CN"/>
              </w:rPr>
              <w:t>不少于</w:t>
            </w:r>
            <w:r>
              <w:rPr>
                <w:rFonts w:hint="eastAsia" w:ascii="宋体" w:hAnsi="宋体" w:cs="宋体"/>
                <w:color w:val="000000"/>
                <w:kern w:val="0"/>
                <w:sz w:val="18"/>
                <w:szCs w:val="18"/>
                <w:highlight w:val="none"/>
              </w:rPr>
              <w:t>2颗Xeon® Gold 6230</w:t>
            </w:r>
            <w:r>
              <w:rPr>
                <w:rFonts w:hint="eastAsia" w:ascii="宋体" w:hAnsi="宋体" w:cs="宋体"/>
                <w:color w:val="000000"/>
                <w:kern w:val="0"/>
                <w:sz w:val="18"/>
                <w:szCs w:val="18"/>
                <w:highlight w:val="none"/>
                <w:lang w:eastAsia="zh-CN"/>
              </w:rPr>
              <w:t>系列及以上</w:t>
            </w:r>
            <w:r>
              <w:rPr>
                <w:rFonts w:hint="eastAsia" w:ascii="宋体" w:hAnsi="宋体" w:cs="宋体"/>
                <w:color w:val="000000"/>
                <w:kern w:val="0"/>
                <w:sz w:val="18"/>
                <w:szCs w:val="18"/>
                <w:highlight w:val="none"/>
              </w:rPr>
              <w:t>（20核，2.1GHz）</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内存：512G DDR4，24根内存插槽，最大支持扩展至3TB内存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硬盘：2块600G 10K 2.5寸 SAS硬盘,2块 960G SSD硬盘，6块4T 7.2K 3.5寸SATA硬盘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阵列卡：SAS_HBA卡，支持RAID 0/1/10</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PCIE扩展：最大可支持10个PCIE扩展插槽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网口：2个千兆电口，4个万兆光口</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0" w:type="auto"/>
            <w:shd w:val="clear" w:color="auto" w:fill="auto"/>
            <w:vAlign w:val="center"/>
          </w:tcPr>
          <w:p>
            <w:pPr>
              <w:widowControl/>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12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数据分析服务器</w:t>
            </w:r>
          </w:p>
        </w:tc>
        <w:tc>
          <w:tcPr>
            <w:tcW w:w="0" w:type="auto"/>
            <w:shd w:val="clear" w:color="auto" w:fill="auto"/>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rPr>
              <w:t>硬件规格：</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处</w:t>
            </w:r>
            <w:r>
              <w:rPr>
                <w:rFonts w:hint="eastAsia" w:ascii="宋体" w:hAnsi="宋体" w:cs="宋体"/>
                <w:color w:val="000000"/>
                <w:kern w:val="0"/>
                <w:sz w:val="18"/>
                <w:szCs w:val="18"/>
                <w:highlight w:val="none"/>
              </w:rPr>
              <w:t>理器：高性能64位CPU；集成专业级GPU芯片；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内存：4GB DDR3 * 2+32G DDR4 * 8+16GB DDR4 * 1</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硬盘：240G SSD * 1（系统盘），240GB SSD * 1(系统盘) + 240GB SSD * 1+960GB SSD * 3 + 4TB SATA * 2，64GB SSD * 1(系统盘) + 480GB SSD * 1+8TB SATA * 5</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支持Raid 5</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人</w:t>
            </w:r>
            <w:r>
              <w:rPr>
                <w:rFonts w:hint="eastAsia" w:ascii="宋体" w:hAnsi="宋体" w:cs="宋体"/>
                <w:color w:val="000000"/>
                <w:kern w:val="0"/>
                <w:sz w:val="18"/>
                <w:szCs w:val="18"/>
                <w:highlight w:val="none"/>
              </w:rPr>
              <w:t>脸分析：支持</w:t>
            </w:r>
            <w:r>
              <w:rPr>
                <w:rFonts w:hint="eastAsia" w:ascii="宋体" w:hAnsi="宋体" w:cs="宋体"/>
                <w:color w:val="000000"/>
                <w:kern w:val="0"/>
                <w:sz w:val="18"/>
                <w:szCs w:val="18"/>
                <w:highlight w:val="none"/>
                <w:lang w:eastAsia="zh-CN"/>
              </w:rPr>
              <w:t>不低于</w:t>
            </w:r>
            <w:r>
              <w:rPr>
                <w:rFonts w:hint="eastAsia" w:ascii="宋体" w:hAnsi="宋体" w:cs="宋体"/>
                <w:color w:val="000000"/>
                <w:kern w:val="0"/>
                <w:sz w:val="18"/>
                <w:szCs w:val="18"/>
                <w:highlight w:val="none"/>
              </w:rPr>
              <w:t>图片200张/秒 或 视频40路（支持</w:t>
            </w:r>
            <w:r>
              <w:rPr>
                <w:rFonts w:hint="eastAsia" w:ascii="宋体" w:hAnsi="宋体" w:cs="宋体"/>
                <w:color w:val="000000"/>
                <w:kern w:val="0"/>
                <w:sz w:val="18"/>
                <w:szCs w:val="18"/>
                <w:highlight w:val="none"/>
                <w:lang w:eastAsia="zh-CN"/>
              </w:rPr>
              <w:t>不低于</w:t>
            </w:r>
            <w:r>
              <w:rPr>
                <w:rFonts w:hint="eastAsia" w:ascii="宋体" w:hAnsi="宋体" w:cs="宋体"/>
                <w:color w:val="000000"/>
                <w:kern w:val="0"/>
                <w:sz w:val="18"/>
                <w:szCs w:val="18"/>
                <w:highlight w:val="none"/>
              </w:rPr>
              <w:t>100W黑名单，支持</w:t>
            </w:r>
            <w:r>
              <w:rPr>
                <w:rFonts w:hint="eastAsia" w:ascii="宋体" w:hAnsi="宋体" w:cs="宋体"/>
                <w:color w:val="000000"/>
                <w:kern w:val="0"/>
                <w:sz w:val="18"/>
                <w:szCs w:val="18"/>
                <w:highlight w:val="none"/>
                <w:lang w:eastAsia="zh-CN"/>
              </w:rPr>
              <w:t>不低于</w:t>
            </w:r>
            <w:r>
              <w:rPr>
                <w:rFonts w:hint="eastAsia" w:ascii="宋体" w:hAnsi="宋体" w:cs="宋体"/>
                <w:color w:val="000000"/>
                <w:kern w:val="0"/>
                <w:sz w:val="18"/>
                <w:szCs w:val="18"/>
                <w:highlight w:val="none"/>
              </w:rPr>
              <w:t>16个库）；</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车辆分析：支持</w:t>
            </w:r>
            <w:r>
              <w:rPr>
                <w:rFonts w:hint="eastAsia" w:ascii="宋体" w:hAnsi="宋体" w:cs="宋体"/>
                <w:kern w:val="0"/>
                <w:sz w:val="18"/>
                <w:szCs w:val="18"/>
                <w:highlight w:val="none"/>
                <w:lang w:eastAsia="zh-CN"/>
              </w:rPr>
              <w:t>不低于</w:t>
            </w:r>
            <w:r>
              <w:rPr>
                <w:rFonts w:hint="eastAsia" w:ascii="宋体" w:hAnsi="宋体" w:cs="宋体"/>
                <w:color w:val="000000"/>
                <w:kern w:val="0"/>
                <w:sz w:val="18"/>
                <w:szCs w:val="18"/>
                <w:highlight w:val="none"/>
              </w:rPr>
              <w:t>750万张/天；</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视频结构化：支持</w:t>
            </w:r>
            <w:r>
              <w:rPr>
                <w:rFonts w:hint="eastAsia" w:ascii="宋体" w:hAnsi="宋体" w:cs="宋体"/>
                <w:kern w:val="0"/>
                <w:sz w:val="18"/>
                <w:szCs w:val="18"/>
                <w:highlight w:val="none"/>
                <w:lang w:eastAsia="zh-CN"/>
              </w:rPr>
              <w:t>不低于</w:t>
            </w:r>
            <w:r>
              <w:rPr>
                <w:rFonts w:hint="eastAsia" w:ascii="宋体" w:hAnsi="宋体" w:cs="宋体"/>
                <w:color w:val="000000"/>
                <w:kern w:val="0"/>
                <w:sz w:val="18"/>
                <w:szCs w:val="18"/>
                <w:highlight w:val="none"/>
              </w:rPr>
              <w:t>40路；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治安场景图片分析性能（车辆、人体）：支持</w:t>
            </w:r>
            <w:r>
              <w:rPr>
                <w:rFonts w:hint="eastAsia" w:ascii="宋体" w:hAnsi="宋体" w:cs="宋体"/>
                <w:kern w:val="0"/>
                <w:sz w:val="18"/>
                <w:szCs w:val="18"/>
                <w:highlight w:val="none"/>
                <w:lang w:eastAsia="zh-CN"/>
              </w:rPr>
              <w:t>不低于</w:t>
            </w:r>
            <w:r>
              <w:rPr>
                <w:rFonts w:hint="eastAsia" w:ascii="宋体" w:hAnsi="宋体" w:cs="宋体"/>
                <w:color w:val="000000"/>
                <w:kern w:val="0"/>
                <w:sz w:val="18"/>
                <w:szCs w:val="18"/>
                <w:highlight w:val="none"/>
              </w:rPr>
              <w:t>140张/秒（200W）或56张/秒（500W）或42张/秒（800W）</w:t>
            </w:r>
          </w:p>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highlight w:val="none"/>
                <w:lang w:eastAsia="zh-CN"/>
              </w:rPr>
              <w:t>包含</w:t>
            </w:r>
            <w:r>
              <w:rPr>
                <w:rFonts w:hint="eastAsia" w:ascii="宋体" w:hAnsi="宋体" w:cs="宋体"/>
                <w:color w:val="000000"/>
                <w:kern w:val="0"/>
                <w:sz w:val="18"/>
                <w:szCs w:val="18"/>
                <w:highlight w:val="none"/>
                <w:lang w:val="en-US" w:eastAsia="zh-CN"/>
              </w:rPr>
              <w:t>4台笔记本控制终端。CPU为I7 8代系列及以上，内存不低于32GB，硬盘不低于512GB SSD +1TB HDD，独立显卡，显存不低于2GB。</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0" w:type="auto"/>
            <w:shd w:val="clear" w:color="auto" w:fill="auto"/>
            <w:vAlign w:val="center"/>
          </w:tcPr>
          <w:p>
            <w:pPr>
              <w:widowControl/>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13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视频安全网关</w:t>
            </w:r>
          </w:p>
        </w:tc>
        <w:tc>
          <w:tcPr>
            <w:tcW w:w="0" w:type="auto"/>
            <w:shd w:val="clear" w:color="auto" w:fill="auto"/>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支持全量网络流量监测、主动探测扫描等多种方式，准确发现网内前端设备；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支持多种检测协议，支持IPC、NVR、监控系统、PC、网络设备等多种设备的检测；</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支持厂商类型特征库，可识别主流厂商，支持厂商自定义扩展；</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支持在线前端设备信息检测功能，能实时监测前端设备的IP地址、MAC地址、上线时间、厂商信息等；</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支持基于IP地址、MAC地址、应用协议、生产厂商、设备指纹等准入控制方式；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支持跨三层网络前端设备MAC地址识别与准入控制；</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支持手工添加和批量导入准入规则，可根据用户需求灵活配置准入方案；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支持自动识别非法私接入侵、摄像机仿冒/替换攻击行为的检测与防护；</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支持黑名单和白名单流量过滤控制，支持IP地址、端口等多种防护方式；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支持策略联动，实现与视频核心安全网关联动完成攻击源阻断；</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支持前端设备弱口令检测功能，快速发现前端设备弱口令漏洞，密码字典支持在线编辑、加载更新；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支持主路部署、旁路引流部署、端口镜像等部署方式；</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0" w:type="auto"/>
            <w:shd w:val="clear" w:color="auto" w:fill="auto"/>
            <w:vAlign w:val="center"/>
          </w:tcPr>
          <w:p>
            <w:pPr>
              <w:widowControl/>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14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云存储视频存储单元</w:t>
            </w:r>
          </w:p>
        </w:tc>
        <w:tc>
          <w:tcPr>
            <w:tcW w:w="0" w:type="auto"/>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48盘位；双64位多核处理器；32GB缓存；冗余电源；支持SATA硬盘；6个千兆网口；1个系统SSD盘；支持网络RAID 满配8TB SATA企业级硬盘</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0" w:type="auto"/>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0" w:type="auto"/>
            <w:shd w:val="clear" w:color="auto" w:fill="auto"/>
            <w:vAlign w:val="center"/>
          </w:tcPr>
          <w:p>
            <w:pPr>
              <w:widowControl/>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15 </w:t>
            </w:r>
          </w:p>
        </w:tc>
        <w:tc>
          <w:tcPr>
            <w:tcW w:w="960"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48口千兆交换机</w:t>
            </w:r>
          </w:p>
        </w:tc>
        <w:tc>
          <w:tcPr>
            <w:tcW w:w="0" w:type="auto"/>
            <w:shd w:val="clear" w:color="auto" w:fill="auto"/>
            <w:vAlign w:val="center"/>
          </w:tcPr>
          <w:p>
            <w:pPr>
              <w:widowControl/>
              <w:rPr>
                <w:rFonts w:hint="eastAsia" w:ascii="宋体" w:hAnsi="宋体" w:cs="宋体"/>
                <w:kern w:val="0"/>
                <w:sz w:val="18"/>
                <w:szCs w:val="18"/>
                <w:highlight w:val="none"/>
              </w:rPr>
            </w:pPr>
            <w:r>
              <w:rPr>
                <w:rFonts w:hint="eastAsia" w:ascii="宋体" w:hAnsi="宋体" w:cs="宋体"/>
                <w:kern w:val="0"/>
                <w:sz w:val="18"/>
                <w:szCs w:val="18"/>
                <w:highlight w:val="none"/>
              </w:rPr>
              <w:t>上联为万兆模块，代替机房千兆汇聚交换机，包含万兆光模块</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全网管三层交换机，机架式，48个千兆电口，4个万兆SFP+光口；1个业务扩展槽，2个电源模块槽位，2个风扇模块槽位，交换容量</w:t>
            </w:r>
            <w:r>
              <w:rPr>
                <w:rFonts w:hint="eastAsia" w:ascii="宋体" w:hAnsi="宋体" w:cs="宋体"/>
                <w:kern w:val="0"/>
                <w:sz w:val="18"/>
                <w:szCs w:val="18"/>
                <w:highlight w:val="none"/>
                <w:lang w:eastAsia="zh-CN"/>
              </w:rPr>
              <w:t>不低于</w:t>
            </w:r>
            <w:r>
              <w:rPr>
                <w:rFonts w:hint="eastAsia" w:ascii="宋体" w:hAnsi="宋体" w:cs="宋体"/>
                <w:kern w:val="0"/>
                <w:sz w:val="18"/>
                <w:szCs w:val="18"/>
                <w:highlight w:val="none"/>
              </w:rPr>
              <w:t>598Gbps，包转发率</w:t>
            </w:r>
            <w:r>
              <w:rPr>
                <w:rFonts w:hint="eastAsia" w:ascii="宋体" w:hAnsi="宋体" w:cs="宋体"/>
                <w:kern w:val="0"/>
                <w:sz w:val="18"/>
                <w:szCs w:val="18"/>
                <w:highlight w:val="none"/>
                <w:lang w:eastAsia="zh-CN"/>
              </w:rPr>
              <w:t>不低于</w:t>
            </w:r>
            <w:r>
              <w:rPr>
                <w:rFonts w:hint="eastAsia" w:ascii="宋体" w:hAnsi="宋体" w:cs="宋体"/>
                <w:kern w:val="0"/>
                <w:sz w:val="18"/>
                <w:szCs w:val="18"/>
                <w:highlight w:val="none"/>
              </w:rPr>
              <w:t>252Mpps，1U高度，19英寸宽，工作温度：0℃～45℃，支持交直流供电，满负荷功耗88W（单交流电源情况下）；支持RIP/OSPF/BGP/IS-IS/VRRP，IPv6，VLAN，流量控制，ACL，QoS，端口镜像，环网RRPP/ERPS、支持SNMP V1/V2c/V3网管</w:t>
            </w:r>
          </w:p>
        </w:tc>
        <w:tc>
          <w:tcPr>
            <w:tcW w:w="0" w:type="auto"/>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台</w:t>
            </w:r>
          </w:p>
        </w:tc>
        <w:tc>
          <w:tcPr>
            <w:tcW w:w="0" w:type="auto"/>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0" w:type="auto"/>
            <w:shd w:val="clear" w:color="auto" w:fill="auto"/>
            <w:vAlign w:val="center"/>
          </w:tcPr>
          <w:p>
            <w:pPr>
              <w:widowControl/>
              <w:jc w:val="left"/>
              <w:rPr>
                <w:rFonts w:hint="eastAsia" w:ascii="宋体" w:hAnsi="宋体" w:cs="宋体"/>
                <w:b/>
                <w:bCs/>
                <w:kern w:val="0"/>
                <w:sz w:val="18"/>
                <w:szCs w:val="18"/>
                <w:highlight w:val="none"/>
              </w:rPr>
            </w:pPr>
            <w:r>
              <w:rPr>
                <w:rFonts w:hint="eastAsia" w:ascii="宋体" w:hAnsi="宋体" w:cs="宋体"/>
                <w:b/>
                <w:bCs/>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427"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16 </w:t>
            </w:r>
          </w:p>
        </w:tc>
        <w:tc>
          <w:tcPr>
            <w:tcW w:w="960" w:type="dxa"/>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安装辅材</w:t>
            </w:r>
          </w:p>
        </w:tc>
        <w:tc>
          <w:tcPr>
            <w:tcW w:w="0" w:type="auto"/>
            <w:shd w:val="clear" w:color="auto" w:fill="auto"/>
            <w:vAlign w:val="center"/>
          </w:tcPr>
          <w:p>
            <w:pPr>
              <w:widowControl/>
              <w:rPr>
                <w:rFonts w:hint="eastAsia" w:ascii="宋体" w:hAnsi="宋体" w:cs="宋体"/>
                <w:kern w:val="0"/>
                <w:sz w:val="18"/>
                <w:szCs w:val="18"/>
                <w:highlight w:val="none"/>
              </w:rPr>
            </w:pPr>
            <w:r>
              <w:rPr>
                <w:rFonts w:hint="eastAsia" w:ascii="宋体" w:hAnsi="宋体" w:cs="宋体"/>
                <w:kern w:val="0"/>
                <w:sz w:val="18"/>
                <w:szCs w:val="18"/>
                <w:highlight w:val="none"/>
              </w:rPr>
              <w:t>根据采购人要求及实际情况，顶管、安装架设光纤、网线、电源线、钢绞线、光纤收发器、交换机、电表、电表箱、断路器、设备箱、熔纤、尾纤、跳线、终端接线盒、穿线管、绑扎固定等，满足设备正常运行上传系统平台图像所需的一切辅材，以及在安装架设设备及线路过程中，若对其他单位及个人的设施有损毁，需要赔偿的费用。其中光纤需符合国标，8芯以上；网线采用国标室外超五类防水网线，0.5mm无氧铜，PE护套；电源线需符合国标，规格为RVV2*1.5；光纤收发器1个百兆光口、1个百兆网口，工业导轨式，传输距离</w:t>
            </w:r>
            <w:r>
              <w:rPr>
                <w:rFonts w:hint="eastAsia" w:ascii="宋体" w:hAnsi="宋体" w:cs="宋体"/>
                <w:kern w:val="0"/>
                <w:sz w:val="18"/>
                <w:szCs w:val="18"/>
                <w:highlight w:val="none"/>
                <w:lang w:eastAsia="zh-CN"/>
              </w:rPr>
              <w:t>不低于</w:t>
            </w:r>
            <w:r>
              <w:rPr>
                <w:rFonts w:hint="eastAsia" w:ascii="宋体" w:hAnsi="宋体" w:cs="宋体"/>
                <w:kern w:val="0"/>
                <w:sz w:val="18"/>
                <w:szCs w:val="18"/>
                <w:highlight w:val="none"/>
              </w:rPr>
              <w:t>20公里，FC口，单模单纤；交换机为8口百兆工业级交换机。背板带宽100M，交换容量</w:t>
            </w:r>
            <w:r>
              <w:rPr>
                <w:rFonts w:hint="eastAsia" w:ascii="宋体" w:hAnsi="宋体" w:cs="宋体"/>
                <w:kern w:val="0"/>
                <w:sz w:val="18"/>
                <w:szCs w:val="18"/>
                <w:highlight w:val="none"/>
                <w:lang w:eastAsia="zh-CN"/>
              </w:rPr>
              <w:t>不低于</w:t>
            </w:r>
            <w:r>
              <w:rPr>
                <w:rFonts w:hint="eastAsia" w:ascii="宋体" w:hAnsi="宋体" w:cs="宋体"/>
                <w:kern w:val="0"/>
                <w:sz w:val="18"/>
                <w:szCs w:val="18"/>
                <w:highlight w:val="none"/>
              </w:rPr>
              <w:t>1.6Gbps，包转发率</w:t>
            </w:r>
            <w:r>
              <w:rPr>
                <w:rFonts w:hint="eastAsia" w:ascii="宋体" w:hAnsi="宋体" w:cs="宋体"/>
                <w:kern w:val="0"/>
                <w:sz w:val="18"/>
                <w:szCs w:val="18"/>
                <w:highlight w:val="none"/>
                <w:lang w:eastAsia="zh-CN"/>
              </w:rPr>
              <w:t>不低于</w:t>
            </w:r>
            <w:r>
              <w:rPr>
                <w:rFonts w:hint="eastAsia" w:ascii="宋体" w:hAnsi="宋体" w:cs="宋体"/>
                <w:kern w:val="0"/>
                <w:sz w:val="18"/>
                <w:szCs w:val="18"/>
                <w:highlight w:val="none"/>
              </w:rPr>
              <w:t>1.2Mpps，220v交流，满负荷功耗4瓦，1-2号端口支持视频红口保障技术。</w:t>
            </w:r>
          </w:p>
        </w:tc>
        <w:tc>
          <w:tcPr>
            <w:tcW w:w="0" w:type="auto"/>
            <w:shd w:val="clear" w:color="auto" w:fill="auto"/>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批</w:t>
            </w:r>
          </w:p>
        </w:tc>
        <w:tc>
          <w:tcPr>
            <w:tcW w:w="0" w:type="auto"/>
            <w:shd w:val="clear" w:color="auto" w:fill="auto"/>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0" w:type="auto"/>
            <w:shd w:val="clear" w:color="auto" w:fill="auto"/>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1387" w:type="dxa"/>
            <w:gridSpan w:val="2"/>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lang w:eastAsia="zh-CN"/>
              </w:rPr>
              <w:t>备注：</w:t>
            </w:r>
          </w:p>
        </w:tc>
        <w:tc>
          <w:tcPr>
            <w:tcW w:w="8709" w:type="dxa"/>
            <w:gridSpan w:val="4"/>
            <w:shd w:val="clear" w:color="auto" w:fill="auto"/>
            <w:vAlign w:val="center"/>
          </w:tcPr>
          <w:p>
            <w:pPr>
              <w:widowControl/>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1、本次项目主要为平台扩容项目，为保证兼容性、统一性、避免重复投资，要求投标人所投产品设备须在采购人原有监控平台的基础上进行扩容升级改造，保证与原有平台无缝对接，提供所投产品制造商出具的可无缝对接证明（加盖产品制造商公章），以保障整个系统的兼容性、稳定性和安全性，顺利实现平台改造扩容。</w:t>
            </w:r>
          </w:p>
          <w:p>
            <w:pPr>
              <w:widowControl/>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2、各投标人报价应包括服务期内本次项目中需租用运营商的线路费用和所有前端设备等正常运行的电费。</w:t>
            </w:r>
          </w:p>
          <w:p>
            <w:pPr>
              <w:widowControl/>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3、请各投标人报价时须考虑此项目所需的检测等相关费用。</w:t>
            </w:r>
          </w:p>
          <w:p>
            <w:pPr>
              <w:widowControl/>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4、该项目所有投标产品必须满足或优于招标文件规定的技术参数。不满足者视为自动放弃投标资格。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1387" w:type="dxa"/>
            <w:gridSpan w:val="2"/>
            <w:shd w:val="clear" w:color="auto" w:fill="auto"/>
            <w:vAlign w:val="center"/>
          </w:tcPr>
          <w:p>
            <w:pPr>
              <w:widowControl/>
              <w:rPr>
                <w:rFonts w:hint="eastAsia" w:ascii="宋体" w:hAnsi="宋体" w:cs="宋体"/>
                <w:kern w:val="0"/>
                <w:sz w:val="18"/>
                <w:szCs w:val="18"/>
                <w:lang w:val="en-US" w:eastAsia="zh-CN"/>
              </w:rPr>
            </w:pPr>
            <w:r>
              <w:rPr>
                <w:rFonts w:hint="eastAsia" w:ascii="宋体" w:hAnsi="宋体" w:cs="宋体"/>
                <w:kern w:val="0"/>
                <w:sz w:val="18"/>
                <w:szCs w:val="18"/>
                <w:lang w:val="en-US" w:eastAsia="zh-CN"/>
              </w:rPr>
              <w:t>服务期要求：</w:t>
            </w:r>
          </w:p>
          <w:p>
            <w:pPr>
              <w:widowControl/>
              <w:rPr>
                <w:rFonts w:hint="eastAsia" w:ascii="宋体" w:hAnsi="宋体" w:cs="宋体"/>
                <w:kern w:val="0"/>
                <w:sz w:val="18"/>
                <w:szCs w:val="18"/>
              </w:rPr>
            </w:pPr>
          </w:p>
        </w:tc>
        <w:tc>
          <w:tcPr>
            <w:tcW w:w="8709" w:type="dxa"/>
            <w:gridSpan w:val="4"/>
            <w:shd w:val="clear" w:color="auto" w:fill="auto"/>
            <w:vAlign w:val="center"/>
          </w:tcPr>
          <w:p>
            <w:pPr>
              <w:widowControl/>
              <w:rPr>
                <w:rFonts w:hint="default" w:ascii="宋体" w:hAnsi="宋体" w:cs="宋体"/>
                <w:kern w:val="0"/>
                <w:sz w:val="18"/>
                <w:szCs w:val="18"/>
                <w:lang w:val="en-US" w:eastAsia="zh-CN"/>
              </w:rPr>
            </w:pPr>
            <w:r>
              <w:rPr>
                <w:rFonts w:hint="default" w:ascii="宋体" w:hAnsi="宋体" w:cs="宋体"/>
                <w:kern w:val="0"/>
                <w:sz w:val="18"/>
                <w:szCs w:val="18"/>
                <w:lang w:val="en-US" w:eastAsia="zh-CN"/>
              </w:rPr>
              <w:t>1、</w:t>
            </w:r>
            <w:r>
              <w:rPr>
                <w:rFonts w:hint="default" w:ascii="宋体" w:hAnsi="宋体" w:cs="宋体"/>
                <w:kern w:val="0"/>
                <w:sz w:val="18"/>
                <w:szCs w:val="18"/>
                <w:highlight w:val="none"/>
                <w:lang w:val="en-US" w:eastAsia="zh-CN"/>
              </w:rPr>
              <w:t>服务期：自</w:t>
            </w:r>
            <w:r>
              <w:rPr>
                <w:rFonts w:hint="default" w:ascii="宋体" w:hAnsi="宋体" w:cs="宋体"/>
                <w:kern w:val="0"/>
                <w:sz w:val="18"/>
                <w:szCs w:val="18"/>
                <w:lang w:val="en-US" w:eastAsia="zh-CN"/>
              </w:rPr>
              <w:t>验收合格之日起共3年。</w:t>
            </w:r>
          </w:p>
          <w:p>
            <w:pPr>
              <w:widowControl/>
              <w:rPr>
                <w:rFonts w:hint="default" w:ascii="宋体" w:hAnsi="宋体" w:cs="宋体"/>
                <w:kern w:val="0"/>
                <w:sz w:val="18"/>
                <w:szCs w:val="18"/>
                <w:lang w:val="en-US" w:eastAsia="zh-CN"/>
              </w:rPr>
            </w:pPr>
            <w:r>
              <w:rPr>
                <w:rFonts w:hint="default" w:ascii="宋体" w:hAnsi="宋体" w:cs="宋体"/>
                <w:kern w:val="0"/>
                <w:sz w:val="18"/>
                <w:szCs w:val="18"/>
                <w:lang w:val="en-US" w:eastAsia="zh-CN"/>
              </w:rPr>
              <w:t>2、服务期满后，若原有配件已不销售，成交人应承诺为采购人提供升级配件（价格不得高于原设备价格），使系统正常稳定工作。</w:t>
            </w:r>
          </w:p>
          <w:p>
            <w:pPr>
              <w:widowControl/>
              <w:rPr>
                <w:rFonts w:hint="default" w:ascii="宋体" w:hAnsi="宋体" w:cs="宋体"/>
                <w:kern w:val="0"/>
                <w:sz w:val="18"/>
                <w:szCs w:val="18"/>
                <w:lang w:val="en-US" w:eastAsia="zh-CN"/>
              </w:rPr>
            </w:pPr>
            <w:r>
              <w:rPr>
                <w:rFonts w:hint="default" w:ascii="宋体" w:hAnsi="宋体" w:cs="宋体"/>
                <w:kern w:val="0"/>
                <w:sz w:val="18"/>
                <w:szCs w:val="18"/>
                <w:lang w:val="en-US" w:eastAsia="zh-CN"/>
              </w:rPr>
              <w:t>3、成交人在服务期内按照采购人要求，免费拆移本次项目的所有设备，安装到指定位置，并保证设备正常运行。</w:t>
            </w:r>
          </w:p>
          <w:p>
            <w:pPr>
              <w:widowControl/>
              <w:rPr>
                <w:rFonts w:hint="default" w:ascii="宋体" w:hAnsi="宋体" w:cs="宋体"/>
                <w:kern w:val="0"/>
                <w:sz w:val="18"/>
                <w:szCs w:val="18"/>
                <w:lang w:val="en-US" w:eastAsia="zh-CN"/>
              </w:rPr>
            </w:pPr>
            <w:r>
              <w:rPr>
                <w:rFonts w:hint="default" w:ascii="宋体" w:hAnsi="宋体" w:cs="宋体"/>
                <w:kern w:val="0"/>
                <w:sz w:val="18"/>
                <w:szCs w:val="18"/>
                <w:lang w:val="en-US" w:eastAsia="zh-CN"/>
              </w:rPr>
              <w:t>4、成交人应保证采购人视频监控平台（含本次项目所有子系统及原有项目所有硬件、软件）与上级部门联网对接科学、安全，整体运行流畅，符合国家、地方有关标准及采购人需求。若上级部门对采购人视频监控平台进行升级、改造、联网等工作时，如需增加费用，由成交人承担，采购人不再追加。</w:t>
            </w:r>
          </w:p>
          <w:p>
            <w:pPr>
              <w:widowControl/>
              <w:rPr>
                <w:rFonts w:hint="default" w:ascii="宋体" w:hAnsi="宋体" w:cs="宋体"/>
                <w:kern w:val="0"/>
                <w:sz w:val="18"/>
                <w:szCs w:val="18"/>
                <w:lang w:val="en-US" w:eastAsia="zh-CN"/>
              </w:rPr>
            </w:pPr>
            <w:r>
              <w:rPr>
                <w:rFonts w:hint="eastAsia" w:ascii="宋体" w:hAnsi="宋体" w:cs="宋体"/>
                <w:kern w:val="0"/>
                <w:sz w:val="18"/>
                <w:szCs w:val="18"/>
                <w:lang w:val="en-US" w:eastAsia="zh-CN"/>
              </w:rPr>
              <w:t>5</w:t>
            </w:r>
            <w:r>
              <w:rPr>
                <w:rFonts w:hint="default" w:ascii="宋体" w:hAnsi="宋体" w:cs="宋体"/>
                <w:kern w:val="0"/>
                <w:sz w:val="18"/>
                <w:szCs w:val="18"/>
                <w:lang w:val="en-US" w:eastAsia="zh-CN"/>
              </w:rPr>
              <w:t>、成交人必须提供24小时售后服务电话，售后服务电话有变更的应提前7日书面通知采购人。</w:t>
            </w:r>
          </w:p>
          <w:p>
            <w:pPr>
              <w:widowControl/>
              <w:rPr>
                <w:rFonts w:hint="default" w:ascii="宋体" w:hAnsi="宋体" w:cs="宋体"/>
                <w:kern w:val="0"/>
                <w:sz w:val="18"/>
                <w:szCs w:val="18"/>
                <w:lang w:val="en-US" w:eastAsia="zh-CN"/>
              </w:rPr>
            </w:pPr>
            <w:r>
              <w:rPr>
                <w:rFonts w:hint="eastAsia" w:ascii="宋体" w:hAnsi="宋体" w:cs="宋体"/>
                <w:kern w:val="0"/>
                <w:sz w:val="18"/>
                <w:szCs w:val="18"/>
                <w:lang w:val="en-US" w:eastAsia="zh-CN"/>
              </w:rPr>
              <w:t>6</w:t>
            </w:r>
            <w:r>
              <w:rPr>
                <w:rFonts w:hint="default" w:ascii="宋体" w:hAnsi="宋体" w:cs="宋体"/>
                <w:kern w:val="0"/>
                <w:sz w:val="18"/>
                <w:szCs w:val="18"/>
                <w:lang w:val="en-US" w:eastAsia="zh-CN"/>
              </w:rPr>
              <w:t>、服务期内要求：</w:t>
            </w:r>
          </w:p>
          <w:p>
            <w:pPr>
              <w:widowControl/>
              <w:rPr>
                <w:rFonts w:hint="default" w:ascii="宋体" w:hAnsi="宋体" w:cs="宋体"/>
                <w:color w:val="auto"/>
                <w:kern w:val="0"/>
                <w:sz w:val="18"/>
                <w:szCs w:val="18"/>
                <w:highlight w:val="none"/>
                <w:lang w:val="en-US" w:eastAsia="zh-CN"/>
              </w:rPr>
            </w:pPr>
            <w:r>
              <w:rPr>
                <w:rFonts w:hint="default" w:ascii="宋体" w:hAnsi="宋体" w:cs="宋体"/>
                <w:kern w:val="0"/>
                <w:sz w:val="18"/>
                <w:szCs w:val="18"/>
                <w:lang w:val="en-US" w:eastAsia="zh-CN"/>
              </w:rPr>
              <w:t>为保证维护保养效率效果，成交人必须提供两名常驻维护人员及一辆维护专用车辆。除因电力部门干线故障、恶劣天气、自然灾害等原因外，本次项目所有设备每天在线率均不得低于9</w:t>
            </w:r>
            <w:r>
              <w:rPr>
                <w:rFonts w:hint="eastAsia" w:ascii="宋体" w:hAnsi="宋体" w:cs="宋体"/>
                <w:kern w:val="0"/>
                <w:sz w:val="18"/>
                <w:szCs w:val="18"/>
                <w:lang w:val="en-US" w:eastAsia="zh-CN"/>
              </w:rPr>
              <w:t>8</w:t>
            </w:r>
            <w:r>
              <w:rPr>
                <w:rFonts w:hint="default" w:ascii="宋体" w:hAnsi="宋体" w:cs="宋体"/>
                <w:kern w:val="0"/>
                <w:sz w:val="18"/>
                <w:szCs w:val="18"/>
                <w:lang w:val="en-US" w:eastAsia="zh-CN"/>
              </w:rPr>
              <w:t>%</w:t>
            </w:r>
            <w:r>
              <w:rPr>
                <w:rFonts w:hint="default" w:ascii="宋体" w:hAnsi="宋体" w:cs="宋体"/>
                <w:color w:val="auto"/>
                <w:kern w:val="0"/>
                <w:sz w:val="18"/>
                <w:szCs w:val="18"/>
                <w:highlight w:val="none"/>
                <w:lang w:val="en-US" w:eastAsia="zh-CN"/>
              </w:rPr>
              <w:t>。每天的设备在线率小于9</w:t>
            </w:r>
            <w:r>
              <w:rPr>
                <w:rFonts w:hint="eastAsia" w:ascii="宋体" w:hAnsi="宋体" w:cs="宋体"/>
                <w:color w:val="auto"/>
                <w:kern w:val="0"/>
                <w:sz w:val="18"/>
                <w:szCs w:val="18"/>
                <w:highlight w:val="none"/>
                <w:lang w:val="en-US" w:eastAsia="zh-CN"/>
              </w:rPr>
              <w:t>8</w:t>
            </w:r>
            <w:r>
              <w:rPr>
                <w:rFonts w:hint="default" w:ascii="宋体" w:hAnsi="宋体" w:cs="宋体"/>
                <w:color w:val="auto"/>
                <w:kern w:val="0"/>
                <w:sz w:val="18"/>
                <w:szCs w:val="18"/>
                <w:highlight w:val="none"/>
                <w:lang w:val="en-US" w:eastAsia="zh-CN"/>
              </w:rPr>
              <w:t>%、大于等于9</w:t>
            </w:r>
            <w:r>
              <w:rPr>
                <w:rFonts w:hint="eastAsia" w:ascii="宋体" w:hAnsi="宋体" w:cs="宋体"/>
                <w:color w:val="auto"/>
                <w:kern w:val="0"/>
                <w:sz w:val="18"/>
                <w:szCs w:val="18"/>
                <w:highlight w:val="none"/>
                <w:lang w:val="en-US" w:eastAsia="zh-CN"/>
              </w:rPr>
              <w:t>7</w:t>
            </w:r>
            <w:r>
              <w:rPr>
                <w:rFonts w:hint="default" w:ascii="宋体" w:hAnsi="宋体" w:cs="宋体"/>
                <w:color w:val="auto"/>
                <w:kern w:val="0"/>
                <w:sz w:val="18"/>
                <w:szCs w:val="18"/>
                <w:highlight w:val="none"/>
                <w:lang w:val="en-US" w:eastAsia="zh-CN"/>
              </w:rPr>
              <w:t>%时，扣除费用1000元。设备在线率小于9</w:t>
            </w:r>
            <w:r>
              <w:rPr>
                <w:rFonts w:hint="eastAsia" w:ascii="宋体" w:hAnsi="宋体" w:cs="宋体"/>
                <w:color w:val="auto"/>
                <w:kern w:val="0"/>
                <w:sz w:val="18"/>
                <w:szCs w:val="18"/>
                <w:highlight w:val="none"/>
                <w:lang w:val="en-US" w:eastAsia="zh-CN"/>
              </w:rPr>
              <w:t>7</w:t>
            </w:r>
            <w:r>
              <w:rPr>
                <w:rFonts w:hint="default" w:ascii="宋体" w:hAnsi="宋体" w:cs="宋体"/>
                <w:color w:val="auto"/>
                <w:kern w:val="0"/>
                <w:sz w:val="18"/>
                <w:szCs w:val="18"/>
                <w:highlight w:val="none"/>
                <w:lang w:val="en-US" w:eastAsia="zh-CN"/>
              </w:rPr>
              <w:t>%、大于等于9</w:t>
            </w:r>
            <w:r>
              <w:rPr>
                <w:rFonts w:hint="eastAsia" w:ascii="宋体" w:hAnsi="宋体" w:cs="宋体"/>
                <w:color w:val="auto"/>
                <w:kern w:val="0"/>
                <w:sz w:val="18"/>
                <w:szCs w:val="18"/>
                <w:highlight w:val="none"/>
                <w:lang w:val="en-US" w:eastAsia="zh-CN"/>
              </w:rPr>
              <w:t>6</w:t>
            </w:r>
            <w:r>
              <w:rPr>
                <w:rFonts w:hint="default" w:ascii="宋体" w:hAnsi="宋体" w:cs="宋体"/>
                <w:color w:val="auto"/>
                <w:kern w:val="0"/>
                <w:sz w:val="18"/>
                <w:szCs w:val="18"/>
                <w:highlight w:val="none"/>
                <w:lang w:val="en-US" w:eastAsia="zh-CN"/>
              </w:rPr>
              <w:t>%时，扣除费用2000元。以此类推。每天的设备在线率低于9</w:t>
            </w:r>
            <w:r>
              <w:rPr>
                <w:rFonts w:hint="eastAsia" w:ascii="宋体" w:hAnsi="宋体" w:cs="宋体"/>
                <w:color w:val="auto"/>
                <w:kern w:val="0"/>
                <w:sz w:val="18"/>
                <w:szCs w:val="18"/>
                <w:highlight w:val="none"/>
                <w:lang w:val="en-US" w:eastAsia="zh-CN"/>
              </w:rPr>
              <w:t>5</w:t>
            </w:r>
            <w:r>
              <w:rPr>
                <w:rFonts w:hint="default" w:ascii="宋体" w:hAnsi="宋体" w:cs="宋体"/>
                <w:color w:val="auto"/>
                <w:kern w:val="0"/>
                <w:sz w:val="18"/>
                <w:szCs w:val="18"/>
                <w:highlight w:val="none"/>
                <w:lang w:val="en-US" w:eastAsia="zh-CN"/>
              </w:rPr>
              <w:t>%时，扣除费用10000元；对于采购人确定的安装在重要部位的设备，成交人需保证此类设备每天在线率为100%。每天的设备在线率小于100%、大于等于99%时，扣除费用1000元。设备在线率小于99%、大于等于98%时，扣除费用2000元。以此类推。每天的设备在线率低于95%时，扣除费用10000元。所扣费用由采购人出具相关文书，并由成交人确认。</w:t>
            </w:r>
          </w:p>
          <w:p>
            <w:pPr>
              <w:widowControl/>
              <w:rPr>
                <w:rFonts w:hint="default" w:ascii="宋体" w:hAnsi="宋体" w:cs="宋体"/>
                <w:kern w:val="0"/>
                <w:sz w:val="18"/>
                <w:szCs w:val="18"/>
                <w:lang w:val="en-US" w:eastAsia="zh-CN"/>
              </w:rPr>
            </w:pPr>
            <w:r>
              <w:rPr>
                <w:rFonts w:hint="eastAsia" w:ascii="宋体" w:hAnsi="宋体" w:cs="宋体"/>
                <w:kern w:val="0"/>
                <w:sz w:val="18"/>
                <w:szCs w:val="18"/>
                <w:lang w:val="en-US" w:eastAsia="zh-CN"/>
              </w:rPr>
              <w:t>7</w:t>
            </w:r>
            <w:r>
              <w:rPr>
                <w:rFonts w:hint="default" w:ascii="宋体" w:hAnsi="宋体" w:cs="宋体"/>
                <w:kern w:val="0"/>
                <w:sz w:val="18"/>
                <w:szCs w:val="18"/>
                <w:lang w:val="en-US" w:eastAsia="zh-CN"/>
              </w:rPr>
              <w:t>、成交人每周应对系统和关键设备进行巡检。至少每月检查一次设备的技术指标，并记录相关详细报告（一式两份），由采购人书面确认，未履行的每次扣费用3000元。每月应对所有设备进行安检、除尘保洁等维护，对系统进行优化等，记录维护报告，由采购人书面确认，未履行的每次扣费用5000元。</w:t>
            </w:r>
          </w:p>
          <w:p>
            <w:pPr>
              <w:widowControl/>
              <w:rPr>
                <w:rFonts w:hint="default" w:ascii="宋体" w:hAnsi="宋体" w:cs="宋体"/>
                <w:kern w:val="0"/>
                <w:sz w:val="18"/>
                <w:szCs w:val="18"/>
                <w:lang w:val="en-US" w:eastAsia="zh-CN"/>
              </w:rPr>
            </w:pPr>
            <w:r>
              <w:rPr>
                <w:rFonts w:hint="eastAsia" w:ascii="宋体" w:hAnsi="宋体" w:cs="宋体"/>
                <w:kern w:val="0"/>
                <w:sz w:val="18"/>
                <w:szCs w:val="18"/>
                <w:lang w:val="en-US" w:eastAsia="zh-CN"/>
              </w:rPr>
              <w:t>8</w:t>
            </w:r>
            <w:r>
              <w:rPr>
                <w:rFonts w:hint="default" w:ascii="宋体" w:hAnsi="宋体" w:cs="宋体"/>
                <w:kern w:val="0"/>
                <w:sz w:val="18"/>
                <w:szCs w:val="18"/>
                <w:lang w:val="en-US" w:eastAsia="zh-CN"/>
              </w:rPr>
              <w:t>、立杆机柜，每年应进行一次油漆。平时在日常巡检过程中，如出现有生锈的情况，则及时油漆。由采购人书面确认。未履行的每次扣除费用5000元。（注：若发现生锈，一周内处理完毕）</w:t>
            </w:r>
          </w:p>
          <w:p>
            <w:pPr>
              <w:widowControl/>
              <w:rPr>
                <w:rFonts w:hint="default" w:ascii="宋体" w:hAnsi="宋体" w:cs="宋体"/>
                <w:kern w:val="0"/>
                <w:sz w:val="18"/>
                <w:szCs w:val="18"/>
                <w:lang w:val="en-US" w:eastAsia="zh-CN"/>
              </w:rPr>
            </w:pPr>
            <w:r>
              <w:rPr>
                <w:rFonts w:hint="eastAsia" w:ascii="宋体" w:hAnsi="宋体" w:cs="宋体"/>
                <w:kern w:val="0"/>
                <w:sz w:val="18"/>
                <w:szCs w:val="18"/>
                <w:lang w:val="en-US" w:eastAsia="zh-CN"/>
              </w:rPr>
              <w:t>9</w:t>
            </w:r>
            <w:r>
              <w:rPr>
                <w:rFonts w:hint="default" w:ascii="宋体" w:hAnsi="宋体" w:cs="宋体"/>
                <w:kern w:val="0"/>
                <w:sz w:val="18"/>
                <w:szCs w:val="18"/>
                <w:lang w:val="en-US" w:eastAsia="zh-CN"/>
              </w:rPr>
              <w:t>、为保证采购人系统平台的正常使用，管道、基础、窨井、线缆、摄像机等设备损坏后，无论何种原因成交人都应2小时内响应，并在48小时内修复，未履行的每次扣除费用500元。待查明损坏原因后，由成交人向相关责任人、单位追偿损失。</w:t>
            </w:r>
          </w:p>
          <w:p>
            <w:pPr>
              <w:widowControl/>
              <w:rPr>
                <w:rFonts w:hint="default" w:ascii="宋体" w:hAnsi="宋体" w:cs="宋体"/>
                <w:kern w:val="0"/>
                <w:sz w:val="18"/>
                <w:szCs w:val="18"/>
                <w:lang w:val="en-US" w:eastAsia="zh-CN"/>
              </w:rPr>
            </w:pPr>
            <w:r>
              <w:rPr>
                <w:rFonts w:hint="eastAsia" w:ascii="宋体" w:hAnsi="宋体" w:cs="宋体"/>
                <w:kern w:val="0"/>
                <w:sz w:val="18"/>
                <w:szCs w:val="18"/>
                <w:lang w:val="en-US" w:eastAsia="zh-CN"/>
              </w:rPr>
              <w:t>10</w:t>
            </w:r>
            <w:r>
              <w:rPr>
                <w:rFonts w:hint="default" w:ascii="宋体" w:hAnsi="宋体" w:cs="宋体"/>
                <w:kern w:val="0"/>
                <w:sz w:val="18"/>
                <w:szCs w:val="18"/>
                <w:lang w:val="en-US" w:eastAsia="zh-CN"/>
              </w:rPr>
              <w:t>、成交人必须给后续项目提供免费的技术支持。</w:t>
            </w:r>
          </w:p>
          <w:p>
            <w:pPr>
              <w:widowControl/>
              <w:rPr>
                <w:rFonts w:hint="eastAsia" w:ascii="宋体" w:hAnsi="宋体" w:cs="宋体"/>
                <w:kern w:val="0"/>
                <w:sz w:val="18"/>
                <w:szCs w:val="18"/>
              </w:rPr>
            </w:pPr>
            <w:r>
              <w:rPr>
                <w:rFonts w:hint="eastAsia" w:ascii="宋体" w:hAnsi="宋体" w:cs="宋体"/>
                <w:kern w:val="0"/>
                <w:sz w:val="18"/>
                <w:szCs w:val="18"/>
                <w:lang w:val="en-US" w:eastAsia="zh-CN"/>
              </w:rPr>
              <w:t>11</w:t>
            </w:r>
            <w:r>
              <w:rPr>
                <w:rFonts w:hint="default" w:ascii="宋体" w:hAnsi="宋体" w:cs="宋体"/>
                <w:kern w:val="0"/>
                <w:sz w:val="18"/>
                <w:szCs w:val="18"/>
                <w:lang w:val="en-US" w:eastAsia="zh-CN"/>
              </w:rPr>
              <w:t>、线路图、管道图、维护保养涉及的相关材料应在验收前提供。</w:t>
            </w:r>
          </w:p>
        </w:tc>
      </w:tr>
    </w:tbl>
    <w:p>
      <w:pPr>
        <w:widowControl/>
        <w:rPr>
          <w:rFonts w:hint="eastAsia" w:ascii="宋体" w:hAnsi="宋体" w:cs="宋体"/>
          <w:kern w:val="0"/>
          <w:sz w:val="18"/>
          <w:szCs w:val="18"/>
        </w:rPr>
      </w:pPr>
    </w:p>
    <w:p>
      <w:pPr>
        <w:widowControl/>
        <w:spacing w:line="560" w:lineRule="exact"/>
        <w:ind w:firstLine="482"/>
        <w:rPr>
          <w:rFonts w:hint="eastAsia" w:asciiTheme="minorEastAsia" w:hAnsiTheme="minorEastAsia" w:eastAsiaTheme="minorEastAsia"/>
          <w:b/>
          <w:bCs/>
          <w:color w:val="auto"/>
          <w:sz w:val="24"/>
          <w:highlight w:val="none"/>
          <w:lang w:eastAsia="zh-CN"/>
        </w:rPr>
      </w:pPr>
      <w:r>
        <w:rPr>
          <w:b/>
          <w:bCs/>
          <w:color w:val="auto"/>
          <w:sz w:val="24"/>
        </w:rPr>
        <w:t>注：本招标项目必须要实质性满足技术要求和商务要求：</w:t>
      </w:r>
    </w:p>
    <w:p>
      <w:pPr>
        <w:pStyle w:val="2"/>
        <w:spacing w:line="560" w:lineRule="exact"/>
        <w:ind w:firstLine="482"/>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lang w:val="en-US" w:eastAsia="zh-CN"/>
        </w:rPr>
        <w:t>1</w:t>
      </w:r>
      <w:r>
        <w:rPr>
          <w:rFonts w:asciiTheme="minorEastAsia" w:hAnsiTheme="minorEastAsia" w:eastAsiaTheme="minorEastAsia"/>
          <w:b/>
          <w:bCs/>
          <w:color w:val="auto"/>
          <w:sz w:val="24"/>
        </w:rPr>
        <w:t>、投标人提供的货物必须是原装全新、高于或等于招标文件规定技术参数的产品。</w:t>
      </w:r>
    </w:p>
    <w:p>
      <w:pPr>
        <w:widowControl/>
        <w:spacing w:line="560" w:lineRule="exact"/>
        <w:ind w:firstLine="482"/>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lang w:val="en-US" w:eastAsia="zh-CN"/>
        </w:rPr>
        <w:t>2</w:t>
      </w:r>
      <w:r>
        <w:rPr>
          <w:rFonts w:asciiTheme="minorEastAsia" w:hAnsiTheme="minorEastAsia" w:eastAsiaTheme="minorEastAsia"/>
          <w:b/>
          <w:bCs/>
          <w:color w:val="auto"/>
          <w:sz w:val="24"/>
        </w:rPr>
        <w:t>、属于</w:t>
      </w:r>
      <w:r>
        <w:rPr>
          <w:rFonts w:hint="eastAsia" w:asciiTheme="minorEastAsia" w:hAnsiTheme="minorEastAsia" w:eastAsiaTheme="minorEastAsia"/>
          <w:b/>
          <w:bCs/>
          <w:color w:val="auto"/>
          <w:sz w:val="24"/>
          <w:lang w:val="en-US" w:eastAsia="zh-CN"/>
        </w:rPr>
        <w:t>节能</w:t>
      </w:r>
      <w:r>
        <w:rPr>
          <w:rFonts w:asciiTheme="minorEastAsia" w:hAnsiTheme="minorEastAsia" w:eastAsiaTheme="minorEastAsia"/>
          <w:b/>
          <w:bCs/>
          <w:color w:val="auto"/>
          <w:sz w:val="24"/>
        </w:rPr>
        <w:t>产品政府采购清单规定必须强制采购的, 必须采购当期</w:t>
      </w:r>
      <w:r>
        <w:rPr>
          <w:rFonts w:hint="eastAsia" w:asciiTheme="minorEastAsia" w:hAnsiTheme="minorEastAsia" w:eastAsiaTheme="minorEastAsia"/>
          <w:b/>
          <w:bCs/>
          <w:color w:val="auto"/>
          <w:sz w:val="24"/>
          <w:lang w:val="en-US" w:eastAsia="zh-CN"/>
        </w:rPr>
        <w:t>节能</w:t>
      </w:r>
      <w:r>
        <w:rPr>
          <w:rFonts w:asciiTheme="minorEastAsia" w:hAnsiTheme="minorEastAsia" w:eastAsiaTheme="minorEastAsia"/>
          <w:b/>
          <w:bCs/>
          <w:color w:val="auto"/>
          <w:sz w:val="24"/>
        </w:rPr>
        <w:t>产品政府采购清单内设备或产品；在价格、技术、服务等指标同等条件下，优先采购</w:t>
      </w:r>
      <w:r>
        <w:rPr>
          <w:rFonts w:hint="eastAsia" w:asciiTheme="minorEastAsia" w:hAnsiTheme="minorEastAsia" w:eastAsiaTheme="minorEastAsia"/>
          <w:b/>
          <w:bCs/>
          <w:color w:val="auto"/>
          <w:sz w:val="24"/>
          <w:lang w:val="en-US" w:eastAsia="zh-CN"/>
        </w:rPr>
        <w:t>节能</w:t>
      </w:r>
      <w:r>
        <w:rPr>
          <w:rFonts w:asciiTheme="minorEastAsia" w:hAnsiTheme="minorEastAsia" w:eastAsiaTheme="minorEastAsia"/>
          <w:b/>
          <w:bCs/>
          <w:color w:val="auto"/>
          <w:sz w:val="24"/>
        </w:rPr>
        <w:t>产品（开标时需提供投标人所投产品属于政府采购清单规定的</w:t>
      </w:r>
      <w:r>
        <w:rPr>
          <w:rFonts w:hint="eastAsia" w:asciiTheme="minorEastAsia" w:hAnsiTheme="minorEastAsia" w:eastAsiaTheme="minorEastAsia"/>
          <w:b/>
          <w:bCs/>
          <w:color w:val="auto"/>
          <w:sz w:val="24"/>
          <w:lang w:val="en-US" w:eastAsia="zh-CN"/>
        </w:rPr>
        <w:t>节能</w:t>
      </w:r>
      <w:r>
        <w:rPr>
          <w:rFonts w:asciiTheme="minorEastAsia" w:hAnsiTheme="minorEastAsia" w:eastAsiaTheme="minorEastAsia"/>
          <w:b/>
          <w:bCs/>
          <w:color w:val="auto"/>
          <w:sz w:val="24"/>
        </w:rPr>
        <w:t>产品的证明材料）。</w:t>
      </w:r>
    </w:p>
    <w:p>
      <w:pPr>
        <w:widowControl/>
        <w:spacing w:line="560" w:lineRule="exact"/>
        <w:ind w:firstLine="482"/>
        <w:rPr>
          <w:rFonts w:asciiTheme="minorEastAsia" w:hAnsiTheme="minorEastAsia" w:eastAsiaTheme="minorEastAsia"/>
          <w:b/>
          <w:bCs/>
          <w:color w:val="auto"/>
          <w:sz w:val="24"/>
        </w:rPr>
      </w:pPr>
    </w:p>
    <w:p>
      <w:pPr>
        <w:pStyle w:val="4"/>
        <w:pageBreakBefore w:val="0"/>
        <w:numPr>
          <w:ilvl w:val="0"/>
          <w:numId w:val="0"/>
        </w:numPr>
        <w:kinsoku/>
        <w:wordWrap/>
        <w:overflowPunct/>
        <w:topLinePunct w:val="0"/>
        <w:bidi w:val="0"/>
        <w:spacing w:before="0" w:beforeAutospacing="0" w:after="0" w:afterAutospacing="0" w:line="360" w:lineRule="auto"/>
        <w:ind w:firstLine="643" w:firstLineChars="200"/>
        <w:jc w:val="center"/>
        <w:rPr>
          <w:rFonts w:hint="eastAsia"/>
          <w:color w:val="auto"/>
          <w:sz w:val="32"/>
          <w:szCs w:val="32"/>
          <w:highlight w:val="none"/>
          <w:lang w:eastAsia="zh-CN"/>
        </w:rPr>
      </w:pPr>
      <w:bookmarkStart w:id="279" w:name="_Toc3770"/>
    </w:p>
    <w:p>
      <w:pPr>
        <w:rPr>
          <w:rFonts w:hint="eastAsia"/>
          <w:color w:val="auto"/>
          <w:sz w:val="32"/>
          <w:szCs w:val="32"/>
          <w:highlight w:val="none"/>
          <w:lang w:eastAsia="zh-CN"/>
        </w:rPr>
      </w:pPr>
    </w:p>
    <w:p>
      <w:pPr>
        <w:pStyle w:val="23"/>
        <w:rPr>
          <w:rFonts w:hint="eastAsia"/>
          <w:lang w:eastAsia="zh-CN"/>
        </w:rPr>
      </w:pPr>
    </w:p>
    <w:p>
      <w:pPr>
        <w:pStyle w:val="24"/>
        <w:rPr>
          <w:rFonts w:hint="eastAsia"/>
          <w:lang w:eastAsia="zh-CN"/>
        </w:rPr>
      </w:pPr>
    </w:p>
    <w:p>
      <w:pPr>
        <w:pStyle w:val="10"/>
        <w:rPr>
          <w:rFonts w:hint="eastAsia"/>
          <w:lang w:eastAsia="zh-CN"/>
        </w:rPr>
      </w:pPr>
    </w:p>
    <w:p>
      <w:pPr>
        <w:pStyle w:val="10"/>
        <w:rPr>
          <w:rFonts w:hint="eastAsia"/>
          <w:lang w:eastAsia="zh-CN"/>
        </w:rPr>
      </w:pPr>
    </w:p>
    <w:p>
      <w:pPr>
        <w:pStyle w:val="10"/>
        <w:rPr>
          <w:rFonts w:hint="eastAsia"/>
          <w:lang w:eastAsia="zh-CN"/>
        </w:rPr>
      </w:pPr>
    </w:p>
    <w:p>
      <w:pPr>
        <w:pStyle w:val="10"/>
        <w:rPr>
          <w:rFonts w:hint="eastAsia"/>
          <w:lang w:eastAsia="zh-CN"/>
        </w:rPr>
      </w:pPr>
    </w:p>
    <w:p>
      <w:pPr>
        <w:pStyle w:val="4"/>
        <w:pageBreakBefore w:val="0"/>
        <w:numPr>
          <w:ilvl w:val="0"/>
          <w:numId w:val="0"/>
        </w:numPr>
        <w:kinsoku/>
        <w:wordWrap/>
        <w:overflowPunct/>
        <w:topLinePunct w:val="0"/>
        <w:bidi w:val="0"/>
        <w:spacing w:before="0" w:beforeAutospacing="0" w:after="0" w:afterAutospacing="0" w:line="360" w:lineRule="auto"/>
        <w:ind w:firstLine="643" w:firstLineChars="200"/>
        <w:jc w:val="center"/>
        <w:rPr>
          <w:rFonts w:hint="eastAsia"/>
          <w:color w:val="auto"/>
          <w:sz w:val="32"/>
          <w:szCs w:val="32"/>
          <w:highlight w:val="none"/>
          <w:lang w:eastAsia="zh-CN"/>
        </w:rPr>
      </w:pPr>
    </w:p>
    <w:p>
      <w:pPr>
        <w:pStyle w:val="4"/>
        <w:pageBreakBefore w:val="0"/>
        <w:numPr>
          <w:ilvl w:val="0"/>
          <w:numId w:val="0"/>
        </w:numPr>
        <w:kinsoku/>
        <w:wordWrap/>
        <w:overflowPunct/>
        <w:topLinePunct w:val="0"/>
        <w:bidi w:val="0"/>
        <w:spacing w:before="0" w:beforeAutospacing="0" w:after="0" w:afterAutospacing="0" w:line="360" w:lineRule="auto"/>
        <w:jc w:val="both"/>
        <w:rPr>
          <w:rFonts w:hint="eastAsia"/>
          <w:color w:val="auto"/>
          <w:sz w:val="32"/>
          <w:szCs w:val="32"/>
          <w:highlight w:val="none"/>
          <w:lang w:eastAsia="zh-CN"/>
        </w:rPr>
      </w:pPr>
    </w:p>
    <w:p>
      <w:pPr>
        <w:pStyle w:val="4"/>
        <w:pageBreakBefore w:val="0"/>
        <w:numPr>
          <w:ilvl w:val="0"/>
          <w:numId w:val="0"/>
        </w:numPr>
        <w:kinsoku/>
        <w:wordWrap/>
        <w:overflowPunct/>
        <w:topLinePunct w:val="0"/>
        <w:bidi w:val="0"/>
        <w:spacing w:before="0" w:beforeAutospacing="0" w:after="0" w:afterAutospacing="0" w:line="360" w:lineRule="auto"/>
        <w:ind w:firstLine="3213" w:firstLineChars="1000"/>
        <w:jc w:val="both"/>
        <w:rPr>
          <w:rFonts w:hint="eastAsia"/>
          <w:color w:val="auto"/>
          <w:sz w:val="32"/>
          <w:szCs w:val="32"/>
          <w:highlight w:val="none"/>
          <w:lang w:val="en-US" w:eastAsia="zh-CN"/>
        </w:rPr>
      </w:pPr>
      <w:r>
        <w:rPr>
          <w:rFonts w:hint="eastAsia"/>
          <w:color w:val="auto"/>
          <w:sz w:val="32"/>
          <w:szCs w:val="32"/>
          <w:highlight w:val="none"/>
          <w:lang w:eastAsia="zh-CN"/>
        </w:rPr>
        <w:t>第</w:t>
      </w:r>
      <w:r>
        <w:rPr>
          <w:rFonts w:hint="eastAsia"/>
          <w:color w:val="auto"/>
          <w:sz w:val="32"/>
          <w:szCs w:val="32"/>
          <w:highlight w:val="none"/>
          <w:lang w:val="en-US" w:eastAsia="zh-CN"/>
        </w:rPr>
        <w:t>六章 质疑与投诉</w:t>
      </w:r>
      <w:bookmarkEnd w:id="279"/>
    </w:p>
    <w:p>
      <w:pPr>
        <w:rPr>
          <w:rFonts w:hint="eastAsia"/>
          <w:color w:val="auto"/>
          <w:highlight w:val="none"/>
          <w:lang w:val="en-US" w:eastAsia="zh-CN"/>
        </w:rPr>
      </w:pPr>
    </w:p>
    <w:p>
      <w:pPr>
        <w:pageBreakBefore w:val="0"/>
        <w:numPr>
          <w:ilvl w:val="0"/>
          <w:numId w:val="0"/>
        </w:numPr>
        <w:kinsoku/>
        <w:wordWrap/>
        <w:overflowPunct/>
        <w:topLinePunct w:val="0"/>
        <w:bidi w:val="0"/>
        <w:spacing w:beforeAutospacing="0" w:afterAutospacing="0"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一、质疑与答复</w:t>
      </w:r>
    </w:p>
    <w:p>
      <w:pPr>
        <w:pStyle w:val="23"/>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 参与政府采购活动的</w:t>
      </w:r>
      <w:r>
        <w:rPr>
          <w:rFonts w:hint="eastAsia" w:ascii="宋体" w:hAnsi="宋体" w:eastAsia="宋体" w:cs="宋体"/>
          <w:color w:val="auto"/>
          <w:sz w:val="21"/>
          <w:szCs w:val="21"/>
          <w:highlight w:val="none"/>
        </w:rPr>
        <w:t>供应商认为采购文件、采购过程、中标或者成交结果使自己的权益受到损害的，可以在知道或者应知其权益受到损害之日起7个工作日内，以书面形式向采购人、采购代理机构提出质疑。</w:t>
      </w:r>
    </w:p>
    <w:p>
      <w:pPr>
        <w:pStyle w:val="24"/>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lang w:eastAsia="zh-CN"/>
        </w:rPr>
        <w:t>供</w:t>
      </w:r>
      <w:r>
        <w:rPr>
          <w:rFonts w:hint="eastAsia" w:ascii="宋体" w:hAnsi="宋体" w:eastAsia="宋体" w:cs="宋体"/>
          <w:color w:val="auto"/>
          <w:sz w:val="21"/>
          <w:szCs w:val="21"/>
          <w:highlight w:val="none"/>
        </w:rPr>
        <w:t>应商提出质疑应当提交质疑函和必要的证明材料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政府采购供应商质疑函范本下载地址：</w:t>
      </w:r>
    </w:p>
    <w:p>
      <w:pPr>
        <w:pStyle w:val="24"/>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left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fldChar w:fldCharType="begin"/>
      </w:r>
      <w:r>
        <w:rPr>
          <w:rFonts w:hint="eastAsia" w:ascii="宋体" w:hAnsi="宋体" w:eastAsia="宋体" w:cs="宋体"/>
          <w:color w:val="auto"/>
          <w:sz w:val="21"/>
          <w:szCs w:val="21"/>
          <w:highlight w:val="none"/>
          <w:lang w:val="en-US" w:eastAsia="zh-CN"/>
        </w:rPr>
        <w:instrText xml:space="preserve"> HYPERLINK "http://download.ccgp.gov.cn/2018/zhiyihanfanben.zip；" </w:instrText>
      </w:r>
      <w:r>
        <w:rPr>
          <w:rFonts w:hint="eastAsia" w:ascii="宋体" w:hAnsi="宋体" w:eastAsia="宋体" w:cs="宋体"/>
          <w:color w:val="auto"/>
          <w:sz w:val="21"/>
          <w:szCs w:val="21"/>
          <w:highlight w:val="none"/>
          <w:lang w:val="en-US" w:eastAsia="zh-CN"/>
        </w:rPr>
        <w:fldChar w:fldCharType="separate"/>
      </w:r>
      <w:r>
        <w:rPr>
          <w:rStyle w:val="28"/>
          <w:rFonts w:hint="eastAsia" w:ascii="宋体" w:hAnsi="宋体" w:eastAsia="宋体" w:cs="宋体"/>
          <w:color w:val="auto"/>
          <w:sz w:val="21"/>
          <w:szCs w:val="21"/>
          <w:highlight w:val="none"/>
          <w:lang w:val="en-US" w:eastAsia="zh-CN"/>
        </w:rPr>
        <w:t>http://download.ccgp.gov.cn/2018/zhiyihanfanben.zip；</w:t>
      </w:r>
      <w:r>
        <w:rPr>
          <w:rFonts w:hint="eastAsia" w:ascii="宋体" w:hAnsi="宋体" w:eastAsia="宋体" w:cs="宋体"/>
          <w:color w:val="auto"/>
          <w:sz w:val="21"/>
          <w:szCs w:val="21"/>
          <w:highlight w:val="none"/>
          <w:lang w:val="en-US" w:eastAsia="zh-CN"/>
        </w:rPr>
        <w:fldChar w:fldCharType="end"/>
      </w:r>
    </w:p>
    <w:p>
      <w:pPr>
        <w:keepNext w:val="0"/>
        <w:keepLines w:val="0"/>
        <w:pageBreakBefore w:val="0"/>
        <w:widowControl w:val="0"/>
        <w:numPr>
          <w:ilvl w:val="0"/>
          <w:numId w:val="13"/>
        </w:numPr>
        <w:kinsoku/>
        <w:wordWrap/>
        <w:overflowPunct/>
        <w:topLinePunct w:val="0"/>
        <w:autoSpaceDE/>
        <w:autoSpaceDN/>
        <w:bidi w:val="0"/>
        <w:snapToGrid/>
        <w:spacing w:beforeAutospacing="0" w:afterAutospacing="0"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采购人、采购代理机构不得拒收质疑供应商在法定质疑期内发出的质疑函，应当在收到质疑函后7个工作日内作出答复，并以书面形式通知质疑供应商和其他有关供应商。</w:t>
      </w:r>
    </w:p>
    <w:p>
      <w:pPr>
        <w:keepNext w:val="0"/>
        <w:keepLines w:val="0"/>
        <w:pageBreakBefore w:val="0"/>
        <w:widowControl w:val="0"/>
        <w:numPr>
          <w:ilvl w:val="0"/>
          <w:numId w:val="13"/>
        </w:numPr>
        <w:kinsoku/>
        <w:wordWrap/>
        <w:overflowPunct/>
        <w:topLinePunct w:val="0"/>
        <w:autoSpaceDE/>
        <w:autoSpaceDN/>
        <w:bidi w:val="0"/>
        <w:snapToGrid/>
        <w:spacing w:beforeAutospacing="0" w:afterAutospacing="0"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供应商提出质疑应当提交质疑函和必要的证明材料。质疑函应当包括下列内容：</w:t>
      </w:r>
    </w:p>
    <w:p>
      <w:pPr>
        <w:keepNext w:val="0"/>
        <w:keepLines w:val="0"/>
        <w:pageBreakBefore w:val="0"/>
        <w:widowControl w:val="0"/>
        <w:numPr>
          <w:ilvl w:val="1"/>
          <w:numId w:val="13"/>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供应商的姓名或者名称、地址、邮编、联系人及联系电话；</w:t>
      </w:r>
    </w:p>
    <w:p>
      <w:pPr>
        <w:keepNext w:val="0"/>
        <w:keepLines w:val="0"/>
        <w:pageBreakBefore w:val="0"/>
        <w:widowControl w:val="0"/>
        <w:numPr>
          <w:ilvl w:val="1"/>
          <w:numId w:val="13"/>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质疑项目的名称、编号；</w:t>
      </w:r>
    </w:p>
    <w:p>
      <w:pPr>
        <w:keepNext w:val="0"/>
        <w:keepLines w:val="0"/>
        <w:pageBreakBefore w:val="0"/>
        <w:widowControl w:val="0"/>
        <w:numPr>
          <w:ilvl w:val="1"/>
          <w:numId w:val="13"/>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具体、明确的质疑事项和与质疑事项相关的请求；</w:t>
      </w:r>
    </w:p>
    <w:p>
      <w:pPr>
        <w:keepNext w:val="0"/>
        <w:keepLines w:val="0"/>
        <w:pageBreakBefore w:val="0"/>
        <w:widowControl w:val="0"/>
        <w:numPr>
          <w:ilvl w:val="1"/>
          <w:numId w:val="13"/>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事实依据；</w:t>
      </w:r>
    </w:p>
    <w:p>
      <w:pPr>
        <w:keepNext w:val="0"/>
        <w:keepLines w:val="0"/>
        <w:pageBreakBefore w:val="0"/>
        <w:widowControl w:val="0"/>
        <w:numPr>
          <w:ilvl w:val="1"/>
          <w:numId w:val="13"/>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必要的法律依据；</w:t>
      </w:r>
    </w:p>
    <w:p>
      <w:pPr>
        <w:keepNext w:val="0"/>
        <w:keepLines w:val="0"/>
        <w:pageBreakBefore w:val="0"/>
        <w:widowControl w:val="0"/>
        <w:numPr>
          <w:ilvl w:val="1"/>
          <w:numId w:val="13"/>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提出质疑的日期；</w:t>
      </w:r>
    </w:p>
    <w:p>
      <w:pPr>
        <w:keepNext w:val="0"/>
        <w:keepLines w:val="0"/>
        <w:pageBreakBefore w:val="0"/>
        <w:widowControl w:val="0"/>
        <w:numPr>
          <w:ilvl w:val="1"/>
          <w:numId w:val="13"/>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获取招标文件的凭证；</w:t>
      </w:r>
    </w:p>
    <w:p>
      <w:pPr>
        <w:keepNext w:val="0"/>
        <w:keepLines w:val="0"/>
        <w:pageBreakBefore w:val="0"/>
        <w:widowControl w:val="0"/>
        <w:numPr>
          <w:ilvl w:val="1"/>
          <w:numId w:val="13"/>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以上资料一式二份（</w:t>
      </w:r>
      <w:r>
        <w:rPr>
          <w:rFonts w:hint="eastAsia" w:ascii="宋体" w:hAnsi="宋体" w:cs="宋体"/>
          <w:color w:val="auto"/>
          <w:sz w:val="21"/>
          <w:szCs w:val="21"/>
          <w:highlight w:val="none"/>
          <w:lang w:eastAsia="zh-CN"/>
        </w:rPr>
        <w:t>采购人</w:t>
      </w:r>
      <w:r>
        <w:rPr>
          <w:rFonts w:hint="eastAsia" w:ascii="宋体" w:hAnsi="宋体" w:eastAsia="宋体" w:cs="宋体"/>
          <w:color w:val="auto"/>
          <w:sz w:val="21"/>
          <w:szCs w:val="21"/>
          <w:highlight w:val="none"/>
        </w:rPr>
        <w:t>、采购代理机构各执一份）。</w:t>
      </w:r>
    </w:p>
    <w:p>
      <w:pPr>
        <w:keepNext w:val="0"/>
        <w:keepLines w:val="0"/>
        <w:pageBreakBefore w:val="0"/>
        <w:widowControl w:val="0"/>
        <w:numPr>
          <w:ilvl w:val="0"/>
          <w:numId w:val="13"/>
        </w:numPr>
        <w:kinsoku/>
        <w:wordWrap/>
        <w:overflowPunct/>
        <w:topLinePunct w:val="0"/>
        <w:autoSpaceDE/>
        <w:autoSpaceDN/>
        <w:bidi w:val="0"/>
        <w:snapToGrid/>
        <w:spacing w:beforeAutospacing="0" w:afterAutospacing="0"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投标人不得虚假质疑和恶意质疑，并对质疑内容的真实性承担责任。</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left="420" w:leftChars="200" w:firstLine="0" w:firstLineChars="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二、投诉与处理</w:t>
      </w:r>
    </w:p>
    <w:p>
      <w:pPr>
        <w:pStyle w:val="23"/>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质疑供应商对采购人、采购代理机构的答复不满意，或者采购人、采购代理机构未在规定时间内作出答复的，可以在答复期满后15个工作日内向本办法第六条规定的财政部门提起投诉。</w:t>
      </w:r>
    </w:p>
    <w:p>
      <w:pPr>
        <w:keepNext w:val="0"/>
        <w:keepLines w:val="0"/>
        <w:pageBreakBefore w:val="0"/>
        <w:widowControl w:val="0"/>
        <w:kinsoku/>
        <w:wordWrap/>
        <w:overflowPunct/>
        <w:topLinePunct w:val="0"/>
        <w:autoSpaceDE/>
        <w:autoSpaceDN/>
        <w:bidi w:val="0"/>
        <w:snapToGrid/>
        <w:spacing w:beforeAutospacing="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质疑供应商对采购人、采购代理机构的答复不满意，或者采购人、采购代理机构未在规定时间内作出答复的，可以在答复期满后15个工作日内向财政部门提起投诉。</w:t>
      </w:r>
    </w:p>
    <w:p>
      <w:pPr>
        <w:pStyle w:val="23"/>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投诉人投诉时,应当提交投诉书和必要的证明材料，并按照被投诉采购人、采购代理机构（以下简称被投诉人）和与投诉事项有关的供应商数量提供投诉书的副本。</w:t>
      </w:r>
      <w:r>
        <w:rPr>
          <w:rFonts w:hint="eastAsia" w:ascii="宋体" w:hAnsi="宋体" w:eastAsia="宋体" w:cs="宋体"/>
          <w:color w:val="auto"/>
          <w:sz w:val="21"/>
          <w:szCs w:val="21"/>
          <w:highlight w:val="none"/>
          <w:lang w:val="en-US" w:eastAsia="zh-CN"/>
        </w:rPr>
        <w:t>政府采购供应商投诉书范本下载地址：</w:t>
      </w:r>
    </w:p>
    <w:p>
      <w:pPr>
        <w:pStyle w:val="23"/>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fldChar w:fldCharType="begin"/>
      </w:r>
      <w:r>
        <w:rPr>
          <w:rFonts w:hint="eastAsia" w:ascii="宋体" w:hAnsi="宋体" w:eastAsia="宋体" w:cs="宋体"/>
          <w:color w:val="auto"/>
          <w:sz w:val="21"/>
          <w:szCs w:val="21"/>
          <w:highlight w:val="none"/>
          <w:lang w:val="en-US" w:eastAsia="zh-CN"/>
        </w:rPr>
        <w:instrText xml:space="preserve"> HYPERLINK "http://download.ccgp.gov.cn/2018/tousushufanben.zip" </w:instrText>
      </w:r>
      <w:r>
        <w:rPr>
          <w:rFonts w:hint="eastAsia" w:ascii="宋体" w:hAnsi="宋体" w:eastAsia="宋体" w:cs="宋体"/>
          <w:color w:val="auto"/>
          <w:sz w:val="21"/>
          <w:szCs w:val="21"/>
          <w:highlight w:val="none"/>
          <w:lang w:val="en-US" w:eastAsia="zh-CN"/>
        </w:rPr>
        <w:fldChar w:fldCharType="separate"/>
      </w:r>
      <w:r>
        <w:rPr>
          <w:rStyle w:val="28"/>
          <w:rFonts w:hint="eastAsia" w:ascii="宋体" w:hAnsi="宋体" w:eastAsia="宋体" w:cs="宋体"/>
          <w:color w:val="auto"/>
          <w:sz w:val="21"/>
          <w:szCs w:val="21"/>
          <w:highlight w:val="none"/>
          <w:lang w:val="en-US" w:eastAsia="zh-CN"/>
        </w:rPr>
        <w:t>http://download.ccgp.gov.cn/2018/tousushufanben.zip</w:t>
      </w:r>
      <w:r>
        <w:rPr>
          <w:rFonts w:hint="eastAsia" w:ascii="宋体" w:hAnsi="宋体" w:eastAsia="宋体" w:cs="宋体"/>
          <w:color w:val="auto"/>
          <w:sz w:val="21"/>
          <w:szCs w:val="21"/>
          <w:highlight w:val="none"/>
          <w:lang w:val="en-US" w:eastAsia="zh-CN"/>
        </w:rPr>
        <w:fldChar w:fldCharType="end"/>
      </w:r>
    </w:p>
    <w:p>
      <w:pPr>
        <w:keepNext w:val="0"/>
        <w:keepLines w:val="0"/>
        <w:pageBreakBefore w:val="0"/>
        <w:widowControl w:val="0"/>
        <w:numPr>
          <w:ilvl w:val="0"/>
          <w:numId w:val="3"/>
        </w:numPr>
        <w:kinsoku/>
        <w:wordWrap/>
        <w:overflowPunct/>
        <w:topLinePunct w:val="0"/>
        <w:autoSpaceDE/>
        <w:autoSpaceDN/>
        <w:bidi w:val="0"/>
        <w:snapToGrid/>
        <w:spacing w:beforeAutospacing="0" w:afterAutospacing="0"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财政部门自收到投诉之日起30个工作日内，对投诉事项作出处理决定</w:t>
      </w:r>
      <w:r>
        <w:rPr>
          <w:rFonts w:hint="eastAsia" w:ascii="宋体" w:hAnsi="宋体" w:eastAsia="宋体" w:cs="宋体"/>
          <w:color w:val="auto"/>
          <w:sz w:val="21"/>
          <w:szCs w:val="21"/>
          <w:highlight w:val="none"/>
          <w:lang w:val="en-US" w:eastAsia="zh-CN"/>
        </w:rPr>
        <w:t>并公示</w:t>
      </w:r>
      <w:r>
        <w:rPr>
          <w:rFonts w:hint="eastAsia" w:ascii="宋体" w:hAnsi="宋体" w:eastAsia="宋体" w:cs="宋体"/>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投诉人在全国范围12个月内三次以上投诉查无实据的，由财政部门列入不良行为记录名单。</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投诉人有财政部94号令第三十七条情形的，属于虚假、恶意投诉，由财政部门列入不良行为记录名单，禁止其1至3年内参加政府采购活动。</w:t>
      </w:r>
    </w:p>
    <w:p>
      <w:pPr>
        <w:pStyle w:val="24"/>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20" w:firstLineChars="200"/>
        <w:rPr>
          <w:rFonts w:hint="eastAsia" w:ascii="宋体" w:hAnsi="宋体" w:eastAsia="宋体" w:cs="宋体"/>
          <w:color w:val="auto"/>
          <w:sz w:val="21"/>
          <w:szCs w:val="21"/>
          <w:highlight w:val="none"/>
          <w:lang w:val="en-US" w:eastAsia="zh-CN"/>
        </w:rPr>
      </w:pP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jc w:val="center"/>
        <w:textAlignment w:val="auto"/>
        <w:rPr>
          <w:rFonts w:hint="eastAsia" w:ascii="宋体" w:hAnsi="宋体" w:eastAsia="宋体" w:cs="宋体"/>
          <w:b w:val="0"/>
          <w:bCs w:val="0"/>
          <w:color w:val="auto"/>
          <w:sz w:val="21"/>
          <w:szCs w:val="21"/>
          <w:highlight w:val="none"/>
          <w:lang w:val="en-US" w:eastAsia="zh-CN"/>
        </w:rPr>
      </w:pPr>
      <w:bookmarkStart w:id="280" w:name="_Toc5413"/>
      <w:r>
        <w:rPr>
          <w:rFonts w:hint="eastAsia" w:ascii="宋体" w:hAnsi="宋体" w:eastAsia="宋体" w:cs="宋体"/>
          <w:b w:val="0"/>
          <w:bCs w:val="0"/>
          <w:color w:val="auto"/>
          <w:sz w:val="21"/>
          <w:szCs w:val="21"/>
          <w:highlight w:val="none"/>
          <w:lang w:val="en-US" w:eastAsia="zh-CN"/>
        </w:rPr>
        <w:t>投诉联系电话：0391-8683273  地址：博爱县机关综合办公楼主楼1213室</w:t>
      </w:r>
      <w:bookmarkEnd w:id="280"/>
      <w:r>
        <w:rPr>
          <w:rFonts w:hint="eastAsia" w:ascii="宋体" w:hAnsi="宋体" w:eastAsia="宋体" w:cs="宋体"/>
          <w:b w:val="0"/>
          <w:bCs w:val="0"/>
          <w:color w:val="auto"/>
          <w:sz w:val="21"/>
          <w:szCs w:val="21"/>
          <w:highlight w:val="none"/>
          <w:lang w:val="en-US" w:eastAsia="zh-CN"/>
        </w:rPr>
        <w:t xml:space="preserve"> </w:t>
      </w:r>
    </w:p>
    <w:p>
      <w:pPr>
        <w:rPr>
          <w:rFonts w:hint="eastAsia" w:ascii="宋体" w:hAnsi="宋体" w:eastAsia="宋体" w:cs="宋体"/>
          <w:b w:val="0"/>
          <w:bCs w:val="0"/>
          <w:color w:val="auto"/>
          <w:sz w:val="21"/>
          <w:szCs w:val="21"/>
          <w:highlight w:val="none"/>
          <w:lang w:val="en-US" w:eastAsia="zh-CN"/>
        </w:rPr>
      </w:pPr>
    </w:p>
    <w:p>
      <w:pPr>
        <w:pStyle w:val="5"/>
        <w:rPr>
          <w:rFonts w:hint="eastAsia"/>
          <w:color w:val="auto"/>
          <w:sz w:val="21"/>
          <w:szCs w:val="21"/>
          <w:highlight w:val="none"/>
        </w:rPr>
      </w:pPr>
    </w:p>
    <w:p>
      <w:pPr>
        <w:rPr>
          <w:rFonts w:hint="eastAsia"/>
          <w:color w:val="auto"/>
          <w:sz w:val="21"/>
          <w:szCs w:val="21"/>
          <w:highlight w:val="none"/>
        </w:rPr>
      </w:pPr>
    </w:p>
    <w:p>
      <w:pPr>
        <w:pStyle w:val="5"/>
        <w:rPr>
          <w:rFonts w:hint="eastAsia"/>
          <w:color w:val="auto"/>
          <w:sz w:val="21"/>
          <w:szCs w:val="21"/>
          <w:highlight w:val="none"/>
        </w:rPr>
      </w:pPr>
    </w:p>
    <w:p>
      <w:pPr>
        <w:rPr>
          <w:rFonts w:hint="eastAsia"/>
          <w:color w:val="auto"/>
          <w:sz w:val="21"/>
          <w:szCs w:val="21"/>
          <w:highlight w:val="none"/>
        </w:rPr>
      </w:pPr>
    </w:p>
    <w:p>
      <w:pPr>
        <w:pStyle w:val="5"/>
        <w:rPr>
          <w:rFonts w:hint="eastAsia"/>
          <w:color w:val="auto"/>
          <w:sz w:val="21"/>
          <w:szCs w:val="21"/>
          <w:highlight w:val="none"/>
        </w:rPr>
      </w:pPr>
    </w:p>
    <w:p>
      <w:pPr>
        <w:rPr>
          <w:rFonts w:hint="eastAsia"/>
          <w:color w:val="auto"/>
          <w:highlight w:val="none"/>
        </w:rPr>
      </w:pPr>
    </w:p>
    <w:p>
      <w:pPr>
        <w:pStyle w:val="3"/>
        <w:rPr>
          <w:color w:val="auto"/>
          <w:highlight w:val="none"/>
        </w:rPr>
      </w:pPr>
    </w:p>
    <w:p>
      <w:pPr>
        <w:pStyle w:val="2"/>
        <w:rPr>
          <w:color w:val="auto"/>
          <w:highlight w:val="none"/>
        </w:rPr>
      </w:pPr>
    </w:p>
    <w:p>
      <w:pPr>
        <w:pStyle w:val="3"/>
        <w:rPr>
          <w:color w:val="auto"/>
          <w:highlight w:val="none"/>
        </w:rPr>
      </w:pPr>
    </w:p>
    <w:p>
      <w:pPr>
        <w:pStyle w:val="23"/>
        <w:pageBreakBefore w:val="0"/>
        <w:kinsoku/>
        <w:wordWrap/>
        <w:overflowPunct/>
        <w:topLinePunct w:val="0"/>
        <w:bidi w:val="0"/>
        <w:spacing w:beforeAutospacing="0" w:after="0" w:afterAutospacing="0" w:line="360" w:lineRule="auto"/>
        <w:ind w:firstLine="643" w:firstLineChars="200"/>
        <w:jc w:val="center"/>
        <w:rPr>
          <w:rFonts w:hint="eastAsia" w:asciiTheme="majorEastAsia" w:hAnsiTheme="majorEastAsia" w:eastAsiaTheme="majorEastAsia" w:cstheme="majorEastAsia"/>
          <w:b/>
          <w:bCs/>
          <w:color w:val="auto"/>
          <w:sz w:val="32"/>
          <w:szCs w:val="32"/>
          <w:highlight w:val="none"/>
          <w:lang w:val="en-US" w:eastAsia="zh-CN"/>
        </w:rPr>
      </w:pPr>
    </w:p>
    <w:p>
      <w:pPr>
        <w:pStyle w:val="23"/>
        <w:pageBreakBefore w:val="0"/>
        <w:kinsoku/>
        <w:wordWrap/>
        <w:overflowPunct/>
        <w:topLinePunct w:val="0"/>
        <w:bidi w:val="0"/>
        <w:spacing w:beforeAutospacing="0" w:after="0" w:afterAutospacing="0" w:line="360" w:lineRule="auto"/>
        <w:ind w:firstLine="643" w:firstLineChars="200"/>
        <w:jc w:val="center"/>
        <w:rPr>
          <w:rFonts w:hint="eastAsia" w:asciiTheme="majorEastAsia" w:hAnsiTheme="majorEastAsia" w:eastAsiaTheme="majorEastAsia" w:cstheme="majorEastAsia"/>
          <w:b/>
          <w:bCs/>
          <w:color w:val="auto"/>
          <w:sz w:val="32"/>
          <w:szCs w:val="32"/>
          <w:highlight w:val="none"/>
          <w:lang w:val="en-US" w:eastAsia="zh-CN"/>
        </w:rPr>
      </w:pPr>
      <w:r>
        <w:rPr>
          <w:rFonts w:hint="eastAsia" w:asciiTheme="majorEastAsia" w:hAnsiTheme="majorEastAsia" w:eastAsiaTheme="majorEastAsia" w:cstheme="majorEastAsia"/>
          <w:b/>
          <w:bCs/>
          <w:color w:val="auto"/>
          <w:sz w:val="32"/>
          <w:szCs w:val="32"/>
          <w:highlight w:val="none"/>
          <w:lang w:val="en-US" w:eastAsia="zh-CN"/>
        </w:rPr>
        <w:t>第七章 履约验收</w:t>
      </w:r>
    </w:p>
    <w:p>
      <w:pPr>
        <w:pStyle w:val="24"/>
        <w:rPr>
          <w:rFonts w:hint="eastAsia"/>
          <w:color w:val="auto"/>
          <w:highlight w:val="none"/>
          <w:lang w:val="en-US" w:eastAsia="zh-CN"/>
        </w:rPr>
      </w:pPr>
    </w:p>
    <w:p>
      <w:pPr>
        <w:pStyle w:val="23"/>
        <w:pageBreakBefore w:val="0"/>
        <w:kinsoku/>
        <w:wordWrap/>
        <w:overflowPunct/>
        <w:topLinePunct w:val="0"/>
        <w:bidi w:val="0"/>
        <w:spacing w:beforeAutospacing="0" w:after="0" w:afterAutospacing="0"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供应商履约完成后，向采购人提出验收建议，采购人自收到验收建议之日起五个工作日内，采购人组织供应商参与，共同完成验收。技术复杂、专业性强等项目可适当延长验收时间。验收流程如下：</w:t>
      </w:r>
    </w:p>
    <w:p>
      <w:pPr>
        <w:pStyle w:val="23"/>
        <w:pageBreakBefore w:val="0"/>
        <w:numPr>
          <w:ilvl w:val="0"/>
          <w:numId w:val="14"/>
        </w:numPr>
        <w:kinsoku/>
        <w:wordWrap/>
        <w:overflowPunct/>
        <w:topLinePunct w:val="0"/>
        <w:bidi w:val="0"/>
        <w:spacing w:beforeAutospacing="0" w:after="0" w:afterAutospacing="0"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3"/>
        <w:pageBreakBefore w:val="0"/>
        <w:numPr>
          <w:ilvl w:val="0"/>
          <w:numId w:val="14"/>
        </w:numPr>
        <w:kinsoku/>
        <w:wordWrap/>
        <w:overflowPunct/>
        <w:topLinePunct w:val="0"/>
        <w:bidi w:val="0"/>
        <w:spacing w:beforeAutospacing="0" w:after="0" w:afterAutospacing="0"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3"/>
        <w:pageBreakBefore w:val="0"/>
        <w:numPr>
          <w:ilvl w:val="0"/>
          <w:numId w:val="14"/>
        </w:numPr>
        <w:kinsoku/>
        <w:wordWrap/>
        <w:overflowPunct/>
        <w:topLinePunct w:val="0"/>
        <w:bidi w:val="0"/>
        <w:spacing w:beforeAutospacing="0" w:after="0" w:afterAutospacing="0"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3"/>
        <w:pageBreakBefore w:val="0"/>
        <w:numPr>
          <w:ilvl w:val="0"/>
          <w:numId w:val="14"/>
        </w:numPr>
        <w:kinsoku/>
        <w:wordWrap/>
        <w:overflowPunct/>
        <w:topLinePunct w:val="0"/>
        <w:bidi w:val="0"/>
        <w:spacing w:beforeAutospacing="0" w:after="0" w:afterAutospacing="0"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情形，采购人应及时报财政部门。</w:t>
      </w:r>
    </w:p>
    <w:p>
      <w:pPr>
        <w:pStyle w:val="2"/>
        <w:rPr>
          <w:rFonts w:hint="eastAsia" w:asciiTheme="minorEastAsia" w:hAnsiTheme="minorEastAsia" w:eastAsiaTheme="minorEastAsia" w:cstheme="minorEastAsia"/>
          <w:color w:val="auto"/>
          <w:sz w:val="21"/>
          <w:szCs w:val="21"/>
          <w:highlight w:val="none"/>
        </w:rPr>
      </w:pPr>
    </w:p>
    <w:p>
      <w:pPr>
        <w:pStyle w:val="3"/>
        <w:rPr>
          <w:rFonts w:hint="eastAsia" w:asciiTheme="minorEastAsia" w:hAnsiTheme="minorEastAsia" w:eastAsiaTheme="minorEastAsia" w:cstheme="minorEastAsia"/>
          <w:color w:val="auto"/>
          <w:sz w:val="21"/>
          <w:szCs w:val="21"/>
          <w:highlight w:val="none"/>
        </w:rPr>
      </w:pPr>
    </w:p>
    <w:p>
      <w:pPr>
        <w:pStyle w:val="2"/>
        <w:rPr>
          <w:rFonts w:hint="eastAsia" w:asciiTheme="minorEastAsia" w:hAnsiTheme="minorEastAsia" w:eastAsiaTheme="minorEastAsia" w:cstheme="minorEastAsia"/>
          <w:color w:val="auto"/>
          <w:sz w:val="21"/>
          <w:szCs w:val="21"/>
          <w:highlight w:val="none"/>
        </w:rPr>
      </w:pPr>
    </w:p>
    <w:p>
      <w:pPr>
        <w:pStyle w:val="3"/>
        <w:rPr>
          <w:rFonts w:hint="eastAsia" w:asciiTheme="minorEastAsia" w:hAnsiTheme="minorEastAsia" w:eastAsiaTheme="minorEastAsia" w:cstheme="minorEastAsia"/>
          <w:color w:val="auto"/>
          <w:sz w:val="21"/>
          <w:szCs w:val="21"/>
          <w:highlight w:val="none"/>
        </w:rPr>
      </w:pPr>
    </w:p>
    <w:p>
      <w:pPr>
        <w:pStyle w:val="2"/>
        <w:rPr>
          <w:rFonts w:hint="eastAsia" w:asciiTheme="minorEastAsia" w:hAnsiTheme="minorEastAsia" w:eastAsiaTheme="minorEastAsia" w:cstheme="minorEastAsia"/>
          <w:color w:val="auto"/>
          <w:sz w:val="21"/>
          <w:szCs w:val="21"/>
          <w:highlight w:val="none"/>
        </w:rPr>
      </w:pPr>
    </w:p>
    <w:p>
      <w:pPr>
        <w:pStyle w:val="3"/>
        <w:rPr>
          <w:rFonts w:hint="eastAsia" w:asciiTheme="minorEastAsia" w:hAnsiTheme="minorEastAsia" w:eastAsiaTheme="minorEastAsia" w:cstheme="minorEastAsia"/>
          <w:color w:val="auto"/>
          <w:sz w:val="21"/>
          <w:szCs w:val="21"/>
          <w:highlight w:val="none"/>
        </w:rPr>
      </w:pPr>
    </w:p>
    <w:p>
      <w:pPr>
        <w:pStyle w:val="2"/>
        <w:rPr>
          <w:rFonts w:hint="eastAsia"/>
          <w:color w:val="auto"/>
        </w:rPr>
      </w:pPr>
    </w:p>
    <w:p>
      <w:pPr>
        <w:pStyle w:val="2"/>
        <w:rPr>
          <w:color w:val="auto"/>
          <w:highlight w:val="none"/>
        </w:rPr>
      </w:pPr>
    </w:p>
    <w:p>
      <w:pPr>
        <w:pStyle w:val="6"/>
        <w:spacing w:line="600" w:lineRule="exact"/>
        <w:ind w:right="-63" w:rightChars="-30"/>
        <w:rPr>
          <w:rFonts w:asciiTheme="minorEastAsia" w:hAnsiTheme="minorEastAsia" w:eastAsiaTheme="minorEastAsia" w:cstheme="minorEastAsia"/>
          <w:color w:val="auto"/>
          <w:sz w:val="36"/>
          <w:szCs w:val="36"/>
          <w:highlight w:val="none"/>
        </w:rPr>
      </w:pPr>
      <w:bookmarkStart w:id="281" w:name="_Toc28084"/>
      <w:r>
        <w:rPr>
          <w:rFonts w:hint="eastAsia" w:asciiTheme="minorEastAsia" w:hAnsiTheme="minorEastAsia" w:eastAsiaTheme="minorEastAsia" w:cstheme="minorEastAsia"/>
          <w:color w:val="auto"/>
          <w:sz w:val="36"/>
          <w:szCs w:val="36"/>
          <w:highlight w:val="none"/>
        </w:rPr>
        <w:t>第</w:t>
      </w:r>
      <w:r>
        <w:rPr>
          <w:rFonts w:hint="eastAsia" w:asciiTheme="minorEastAsia" w:hAnsiTheme="minorEastAsia" w:eastAsiaTheme="minorEastAsia" w:cstheme="minorEastAsia"/>
          <w:color w:val="auto"/>
          <w:sz w:val="36"/>
          <w:szCs w:val="36"/>
          <w:highlight w:val="none"/>
          <w:lang w:val="en-US" w:eastAsia="zh-CN"/>
        </w:rPr>
        <w:t>八</w:t>
      </w:r>
      <w:r>
        <w:rPr>
          <w:rFonts w:hint="eastAsia" w:asciiTheme="minorEastAsia" w:hAnsiTheme="minorEastAsia" w:eastAsiaTheme="minorEastAsia" w:cstheme="minorEastAsia"/>
          <w:color w:val="auto"/>
          <w:sz w:val="36"/>
          <w:szCs w:val="36"/>
          <w:highlight w:val="none"/>
        </w:rPr>
        <w:t>章  投标文件格式</w:t>
      </w:r>
      <w:bookmarkEnd w:id="276"/>
      <w:bookmarkEnd w:id="277"/>
      <w:bookmarkEnd w:id="278"/>
      <w:bookmarkEnd w:id="281"/>
    </w:p>
    <w:p>
      <w:pPr>
        <w:rPr>
          <w:rFonts w:asciiTheme="minorEastAsia" w:hAnsiTheme="minorEastAsia" w:eastAsiaTheme="minorEastAsia" w:cstheme="minorEastAsia"/>
          <w:color w:val="auto"/>
          <w:highlight w:val="none"/>
        </w:rPr>
      </w:pPr>
      <w:bookmarkStart w:id="282" w:name="_Toc18905"/>
      <w:bookmarkStart w:id="283" w:name="_Toc27452"/>
      <w:bookmarkStart w:id="284" w:name="_Toc402961301"/>
      <w:bookmarkStart w:id="285" w:name="_Toc403122573"/>
    </w:p>
    <w:bookmarkEnd w:id="282"/>
    <w:bookmarkEnd w:id="283"/>
    <w:bookmarkEnd w:id="284"/>
    <w:bookmarkEnd w:id="285"/>
    <w:p>
      <w:pPr>
        <w:ind w:firstLine="2891" w:firstLineChars="8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sz w:val="36"/>
          <w:szCs w:val="36"/>
          <w:highlight w:val="none"/>
        </w:rPr>
        <w:t xml:space="preserve">（项目名称）                   </w:t>
      </w:r>
      <w:r>
        <w:rPr>
          <w:rFonts w:hint="eastAsia" w:asciiTheme="minorEastAsia" w:hAnsiTheme="minorEastAsia" w:eastAsiaTheme="minorEastAsia" w:cstheme="minorEastAsia"/>
          <w:b/>
          <w:bCs/>
          <w:color w:val="auto"/>
          <w:sz w:val="28"/>
          <w:szCs w:val="28"/>
          <w:highlight w:val="none"/>
        </w:rPr>
        <w:t>正本/副本</w:t>
      </w:r>
    </w:p>
    <w:p>
      <w:pPr>
        <w:spacing w:line="360" w:lineRule="auto"/>
        <w:jc w:val="center"/>
        <w:rPr>
          <w:rFonts w:asciiTheme="minorEastAsia" w:hAnsiTheme="minorEastAsia" w:eastAsiaTheme="minorEastAsia" w:cstheme="minorEastAsia"/>
          <w:b/>
          <w:color w:val="auto"/>
          <w:sz w:val="32"/>
          <w:szCs w:val="32"/>
          <w:highlight w:val="none"/>
        </w:rPr>
      </w:pPr>
    </w:p>
    <w:p>
      <w:pPr>
        <w:pStyle w:val="24"/>
        <w:rPr>
          <w:color w:val="auto"/>
          <w:highlight w:val="none"/>
        </w:rPr>
      </w:pPr>
    </w:p>
    <w:p>
      <w:pPr>
        <w:pStyle w:val="24"/>
        <w:rPr>
          <w:color w:val="auto"/>
          <w:highlight w:val="none"/>
        </w:rPr>
      </w:pPr>
    </w:p>
    <w:p>
      <w:pPr>
        <w:pStyle w:val="24"/>
        <w:rPr>
          <w:color w:val="auto"/>
          <w:highlight w:val="none"/>
        </w:rPr>
      </w:pPr>
    </w:p>
    <w:p>
      <w:pPr>
        <w:spacing w:line="360" w:lineRule="auto"/>
        <w:jc w:val="center"/>
        <w:rPr>
          <w:rFonts w:asciiTheme="minorEastAsia" w:hAnsiTheme="minorEastAsia" w:eastAsiaTheme="minorEastAsia" w:cstheme="minorEastAsia"/>
          <w:b/>
          <w:color w:val="auto"/>
          <w:spacing w:val="24"/>
          <w:kern w:val="10"/>
          <w:sz w:val="52"/>
          <w:szCs w:val="52"/>
          <w:highlight w:val="none"/>
        </w:rPr>
      </w:pPr>
      <w:r>
        <w:rPr>
          <w:rFonts w:hint="eastAsia" w:asciiTheme="minorEastAsia" w:hAnsiTheme="minorEastAsia" w:eastAsiaTheme="minorEastAsia" w:cstheme="minorEastAsia"/>
          <w:b/>
          <w:color w:val="auto"/>
          <w:spacing w:val="24"/>
          <w:kern w:val="10"/>
          <w:sz w:val="52"/>
          <w:szCs w:val="52"/>
          <w:highlight w:val="none"/>
        </w:rPr>
        <w:t>投  标  文  件</w:t>
      </w:r>
    </w:p>
    <w:p>
      <w:pPr>
        <w:jc w:val="center"/>
        <w:rPr>
          <w:rFonts w:asciiTheme="minorEastAsia" w:hAnsiTheme="minorEastAsia" w:eastAsiaTheme="minorEastAsia" w:cstheme="minorEastAsia"/>
          <w:color w:val="auto"/>
          <w:sz w:val="24"/>
          <w:highlight w:val="none"/>
        </w:rPr>
      </w:pPr>
    </w:p>
    <w:p>
      <w:pPr>
        <w:pStyle w:val="12"/>
        <w:rPr>
          <w:rFonts w:hint="eastAsia"/>
          <w:color w:val="auto"/>
          <w:highlight w:val="none"/>
          <w:lang w:eastAsia="zh-CN"/>
        </w:rPr>
      </w:pPr>
      <w:r>
        <w:rPr>
          <w:rFonts w:hint="eastAsia" w:asciiTheme="minorEastAsia" w:hAnsiTheme="minorEastAsia" w:eastAsiaTheme="minorEastAsia" w:cstheme="minorEastAsia"/>
          <w:color w:val="auto"/>
          <w:sz w:val="24"/>
          <w:highlight w:val="none"/>
          <w:lang w:val="en-US" w:eastAsia="zh-CN"/>
        </w:rPr>
        <w:t xml:space="preserve"> </w:t>
      </w:r>
    </w:p>
    <w:p>
      <w:pPr>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（封面）</w:t>
      </w:r>
    </w:p>
    <w:p>
      <w:pPr>
        <w:jc w:val="cente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color w:val="auto"/>
          <w:sz w:val="24"/>
          <w:highlight w:val="none"/>
        </w:rPr>
      </w:pPr>
    </w:p>
    <w:p>
      <w:pP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b/>
          <w:color w:val="auto"/>
          <w:sz w:val="24"/>
          <w:highlight w:val="none"/>
        </w:rPr>
      </w:pPr>
    </w:p>
    <w:p>
      <w:pPr>
        <w:pStyle w:val="17"/>
        <w:spacing w:line="600" w:lineRule="exact"/>
        <w:ind w:left="1050" w:leftChars="500" w:firstLine="1152" w:firstLineChars="450"/>
        <w:rPr>
          <w:rFonts w:hint="default"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pacing w:val="8"/>
          <w:sz w:val="24"/>
          <w:highlight w:val="none"/>
        </w:rPr>
        <w:t>供  应  商：</w:t>
      </w:r>
      <w:r>
        <w:rPr>
          <w:rFonts w:asciiTheme="minorEastAsia" w:hAnsiTheme="minorEastAsia" w:eastAsiaTheme="minorEastAsia" w:cstheme="minorEastAsia"/>
          <w:color w:val="auto"/>
          <w:sz w:val="24"/>
          <w:highlight w:val="none"/>
        </w:rPr>
        <w:t>（单位公章）</w:t>
      </w:r>
    </w:p>
    <w:p>
      <w:pPr>
        <w:pStyle w:val="17"/>
        <w:spacing w:line="600" w:lineRule="exact"/>
        <w:ind w:left="1050" w:leftChars="500" w:firstLine="1200" w:firstLineChars="500"/>
        <w:rPr>
          <w:rFonts w:hint="default"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法定代表人或</w:t>
      </w:r>
      <w:r>
        <w:rPr>
          <w:rFonts w:asciiTheme="minorEastAsia" w:hAnsiTheme="minorEastAsia" w:eastAsiaTheme="minorEastAsia" w:cstheme="minorEastAsia"/>
          <w:color w:val="auto"/>
          <w:spacing w:val="12"/>
          <w:sz w:val="24"/>
          <w:highlight w:val="none"/>
        </w:rPr>
        <w:t>委托代理人：</w:t>
      </w:r>
      <w:r>
        <w:rPr>
          <w:rFonts w:asciiTheme="minorEastAsia" w:hAnsiTheme="minorEastAsia" w:eastAsiaTheme="minorEastAsia" w:cstheme="minorEastAsia"/>
          <w:color w:val="auto"/>
          <w:sz w:val="24"/>
          <w:highlight w:val="none"/>
        </w:rPr>
        <w:t xml:space="preserve">（签字或盖章）  </w:t>
      </w:r>
    </w:p>
    <w:p>
      <w:pPr>
        <w:pStyle w:val="17"/>
        <w:spacing w:line="600" w:lineRule="exact"/>
        <w:ind w:left="1050" w:leftChars="500" w:firstLine="1200" w:firstLineChars="500"/>
        <w:rPr>
          <w:rFonts w:hint="default" w:asciiTheme="minorEastAsia" w:hAnsiTheme="minorEastAsia" w:eastAsiaTheme="minorEastAsia" w:cstheme="minorEastAsia"/>
          <w:b/>
          <w:bCs/>
          <w:color w:val="auto"/>
          <w:sz w:val="28"/>
          <w:szCs w:val="28"/>
          <w:highlight w:val="none"/>
        </w:rPr>
      </w:pPr>
      <w:r>
        <w:rPr>
          <w:rFonts w:asciiTheme="minorEastAsia" w:hAnsiTheme="minorEastAsia" w:eastAsiaTheme="minorEastAsia" w:cstheme="minorEastAsia"/>
          <w:color w:val="auto"/>
          <w:sz w:val="24"/>
          <w:highlight w:val="none"/>
        </w:rPr>
        <w:t>日       期：       年    月    日</w:t>
      </w:r>
    </w:p>
    <w:p>
      <w:pPr>
        <w:ind w:firstLine="540" w:firstLineChars="192"/>
        <w:jc w:val="center"/>
        <w:rPr>
          <w:rFonts w:asciiTheme="minorEastAsia" w:hAnsiTheme="minorEastAsia" w:eastAsiaTheme="minorEastAsia" w:cstheme="minorEastAsia"/>
          <w:b/>
          <w:bCs/>
          <w:color w:val="auto"/>
          <w:sz w:val="28"/>
          <w:szCs w:val="28"/>
          <w:highlight w:val="none"/>
        </w:rPr>
      </w:pPr>
    </w:p>
    <w:p>
      <w:pPr>
        <w:ind w:firstLine="848" w:firstLineChars="192"/>
        <w:jc w:val="center"/>
        <w:rPr>
          <w:rFonts w:asciiTheme="minorEastAsia" w:hAnsiTheme="minorEastAsia" w:eastAsiaTheme="minorEastAsia" w:cstheme="minorEastAsia"/>
          <w:b/>
          <w:bCs/>
          <w:color w:val="auto"/>
          <w:sz w:val="44"/>
          <w:szCs w:val="44"/>
          <w:highlight w:val="none"/>
        </w:rPr>
      </w:pPr>
    </w:p>
    <w:p>
      <w:pPr>
        <w:pStyle w:val="24"/>
        <w:rPr>
          <w:rFonts w:asciiTheme="minorEastAsia" w:hAnsiTheme="minorEastAsia" w:eastAsiaTheme="minorEastAsia" w:cstheme="minorEastAsia"/>
          <w:b/>
          <w:bCs/>
          <w:color w:val="auto"/>
          <w:sz w:val="44"/>
          <w:szCs w:val="44"/>
          <w:highlight w:val="none"/>
        </w:rPr>
      </w:pPr>
    </w:p>
    <w:p>
      <w:pPr>
        <w:rPr>
          <w:rFonts w:asciiTheme="minorEastAsia" w:hAnsiTheme="minorEastAsia" w:eastAsiaTheme="minorEastAsia" w:cstheme="minorEastAsia"/>
          <w:b/>
          <w:bCs/>
          <w:color w:val="auto"/>
          <w:sz w:val="44"/>
          <w:szCs w:val="44"/>
          <w:highlight w:val="none"/>
        </w:rPr>
      </w:pPr>
    </w:p>
    <w:p>
      <w:pPr>
        <w:pStyle w:val="24"/>
        <w:rPr>
          <w:color w:val="auto"/>
        </w:rPr>
      </w:pPr>
    </w:p>
    <w:p>
      <w:pPr>
        <w:ind w:firstLine="848" w:firstLineChars="192"/>
        <w:jc w:val="center"/>
        <w:rPr>
          <w:rFonts w:asciiTheme="minorEastAsia" w:hAnsiTheme="minorEastAsia" w:eastAsiaTheme="minorEastAsia" w:cstheme="minorEastAsia"/>
          <w:b/>
          <w:bCs/>
          <w:color w:val="auto"/>
          <w:sz w:val="44"/>
          <w:szCs w:val="44"/>
          <w:highlight w:val="none"/>
        </w:rPr>
      </w:pPr>
    </w:p>
    <w:p>
      <w:pPr>
        <w:ind w:firstLine="848" w:firstLineChars="192"/>
        <w:jc w:val="center"/>
        <w:rPr>
          <w:rFonts w:asciiTheme="minorEastAsia" w:hAnsiTheme="minorEastAsia" w:eastAsiaTheme="minorEastAsia" w:cstheme="minorEastAsia"/>
          <w:b/>
          <w:bCs/>
          <w:color w:val="auto"/>
          <w:sz w:val="44"/>
          <w:szCs w:val="44"/>
          <w:highlight w:val="none"/>
        </w:rPr>
      </w:pPr>
    </w:p>
    <w:p>
      <w:pPr>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44"/>
          <w:szCs w:val="44"/>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1"/>
        <w:rPr>
          <w:rFonts w:asciiTheme="minorEastAsia" w:hAnsiTheme="minorEastAsia" w:eastAsiaTheme="minorEastAsia" w:cstheme="minorEastAsia"/>
          <w:b/>
          <w:bCs/>
          <w:color w:val="auto"/>
          <w:sz w:val="28"/>
          <w:szCs w:val="28"/>
          <w:highlight w:val="none"/>
        </w:rPr>
      </w:pPr>
      <w:bookmarkStart w:id="286" w:name="_Toc31547"/>
      <w:bookmarkStart w:id="287" w:name="_Toc2130"/>
      <w:bookmarkStart w:id="288" w:name="_Toc647"/>
      <w:r>
        <w:rPr>
          <w:rFonts w:asciiTheme="minorEastAsia" w:hAnsiTheme="minorEastAsia" w:eastAsiaTheme="minorEastAsia" w:cstheme="minorEastAsia"/>
          <w:color w:val="auto"/>
          <w:szCs w:val="21"/>
          <w:highlight w:val="none"/>
        </w:rPr>
        <w:t>（自拟）</w:t>
      </w:r>
      <w:r>
        <w:rPr>
          <w:rFonts w:hint="eastAsia" w:asciiTheme="minorEastAsia" w:hAnsiTheme="minorEastAsia" w:eastAsiaTheme="minorEastAsia" w:cstheme="minorEastAsia"/>
          <w:color w:val="auto"/>
          <w:szCs w:val="21"/>
          <w:highlight w:val="none"/>
        </w:rPr>
        <w:br w:type="page"/>
      </w:r>
      <w:bookmarkStart w:id="289" w:name="_Toc1921"/>
      <w:r>
        <w:rPr>
          <w:rFonts w:hint="eastAsia" w:asciiTheme="minorEastAsia" w:hAnsiTheme="minorEastAsia" w:eastAsiaTheme="minorEastAsia" w:cstheme="minorEastAsia"/>
          <w:b/>
          <w:bCs/>
          <w:color w:val="auto"/>
          <w:sz w:val="30"/>
          <w:szCs w:val="30"/>
          <w:highlight w:val="none"/>
        </w:rPr>
        <w:t>一、投标函</w:t>
      </w:r>
      <w:bookmarkEnd w:id="286"/>
      <w:r>
        <w:rPr>
          <w:rFonts w:hint="eastAsia" w:asciiTheme="minorEastAsia" w:hAnsiTheme="minorEastAsia" w:eastAsiaTheme="minorEastAsia" w:cstheme="minorEastAsia"/>
          <w:b/>
          <w:bCs/>
          <w:color w:val="auto"/>
          <w:sz w:val="30"/>
          <w:szCs w:val="30"/>
          <w:highlight w:val="none"/>
        </w:rPr>
        <w:t>及开标一览表</w:t>
      </w:r>
      <w:bookmarkEnd w:id="287"/>
      <w:bookmarkEnd w:id="288"/>
      <w:bookmarkEnd w:id="289"/>
    </w:p>
    <w:p>
      <w:pPr>
        <w:keepNext w:val="0"/>
        <w:keepLines w:val="0"/>
        <w:pageBreakBefore w:val="0"/>
        <w:widowControl w:val="0"/>
        <w:numPr>
          <w:ilvl w:val="0"/>
          <w:numId w:val="15"/>
        </w:numPr>
        <w:kinsoku/>
        <w:wordWrap/>
        <w:overflowPunct/>
        <w:topLinePunct w:val="0"/>
        <w:autoSpaceDE/>
        <w:autoSpaceDN/>
        <w:bidi w:val="0"/>
        <w:adjustRightInd/>
        <w:snapToGrid/>
        <w:spacing w:line="600" w:lineRule="exact"/>
        <w:jc w:val="center"/>
        <w:textAlignment w:val="auto"/>
        <w:outlineLvl w:val="2"/>
        <w:rPr>
          <w:rFonts w:hint="eastAsia" w:asciiTheme="minorEastAsia" w:hAnsiTheme="minorEastAsia" w:eastAsiaTheme="minorEastAsia" w:cstheme="minorEastAsia"/>
          <w:b/>
          <w:color w:val="auto"/>
          <w:sz w:val="28"/>
          <w:szCs w:val="28"/>
          <w:highlight w:val="none"/>
        </w:rPr>
      </w:pPr>
      <w:bookmarkStart w:id="290" w:name="_Toc28684"/>
      <w:bookmarkStart w:id="291" w:name="_Toc600"/>
      <w:bookmarkStart w:id="292" w:name="_Toc12044"/>
      <w:bookmarkStart w:id="293" w:name="_Toc699"/>
      <w:bookmarkStart w:id="294" w:name="_Toc27218"/>
      <w:r>
        <w:rPr>
          <w:rFonts w:hint="eastAsia" w:asciiTheme="minorEastAsia" w:hAnsiTheme="minorEastAsia" w:eastAsiaTheme="minorEastAsia" w:cstheme="minorEastAsia"/>
          <w:b/>
          <w:color w:val="auto"/>
          <w:sz w:val="28"/>
          <w:szCs w:val="28"/>
          <w:highlight w:val="none"/>
        </w:rPr>
        <w:t>投标函</w:t>
      </w:r>
      <w:bookmarkEnd w:id="290"/>
      <w:bookmarkEnd w:id="291"/>
      <w:bookmarkEnd w:id="292"/>
      <w:bookmarkEnd w:id="293"/>
      <w:bookmarkEnd w:id="294"/>
    </w:p>
    <w:p>
      <w:pPr>
        <w:pStyle w:val="24"/>
        <w:numPr>
          <w:ilvl w:val="0"/>
          <w:numId w:val="0"/>
        </w:numPr>
        <w:rPr>
          <w:color w:val="auto"/>
        </w:rPr>
      </w:pPr>
    </w:p>
    <w:p>
      <w:pPr>
        <w:pageBreakBefore w:val="0"/>
        <w:widowControl/>
        <w:kinsoku/>
        <w:wordWrap/>
        <w:overflowPunct/>
        <w:topLinePunct w:val="0"/>
        <w:bidi w:val="0"/>
        <w:spacing w:beforeAutospacing="0" w:afterAutospacing="0" w:line="360" w:lineRule="auto"/>
        <w:ind w:firstLine="562" w:firstLineChars="200"/>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pPr>
        <w:pStyle w:val="23"/>
        <w:pageBreakBefore w:val="0"/>
        <w:kinsoku/>
        <w:wordWrap/>
        <w:overflowPunct/>
        <w:topLinePunct w:val="0"/>
        <w:bidi w:val="0"/>
        <w:spacing w:beforeAutospacing="0" w:after="0" w:afterAutospacing="0" w:line="360" w:lineRule="auto"/>
        <w:ind w:firstLine="480" w:firstLineChars="200"/>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我单位已收到的</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 项目（采购编号：</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 ）采购文件及有关纪要通知，现对参与投标及中标后工作，做出如下郑重承诺：</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1、我方愿以总价为人民币（大写）</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（小写）￥ </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元，供货安装期：</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 ，按合同约定实施和完成本项目。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trike/>
          <w:dstrike w:val="0"/>
          <w:color w:val="auto"/>
          <w:kern w:val="2"/>
          <w:sz w:val="24"/>
          <w:szCs w:val="24"/>
          <w:highlight w:val="none"/>
          <w:lang w:val="en-US" w:eastAsia="zh-CN" w:bidi="ar-SA"/>
        </w:rPr>
      </w:pPr>
      <w:r>
        <w:rPr>
          <w:rFonts w:hint="eastAsia" w:ascii="宋体" w:hAnsi="宋体" w:eastAsia="宋体" w:cs="宋体"/>
          <w:strike w:val="0"/>
          <w:dstrike w:val="0"/>
          <w:color w:val="auto"/>
          <w:kern w:val="2"/>
          <w:sz w:val="24"/>
          <w:szCs w:val="24"/>
          <w:highlight w:val="none"/>
          <w:lang w:val="en-US" w:eastAsia="zh-CN" w:bidi="ar-SA"/>
        </w:rPr>
        <w:t>2、</w:t>
      </w:r>
      <w:r>
        <w:rPr>
          <w:rFonts w:hint="eastAsia" w:ascii="宋体" w:hAnsi="宋体"/>
          <w:strike w:val="0"/>
          <w:color w:val="auto"/>
          <w:sz w:val="24"/>
          <w:highlight w:val="none"/>
        </w:rPr>
        <w:t>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w:t>
      </w:r>
      <w:r>
        <w:rPr>
          <w:rFonts w:hint="eastAsia" w:ascii="宋体" w:hAnsi="宋体"/>
          <w:color w:val="auto"/>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3、我方明白采购人不一定接纳最低投标报价的采购，也不需要采购人解释选择或否决任何供应商的原因和理由。</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4、我方参与本项目投标的所有资料</w:t>
      </w:r>
      <w:r>
        <w:rPr>
          <w:rFonts w:hint="eastAsia" w:ascii="宋体" w:hAnsi="宋体" w:cs="宋体"/>
          <w:color w:val="auto"/>
          <w:kern w:val="2"/>
          <w:sz w:val="24"/>
          <w:szCs w:val="24"/>
          <w:highlight w:val="none"/>
          <w:lang w:val="en-US" w:eastAsia="zh-CN" w:bidi="ar-SA"/>
        </w:rPr>
        <w:t>真实</w:t>
      </w:r>
      <w:r>
        <w:rPr>
          <w:rFonts w:hint="eastAsia" w:ascii="宋体" w:hAnsi="宋体" w:eastAsia="宋体" w:cs="宋体"/>
          <w:color w:val="auto"/>
          <w:kern w:val="2"/>
          <w:sz w:val="24"/>
          <w:szCs w:val="24"/>
          <w:highlight w:val="none"/>
          <w:lang w:val="en-US" w:eastAsia="zh-CN" w:bidi="ar-SA"/>
        </w:rPr>
        <w:t>有效，未在响应文件中提供虚假材料，无陪标、串标等违法行为。若相关部门查实或被不见面开标系统提示为“投标文件制作机器码一致”的，同意被视为投标无效，接受报监管部门依法作出的处理。</w:t>
      </w:r>
    </w:p>
    <w:p>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eastAsia="宋体" w:cs="宋体"/>
          <w:color w:val="auto"/>
          <w:sz w:val="24"/>
          <w:szCs w:val="24"/>
          <w:highlight w:val="none"/>
          <w:lang w:val="en-US" w:eastAsia="zh-CN"/>
        </w:rPr>
        <w:t>5、一旦我方中标，我方在收到中标通知书后15日内，依据采购文件、响应文件与采购人签订合同。若由于我方原因在15日内因非不可抗力拒绝与采购人签订合同的，愿意接受相关部门依法作出的处罚。合同签订后严格按照合同履约，并配合采购人完成履约验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供应商：（盖章）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法定代表人或授权委托代理人：（签字或盖章）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32"/>
          <w:szCs w:val="32"/>
          <w:highlight w:val="none"/>
        </w:rPr>
      </w:pPr>
      <w:r>
        <w:rPr>
          <w:rFonts w:hint="eastAsia" w:ascii="宋体" w:hAnsi="宋体"/>
          <w:color w:val="auto"/>
          <w:kern w:val="0"/>
          <w:sz w:val="24"/>
          <w:highlight w:val="none"/>
        </w:rPr>
        <w:t>年      月      日</w:t>
      </w:r>
    </w:p>
    <w:p>
      <w:pPr>
        <w:spacing w:line="500" w:lineRule="exact"/>
        <w:jc w:val="center"/>
        <w:outlineLvl w:val="2"/>
        <w:rPr>
          <w:rFonts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br w:type="page"/>
      </w:r>
      <w:bookmarkStart w:id="295" w:name="_Toc14214"/>
      <w:bookmarkStart w:id="296" w:name="_Toc14778"/>
      <w:bookmarkStart w:id="297" w:name="_Toc208"/>
      <w:bookmarkStart w:id="298" w:name="_Toc9543"/>
      <w:bookmarkStart w:id="299" w:name="_Toc31291"/>
      <w:r>
        <w:rPr>
          <w:rFonts w:hint="eastAsia" w:asciiTheme="minorEastAsia" w:hAnsiTheme="minorEastAsia" w:eastAsiaTheme="minorEastAsia" w:cstheme="minorEastAsia"/>
          <w:b/>
          <w:bCs/>
          <w:color w:val="auto"/>
          <w:sz w:val="28"/>
          <w:szCs w:val="28"/>
          <w:highlight w:val="none"/>
        </w:rPr>
        <w:t>（二） 开标一览表</w:t>
      </w:r>
      <w:bookmarkEnd w:id="295"/>
      <w:bookmarkEnd w:id="296"/>
      <w:bookmarkEnd w:id="297"/>
      <w:bookmarkEnd w:id="298"/>
      <w:bookmarkEnd w:id="299"/>
    </w:p>
    <w:p>
      <w:pPr>
        <w:jc w:val="center"/>
        <w:rPr>
          <w:rFonts w:asciiTheme="minorEastAsia" w:hAnsiTheme="minorEastAsia" w:eastAsiaTheme="minorEastAsia" w:cstheme="minorEastAsia"/>
          <w:b/>
          <w:bCs/>
          <w:color w:val="auto"/>
          <w:sz w:val="28"/>
          <w:highlight w:val="none"/>
        </w:rPr>
      </w:pPr>
    </w:p>
    <w:tbl>
      <w:tblPr>
        <w:tblStyle w:val="25"/>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项目名称</w:t>
            </w:r>
          </w:p>
        </w:tc>
        <w:tc>
          <w:tcPr>
            <w:tcW w:w="5898" w:type="dxa"/>
            <w:vAlign w:val="center"/>
          </w:tcPr>
          <w:p>
            <w:pPr>
              <w:pStyle w:val="14"/>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 标 人</w:t>
            </w:r>
          </w:p>
        </w:tc>
        <w:tc>
          <w:tcPr>
            <w:tcW w:w="5898" w:type="dxa"/>
            <w:vAlign w:val="center"/>
          </w:tcPr>
          <w:p>
            <w:pPr>
              <w:pStyle w:val="14"/>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投标总报价</w:t>
            </w:r>
          </w:p>
        </w:tc>
        <w:tc>
          <w:tcPr>
            <w:tcW w:w="5898" w:type="dxa"/>
            <w:vAlign w:val="center"/>
          </w:tcPr>
          <w:p>
            <w:pPr>
              <w:pStyle w:val="14"/>
              <w:spacing w:line="400" w:lineRule="exact"/>
              <w:ind w:firstLine="480"/>
              <w:rPr>
                <w:rFonts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sz w:val="24"/>
                <w:szCs w:val="20"/>
                <w:highlight w:val="none"/>
              </w:rPr>
              <w:t xml:space="preserve">（大写）                                </w:t>
            </w:r>
          </w:p>
          <w:p>
            <w:pPr>
              <w:pStyle w:val="14"/>
              <w:spacing w:line="400" w:lineRule="exact"/>
              <w:ind w:firstLine="480"/>
              <w:rPr>
                <w:rFonts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sz w:val="24"/>
                <w:szCs w:val="20"/>
                <w:highlight w:val="none"/>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质量标准</w:t>
            </w:r>
          </w:p>
        </w:tc>
        <w:tc>
          <w:tcPr>
            <w:tcW w:w="5898" w:type="dxa"/>
            <w:vAlign w:val="center"/>
          </w:tcPr>
          <w:p>
            <w:pPr>
              <w:pStyle w:val="14"/>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color w:val="auto"/>
                <w:sz w:val="24"/>
                <w:highlight w:val="yellow"/>
              </w:rPr>
            </w:pPr>
            <w:r>
              <w:rPr>
                <w:rFonts w:hint="eastAsia" w:asciiTheme="minorEastAsia" w:hAnsiTheme="minorEastAsia" w:eastAsiaTheme="minorEastAsia" w:cstheme="minorEastAsia"/>
                <w:color w:val="auto"/>
                <w:sz w:val="24"/>
                <w:highlight w:val="none"/>
                <w:lang w:val="en-US" w:eastAsia="zh-CN"/>
              </w:rPr>
              <w:t>供货安装期</w:t>
            </w:r>
          </w:p>
        </w:tc>
        <w:tc>
          <w:tcPr>
            <w:tcW w:w="5898" w:type="dxa"/>
            <w:vAlign w:val="center"/>
          </w:tcPr>
          <w:p>
            <w:pPr>
              <w:pStyle w:val="14"/>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hint="eastAsia" w:asciiTheme="minorEastAsia" w:hAnsiTheme="minorEastAsia" w:eastAsiaTheme="minorEastAsia" w:cstheme="minorEastAsia"/>
                <w:bCs/>
                <w:iCs/>
                <w:color w:val="auto"/>
                <w:sz w:val="24"/>
                <w:highlight w:val="yellow"/>
                <w:lang w:val="en-US" w:eastAsia="zh-CN"/>
              </w:rPr>
            </w:pPr>
            <w:r>
              <w:rPr>
                <w:rFonts w:hint="eastAsia" w:asciiTheme="minorEastAsia" w:hAnsiTheme="minorEastAsia" w:eastAsiaTheme="minorEastAsia" w:cstheme="minorEastAsia"/>
                <w:bCs/>
                <w:iCs/>
                <w:color w:val="auto"/>
                <w:sz w:val="24"/>
                <w:highlight w:val="none"/>
                <w:lang w:val="en-US" w:eastAsia="zh-CN"/>
              </w:rPr>
              <w:t>质保期</w:t>
            </w:r>
          </w:p>
        </w:tc>
        <w:tc>
          <w:tcPr>
            <w:tcW w:w="5898" w:type="dxa"/>
            <w:vAlign w:val="center"/>
          </w:tcPr>
          <w:p>
            <w:pPr>
              <w:pStyle w:val="14"/>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color w:val="auto"/>
                <w:sz w:val="24"/>
                <w:highlight w:val="yellow"/>
              </w:rPr>
            </w:pPr>
            <w:r>
              <w:rPr>
                <w:rFonts w:hint="eastAsia" w:asciiTheme="minorEastAsia" w:hAnsiTheme="minorEastAsia" w:eastAsiaTheme="minorEastAsia" w:cstheme="minorEastAsia"/>
                <w:bCs/>
                <w:iCs/>
                <w:color w:val="auto"/>
                <w:sz w:val="24"/>
                <w:highlight w:val="none"/>
              </w:rPr>
              <w:t>投标有效期</w:t>
            </w:r>
          </w:p>
        </w:tc>
        <w:tc>
          <w:tcPr>
            <w:tcW w:w="5898" w:type="dxa"/>
            <w:vAlign w:val="center"/>
          </w:tcPr>
          <w:p>
            <w:pPr>
              <w:pStyle w:val="14"/>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14"/>
              <w:spacing w:line="400" w:lineRule="exact"/>
              <w:ind w:firstLine="480"/>
              <w:rPr>
                <w:rFonts w:asciiTheme="minorEastAsia" w:hAnsiTheme="minorEastAsia" w:eastAsiaTheme="minorEastAsia" w:cstheme="minorEastAsia"/>
                <w:bCs/>
                <w:iCs/>
                <w:color w:val="auto"/>
                <w:sz w:val="24"/>
                <w:highlight w:val="none"/>
              </w:rPr>
            </w:pPr>
            <w:r>
              <w:rPr>
                <w:rFonts w:hint="eastAsia" w:asciiTheme="minorEastAsia" w:hAnsiTheme="minorEastAsia" w:eastAsiaTheme="minorEastAsia" w:cstheme="minorEastAsia"/>
                <w:color w:val="auto"/>
                <w:sz w:val="24"/>
                <w:szCs w:val="20"/>
                <w:highlight w:val="none"/>
              </w:rPr>
              <w:t>备注：</w:t>
            </w:r>
          </w:p>
        </w:tc>
        <w:tc>
          <w:tcPr>
            <w:tcW w:w="5898" w:type="dxa"/>
            <w:vAlign w:val="center"/>
          </w:tcPr>
          <w:p>
            <w:pPr>
              <w:pStyle w:val="14"/>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14"/>
              <w:spacing w:line="400" w:lineRule="exact"/>
              <w:ind w:firstLine="480"/>
              <w:rPr>
                <w:rFonts w:asciiTheme="minorEastAsia" w:hAnsiTheme="minorEastAsia" w:eastAsiaTheme="minorEastAsia" w:cstheme="minorEastAsia"/>
                <w:color w:val="auto"/>
                <w:sz w:val="24"/>
                <w:szCs w:val="20"/>
                <w:highlight w:val="none"/>
              </w:rPr>
            </w:pPr>
          </w:p>
        </w:tc>
      </w:tr>
    </w:tbl>
    <w:p>
      <w:pPr>
        <w:spacing w:line="360" w:lineRule="exact"/>
        <w:jc w:val="right"/>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供应商：（单位公章）</w:t>
      </w:r>
    </w:p>
    <w:p>
      <w:pPr>
        <w:ind w:left="1050" w:leftChars="500"/>
        <w:jc w:val="center"/>
        <w:rPr>
          <w:rFonts w:asciiTheme="minorEastAsia" w:hAnsiTheme="minorEastAsia" w:eastAsiaTheme="minorEastAsia" w:cstheme="minorEastAsia"/>
          <w:color w:val="auto"/>
          <w:sz w:val="24"/>
          <w:highlight w:val="none"/>
        </w:rPr>
      </w:pPr>
    </w:p>
    <w:p>
      <w:pPr>
        <w:ind w:left="1050" w:leftChars="500"/>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法定代表人</w:t>
      </w:r>
      <w:r>
        <w:rPr>
          <w:rFonts w:hint="eastAsia" w:asciiTheme="minorEastAsia" w:hAnsiTheme="minorEastAsia" w:eastAsiaTheme="minorEastAsia" w:cstheme="minorEastAsia"/>
          <w:color w:val="auto"/>
          <w:sz w:val="24"/>
          <w:szCs w:val="20"/>
          <w:highlight w:val="none"/>
        </w:rPr>
        <w:t>或其委托代理人</w:t>
      </w:r>
      <w:r>
        <w:rPr>
          <w:rFonts w:hint="eastAsia" w:asciiTheme="minorEastAsia" w:hAnsiTheme="minorEastAsia" w:eastAsiaTheme="minorEastAsia" w:cstheme="minorEastAsia"/>
          <w:color w:val="auto"/>
          <w:sz w:val="24"/>
          <w:highlight w:val="none"/>
        </w:rPr>
        <w:t>：（签字或盖章）</w:t>
      </w:r>
    </w:p>
    <w:p>
      <w:pPr>
        <w:ind w:left="1050" w:leftChars="500"/>
        <w:jc w:val="center"/>
        <w:rPr>
          <w:rFonts w:asciiTheme="minorEastAsia" w:hAnsiTheme="minorEastAsia" w:eastAsiaTheme="minorEastAsia" w:cstheme="minorEastAsia"/>
          <w:color w:val="auto"/>
          <w:sz w:val="24"/>
          <w:highlight w:val="none"/>
        </w:rPr>
      </w:pPr>
    </w:p>
    <w:p>
      <w:pPr>
        <w:ind w:left="1050" w:leftChars="500"/>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日  期：     年   月   日</w:t>
      </w:r>
    </w:p>
    <w:p>
      <w:pPr>
        <w:rPr>
          <w:rFonts w:asciiTheme="minorEastAsia" w:hAnsiTheme="minorEastAsia" w:eastAsiaTheme="minorEastAsia" w:cstheme="minorEastAsia"/>
          <w:color w:val="auto"/>
          <w:highlight w:val="none"/>
        </w:rPr>
      </w:pPr>
    </w:p>
    <w:p>
      <w:pPr>
        <w:rPr>
          <w:rFonts w:asciiTheme="minorEastAsia" w:hAnsiTheme="minorEastAsia" w:eastAsiaTheme="minorEastAsia" w:cstheme="minorEastAsia"/>
          <w:color w:val="auto"/>
          <w:highlight w:val="none"/>
        </w:rPr>
      </w:pPr>
    </w:p>
    <w:p>
      <w:pPr>
        <w:pStyle w:val="2"/>
        <w:rPr>
          <w:rFonts w:asciiTheme="minorEastAsia" w:hAnsiTheme="minorEastAsia" w:eastAsiaTheme="minorEastAsia" w:cstheme="minorEastAsia"/>
          <w:color w:val="auto"/>
          <w:sz w:val="24"/>
          <w:highlight w:val="none"/>
        </w:rPr>
      </w:pPr>
    </w:p>
    <w:p>
      <w:pPr>
        <w:pStyle w:val="6"/>
        <w:spacing w:before="120" w:after="120" w:line="500" w:lineRule="exact"/>
        <w:ind w:right="29" w:rightChars="14"/>
        <w:outlineLvl w:val="1"/>
        <w:rPr>
          <w:rFonts w:asciiTheme="minorEastAsia" w:hAnsiTheme="minorEastAsia" w:eastAsiaTheme="minorEastAsia" w:cstheme="minorEastAsia"/>
          <w:color w:val="auto"/>
          <w:sz w:val="24"/>
          <w:highlight w:val="none"/>
        </w:rPr>
      </w:pPr>
    </w:p>
    <w:p>
      <w:pPr>
        <w:pStyle w:val="6"/>
        <w:spacing w:before="120" w:after="120" w:line="500" w:lineRule="exact"/>
        <w:ind w:right="29" w:rightChars="14"/>
        <w:outlineLvl w:val="1"/>
        <w:rPr>
          <w:rFonts w:asciiTheme="minorEastAsia" w:hAnsiTheme="minorEastAsia" w:eastAsiaTheme="minorEastAsia" w:cstheme="minorEastAsia"/>
          <w:color w:val="auto"/>
          <w:sz w:val="24"/>
          <w:highlight w:val="none"/>
        </w:rPr>
        <w:sectPr>
          <w:headerReference r:id="rId9" w:type="default"/>
          <w:footerReference r:id="rId10" w:type="default"/>
          <w:pgSz w:w="11907" w:h="16840"/>
          <w:pgMar w:top="1276" w:right="1116" w:bottom="1417" w:left="911" w:header="850" w:footer="998" w:gutter="0"/>
          <w:pgNumType w:fmt="numberInDash"/>
          <w:cols w:space="720" w:num="1"/>
          <w:docGrid w:type="lines" w:linePitch="380" w:charSpace="0"/>
        </w:sectPr>
      </w:pPr>
    </w:p>
    <w:p>
      <w:pPr>
        <w:spacing w:line="500" w:lineRule="exact"/>
        <w:jc w:val="center"/>
        <w:outlineLvl w:val="2"/>
        <w:rPr>
          <w:rFonts w:hint="eastAsia" w:asciiTheme="minorEastAsia" w:hAnsiTheme="minorEastAsia" w:eastAsiaTheme="minorEastAsia" w:cstheme="minorEastAsia"/>
          <w:b/>
          <w:bCs/>
          <w:color w:val="auto"/>
          <w:sz w:val="28"/>
          <w:szCs w:val="28"/>
          <w:highlight w:val="none"/>
        </w:rPr>
      </w:pPr>
      <w:bookmarkStart w:id="300" w:name="_Toc25759"/>
      <w:r>
        <w:rPr>
          <w:rFonts w:hint="eastAsia" w:asciiTheme="minorEastAsia" w:hAnsiTheme="minorEastAsia" w:eastAsiaTheme="minorEastAsia" w:cstheme="minorEastAsia"/>
          <w:b/>
          <w:bCs/>
          <w:color w:val="auto"/>
          <w:sz w:val="28"/>
          <w:szCs w:val="28"/>
          <w:highlight w:val="none"/>
        </w:rPr>
        <w:t>（三）报价明细表</w:t>
      </w:r>
      <w:bookmarkEnd w:id="300"/>
    </w:p>
    <w:p>
      <w:pPr>
        <w:spacing w:line="440" w:lineRule="exact"/>
        <w:ind w:firstLine="308" w:firstLineChars="147"/>
        <w:rPr>
          <w:rFonts w:ascii="宋体" w:hAnsi="宋体" w:cs="宋体"/>
          <w:bCs/>
          <w:color w:val="auto"/>
          <w:szCs w:val="21"/>
          <w:highlight w:val="none"/>
        </w:rPr>
      </w:pPr>
    </w:p>
    <w:tbl>
      <w:tblPr>
        <w:tblStyle w:val="25"/>
        <w:tblW w:w="9917"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851"/>
        <w:gridCol w:w="849"/>
        <w:gridCol w:w="2518"/>
        <w:gridCol w:w="772"/>
        <w:gridCol w:w="723"/>
        <w:gridCol w:w="818"/>
        <w:gridCol w:w="937"/>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1307" w:type="dxa"/>
            <w:vMerge w:val="restart"/>
            <w:tcBorders>
              <w:top w:val="single" w:color="auto" w:sz="4" w:space="0"/>
              <w:left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名称</w:t>
            </w:r>
          </w:p>
        </w:tc>
        <w:tc>
          <w:tcPr>
            <w:tcW w:w="4218" w:type="dxa"/>
            <w:gridSpan w:val="3"/>
            <w:tcBorders>
              <w:top w:val="single" w:color="auto" w:sz="4" w:space="0"/>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所投设备</w:t>
            </w:r>
          </w:p>
        </w:tc>
        <w:tc>
          <w:tcPr>
            <w:tcW w:w="772" w:type="dxa"/>
            <w:vMerge w:val="restart"/>
            <w:tcBorders>
              <w:top w:val="single" w:color="auto" w:sz="4" w:space="0"/>
              <w:left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单位</w:t>
            </w:r>
          </w:p>
        </w:tc>
        <w:tc>
          <w:tcPr>
            <w:tcW w:w="723" w:type="dxa"/>
            <w:vMerge w:val="restart"/>
            <w:tcBorders>
              <w:top w:val="single" w:color="auto" w:sz="4" w:space="0"/>
              <w:left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数量</w:t>
            </w:r>
          </w:p>
        </w:tc>
        <w:tc>
          <w:tcPr>
            <w:tcW w:w="818" w:type="dxa"/>
            <w:vMerge w:val="restart"/>
            <w:tcBorders>
              <w:top w:val="single" w:color="auto" w:sz="4" w:space="0"/>
              <w:left w:val="single" w:color="auto" w:sz="4" w:space="0"/>
              <w:right w:val="single" w:color="auto" w:sz="4" w:space="0"/>
            </w:tcBorders>
            <w:noWrap/>
            <w:vAlign w:val="center"/>
          </w:tcPr>
          <w:p>
            <w:pPr>
              <w:pStyle w:val="22"/>
              <w:widowControl w:val="0"/>
              <w:adjustRightInd w:val="0"/>
              <w:spacing w:before="0" w:beforeAutospacing="0" w:after="0" w:afterAutospacing="0" w:line="480" w:lineRule="exact"/>
              <w:ind w:firstLine="235" w:firstLineChars="98"/>
              <w:jc w:val="center"/>
              <w:rPr>
                <w:bCs/>
                <w:color w:val="auto"/>
                <w:highlight w:val="none"/>
              </w:rPr>
            </w:pPr>
          </w:p>
          <w:p>
            <w:pPr>
              <w:pStyle w:val="22"/>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单价（元）</w:t>
            </w:r>
          </w:p>
          <w:p>
            <w:pPr>
              <w:pStyle w:val="22"/>
              <w:widowControl w:val="0"/>
              <w:adjustRightInd w:val="0"/>
              <w:spacing w:before="0" w:beforeAutospacing="0" w:after="0" w:afterAutospacing="0" w:line="480" w:lineRule="exact"/>
              <w:ind w:firstLine="235" w:firstLineChars="98"/>
              <w:jc w:val="center"/>
              <w:rPr>
                <w:bCs/>
                <w:color w:val="auto"/>
                <w:highlight w:val="none"/>
              </w:rPr>
            </w:pPr>
          </w:p>
        </w:tc>
        <w:tc>
          <w:tcPr>
            <w:tcW w:w="937" w:type="dxa"/>
            <w:vMerge w:val="restart"/>
            <w:tcBorders>
              <w:top w:val="single" w:color="auto" w:sz="4" w:space="0"/>
              <w:left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合价（元）</w:t>
            </w:r>
          </w:p>
        </w:tc>
        <w:tc>
          <w:tcPr>
            <w:tcW w:w="1142" w:type="dxa"/>
            <w:vMerge w:val="restart"/>
            <w:tcBorders>
              <w:top w:val="single" w:color="auto" w:sz="4" w:space="0"/>
              <w:left w:val="single" w:color="auto" w:sz="4" w:space="0"/>
              <w:right w:val="single" w:color="auto" w:sz="4" w:space="0"/>
            </w:tcBorders>
            <w:noWrap/>
          </w:tcPr>
          <w:p>
            <w:pPr>
              <w:pStyle w:val="22"/>
              <w:widowControl w:val="0"/>
              <w:adjustRightInd w:val="0"/>
              <w:spacing w:before="0" w:beforeAutospacing="0" w:after="0" w:afterAutospacing="0" w:line="480" w:lineRule="exact"/>
              <w:jc w:val="both"/>
              <w:rPr>
                <w:rFonts w:hint="eastAsia" w:eastAsia="宋体"/>
                <w:bCs/>
                <w:color w:val="auto"/>
                <w:highlight w:val="none"/>
                <w:lang w:val="en-US" w:eastAsia="zh-CN"/>
              </w:rPr>
            </w:pPr>
            <w:r>
              <w:rPr>
                <w:rFonts w:hint="eastAsia"/>
                <w:bCs/>
                <w:color w:val="auto"/>
                <w:highlight w:val="none"/>
                <w:lang w:val="en-US" w:eastAsia="zh-CN"/>
              </w:rPr>
              <w:t xml:space="preserve"> </w:t>
            </w:r>
          </w:p>
          <w:p>
            <w:pPr>
              <w:pStyle w:val="22"/>
              <w:widowControl w:val="0"/>
              <w:adjustRightInd w:val="0"/>
              <w:spacing w:before="0" w:beforeAutospacing="0" w:after="0" w:afterAutospacing="0" w:line="480" w:lineRule="exact"/>
              <w:jc w:val="both"/>
              <w:rPr>
                <w:bCs/>
                <w:color w:val="auto"/>
                <w:highlight w:val="none"/>
              </w:rPr>
            </w:pPr>
            <w:r>
              <w:rPr>
                <w:rFonts w:hint="eastAsia"/>
                <w:b w:val="0"/>
                <w:bCs/>
                <w:color w:val="auto"/>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trPr>
        <w:tc>
          <w:tcPr>
            <w:tcW w:w="1307" w:type="dxa"/>
            <w:vMerge w:val="continue"/>
            <w:tcBorders>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none"/>
              </w:rPr>
            </w:pPr>
          </w:p>
        </w:tc>
        <w:tc>
          <w:tcPr>
            <w:tcW w:w="851" w:type="dxa"/>
            <w:tcBorders>
              <w:top w:val="single" w:color="auto" w:sz="4" w:space="0"/>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品牌</w:t>
            </w:r>
          </w:p>
        </w:tc>
        <w:tc>
          <w:tcPr>
            <w:tcW w:w="849" w:type="dxa"/>
            <w:tcBorders>
              <w:top w:val="single" w:color="auto" w:sz="4" w:space="0"/>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型号</w:t>
            </w:r>
          </w:p>
        </w:tc>
        <w:tc>
          <w:tcPr>
            <w:tcW w:w="2518" w:type="dxa"/>
            <w:tcBorders>
              <w:top w:val="single" w:color="auto" w:sz="4" w:space="0"/>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技术参数</w:t>
            </w:r>
          </w:p>
        </w:tc>
        <w:tc>
          <w:tcPr>
            <w:tcW w:w="772" w:type="dxa"/>
            <w:vMerge w:val="continue"/>
            <w:tcBorders>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yellow"/>
              </w:rPr>
            </w:pPr>
          </w:p>
        </w:tc>
        <w:tc>
          <w:tcPr>
            <w:tcW w:w="723" w:type="dxa"/>
            <w:vMerge w:val="continue"/>
            <w:tcBorders>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yellow"/>
              </w:rPr>
            </w:pPr>
          </w:p>
        </w:tc>
        <w:tc>
          <w:tcPr>
            <w:tcW w:w="818" w:type="dxa"/>
            <w:vMerge w:val="continue"/>
            <w:tcBorders>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ind w:firstLine="235" w:firstLineChars="98"/>
              <w:jc w:val="center"/>
              <w:rPr>
                <w:bCs/>
                <w:color w:val="auto"/>
                <w:highlight w:val="yellow"/>
              </w:rPr>
            </w:pPr>
          </w:p>
        </w:tc>
        <w:tc>
          <w:tcPr>
            <w:tcW w:w="937" w:type="dxa"/>
            <w:vMerge w:val="continue"/>
            <w:tcBorders>
              <w:left w:val="single" w:color="auto" w:sz="4" w:space="0"/>
              <w:bottom w:val="single" w:color="auto" w:sz="4" w:space="0"/>
              <w:right w:val="single" w:color="auto" w:sz="4" w:space="0"/>
            </w:tcBorders>
            <w:noWrap/>
            <w:vAlign w:val="center"/>
          </w:tcPr>
          <w:p>
            <w:pPr>
              <w:pStyle w:val="22"/>
              <w:widowControl w:val="0"/>
              <w:adjustRightInd w:val="0"/>
              <w:spacing w:before="0" w:beforeAutospacing="0" w:after="0" w:afterAutospacing="0" w:line="480" w:lineRule="exact"/>
              <w:jc w:val="center"/>
              <w:rPr>
                <w:bCs/>
                <w:color w:val="auto"/>
                <w:highlight w:val="none"/>
              </w:rPr>
            </w:pPr>
          </w:p>
        </w:tc>
        <w:tc>
          <w:tcPr>
            <w:tcW w:w="1142" w:type="dxa"/>
            <w:vMerge w:val="continue"/>
            <w:tcBorders>
              <w:left w:val="single" w:color="auto" w:sz="4" w:space="0"/>
              <w:bottom w:val="single" w:color="auto" w:sz="4" w:space="0"/>
              <w:right w:val="single" w:color="auto" w:sz="4" w:space="0"/>
            </w:tcBorders>
            <w:noWrap/>
          </w:tcPr>
          <w:p>
            <w:pPr>
              <w:pStyle w:val="22"/>
              <w:widowControl w:val="0"/>
              <w:adjustRightInd w:val="0"/>
              <w:spacing w:before="0" w:beforeAutospacing="0" w:after="0" w:afterAutospacing="0" w:line="480" w:lineRule="exact"/>
              <w:ind w:left="105" w:leftChars="50" w:firstLine="115" w:firstLineChars="48"/>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4"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r>
              <w:rPr>
                <w:rFonts w:hint="eastAsia" w:ascii="宋体" w:hAnsi="宋体" w:cs="宋体"/>
                <w:b w:val="0"/>
                <w:bCs/>
                <w:color w:val="auto"/>
                <w:sz w:val="24"/>
                <w:highlight w:val="none"/>
                <w:lang w:val="en-US" w:eastAsia="zh-CN"/>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color w:val="auto"/>
                <w:sz w:val="24"/>
                <w:highlight w:val="none"/>
              </w:rPr>
            </w:pPr>
            <w:r>
              <w:rPr>
                <w:rFonts w:hint="eastAsia" w:ascii="宋体" w:hAnsi="宋体" w:cs="宋体"/>
                <w:bCs/>
                <w:color w:val="auto"/>
                <w:sz w:val="24"/>
                <w:highlight w:val="none"/>
              </w:rPr>
              <w:t>合计（元）</w:t>
            </w:r>
          </w:p>
        </w:tc>
        <w:tc>
          <w:tcPr>
            <w:tcW w:w="8610" w:type="dxa"/>
            <w:gridSpan w:val="8"/>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color w:val="auto"/>
                <w:sz w:val="24"/>
                <w:highlight w:val="none"/>
              </w:rPr>
            </w:pPr>
            <w:r>
              <w:rPr>
                <w:rFonts w:hint="eastAsia" w:ascii="宋体" w:hAnsi="宋体" w:cs="宋体"/>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7" w:hRule="atLeast"/>
        </w:trPr>
        <w:tc>
          <w:tcPr>
            <w:tcW w:w="9917" w:type="dxa"/>
            <w:gridSpan w:val="9"/>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color w:val="auto"/>
                <w:sz w:val="24"/>
                <w:highlight w:val="none"/>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2、涉及有国家标准的产品，须填写名称、品牌、型号及技术参数、报价等本表内容（若品牌、型号等填写的与实际不符，按照无效标处理）。</w:t>
            </w:r>
          </w:p>
        </w:tc>
      </w:tr>
    </w:tbl>
    <w:p>
      <w:pPr>
        <w:spacing w:line="480" w:lineRule="exact"/>
        <w:jc w:val="right"/>
        <w:rPr>
          <w:rFonts w:ascii="宋体" w:hAnsi="宋体" w:cs="宋体"/>
          <w:bCs/>
          <w:color w:val="auto"/>
          <w:sz w:val="24"/>
          <w:highlight w:val="none"/>
        </w:rPr>
      </w:pPr>
      <w:r>
        <w:rPr>
          <w:rFonts w:hint="eastAsia" w:ascii="宋体" w:hAnsi="宋体" w:cs="宋体"/>
          <w:bCs/>
          <w:color w:val="auto"/>
          <w:sz w:val="24"/>
          <w:highlight w:val="none"/>
        </w:rPr>
        <w:t>供应商：（单位公章）</w:t>
      </w:r>
    </w:p>
    <w:p>
      <w:pPr>
        <w:spacing w:line="480" w:lineRule="exact"/>
        <w:jc w:val="right"/>
        <w:rPr>
          <w:rFonts w:ascii="宋体" w:hAnsi="宋体" w:cs="宋体"/>
          <w:bCs/>
          <w:color w:val="auto"/>
          <w:sz w:val="24"/>
          <w:highlight w:val="none"/>
        </w:rPr>
      </w:pPr>
      <w:r>
        <w:rPr>
          <w:rFonts w:hint="eastAsia" w:ascii="宋体" w:hAnsi="宋体" w:cs="宋体"/>
          <w:bCs/>
          <w:color w:val="auto"/>
          <w:sz w:val="24"/>
          <w:highlight w:val="none"/>
        </w:rPr>
        <w:t xml:space="preserve">     法定代表人</w:t>
      </w:r>
      <w:r>
        <w:rPr>
          <w:rFonts w:hint="eastAsia" w:ascii="宋体" w:hAnsi="宋体" w:cs="宋体"/>
          <w:bCs/>
          <w:color w:val="auto"/>
          <w:sz w:val="24"/>
          <w:szCs w:val="20"/>
          <w:highlight w:val="none"/>
        </w:rPr>
        <w:t>或其委托代理人</w:t>
      </w:r>
      <w:r>
        <w:rPr>
          <w:rFonts w:hint="eastAsia" w:ascii="宋体" w:hAnsi="宋体" w:cs="宋体"/>
          <w:bCs/>
          <w:color w:val="auto"/>
          <w:sz w:val="24"/>
          <w:highlight w:val="none"/>
        </w:rPr>
        <w:t>：（签字或盖章）</w:t>
      </w:r>
    </w:p>
    <w:p>
      <w:pPr>
        <w:ind w:left="1050" w:leftChars="500"/>
        <w:jc w:val="right"/>
        <w:rPr>
          <w:rFonts w:ascii="宋体" w:hAnsi="宋体" w:cs="宋体"/>
          <w:bCs/>
          <w:color w:val="auto"/>
          <w:sz w:val="24"/>
          <w:highlight w:val="none"/>
        </w:rPr>
      </w:pPr>
      <w:r>
        <w:rPr>
          <w:rFonts w:hint="eastAsia" w:ascii="宋体" w:hAnsi="宋体" w:cs="宋体"/>
          <w:bCs/>
          <w:color w:val="auto"/>
          <w:sz w:val="24"/>
          <w:highlight w:val="none"/>
        </w:rPr>
        <w:t xml:space="preserve">                日  期：     年   月   日</w:t>
      </w:r>
    </w:p>
    <w:p>
      <w:pPr>
        <w:autoSpaceDE w:val="0"/>
        <w:autoSpaceDN w:val="0"/>
        <w:adjustRightInd w:val="0"/>
        <w:spacing w:line="440" w:lineRule="exact"/>
        <w:jc w:val="right"/>
        <w:rPr>
          <w:rFonts w:ascii="宋体" w:hAnsi="宋体" w:cs="宋体"/>
          <w:b/>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p>
    <w:p>
      <w:pPr>
        <w:autoSpaceDE w:val="0"/>
        <w:autoSpaceDN w:val="0"/>
        <w:adjustRightInd w:val="0"/>
        <w:spacing w:line="440" w:lineRule="exact"/>
        <w:jc w:val="center"/>
        <w:rPr>
          <w:rFonts w:hint="eastAsia" w:ascii="宋体" w:hAnsi="宋体" w:cs="宋体"/>
          <w:b/>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r>
        <w:rPr>
          <w:rFonts w:hint="eastAsia" w:ascii="宋体" w:hAnsi="宋体" w:cs="宋体"/>
          <w:b/>
          <w:color w:val="auto"/>
          <w:sz w:val="30"/>
          <w:szCs w:val="30"/>
          <w:highlight w:val="none"/>
        </w:rPr>
        <w:t>（四）技术偏离表</w:t>
      </w:r>
    </w:p>
    <w:p>
      <w:pPr>
        <w:spacing w:line="440" w:lineRule="exact"/>
        <w:rPr>
          <w:rFonts w:ascii="宋体" w:hAnsi="宋体" w:cs="宋体"/>
          <w:color w:val="auto"/>
          <w:sz w:val="32"/>
          <w:highlight w:val="none"/>
        </w:rPr>
      </w:pPr>
    </w:p>
    <w:tbl>
      <w:tblPr>
        <w:tblStyle w:val="25"/>
        <w:tblW w:w="100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
        <w:gridCol w:w="2005"/>
        <w:gridCol w:w="2137"/>
        <w:gridCol w:w="2270"/>
        <w:gridCol w:w="2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6" w:hRule="atLeast"/>
          <w:jc w:val="center"/>
        </w:trPr>
        <w:tc>
          <w:tcPr>
            <w:tcW w:w="907" w:type="dxa"/>
            <w:tcBorders>
              <w:top w:val="single" w:color="auto" w:sz="12" w:space="0"/>
              <w:left w:val="single" w:color="auto" w:sz="12" w:space="0"/>
              <w:bottom w:val="single" w:color="auto" w:sz="6" w:space="0"/>
              <w:right w:val="single" w:color="auto" w:sz="6" w:space="0"/>
            </w:tcBorders>
            <w:noWrap/>
            <w:vAlign w:val="center"/>
          </w:tcPr>
          <w:p>
            <w:pPr>
              <w:spacing w:line="440" w:lineRule="exact"/>
              <w:ind w:left="-141"/>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005" w:type="dxa"/>
            <w:tcBorders>
              <w:top w:val="single" w:color="auto" w:sz="12"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货物名称</w:t>
            </w:r>
          </w:p>
        </w:tc>
        <w:tc>
          <w:tcPr>
            <w:tcW w:w="2137" w:type="dxa"/>
            <w:tcBorders>
              <w:top w:val="single" w:color="auto" w:sz="12"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招标技术要求</w:t>
            </w:r>
          </w:p>
        </w:tc>
        <w:tc>
          <w:tcPr>
            <w:tcW w:w="2270" w:type="dxa"/>
            <w:tcBorders>
              <w:top w:val="single" w:color="auto" w:sz="12" w:space="0"/>
              <w:left w:val="single" w:color="auto" w:sz="6" w:space="0"/>
              <w:bottom w:val="single" w:color="auto" w:sz="6" w:space="0"/>
              <w:right w:val="single" w:color="auto" w:sz="6" w:space="0"/>
            </w:tcBorders>
            <w:noWrap/>
            <w:vAlign w:val="center"/>
          </w:tcPr>
          <w:p>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投标货物实际技术规格</w:t>
            </w:r>
          </w:p>
        </w:tc>
        <w:tc>
          <w:tcPr>
            <w:tcW w:w="2718" w:type="dxa"/>
            <w:tcBorders>
              <w:top w:val="single" w:color="auto" w:sz="12" w:space="0"/>
              <w:left w:val="single" w:color="auto" w:sz="6" w:space="0"/>
              <w:bottom w:val="single" w:color="auto" w:sz="6" w:space="0"/>
              <w:right w:val="single" w:color="auto" w:sz="12" w:space="0"/>
            </w:tcBorders>
            <w:noWrap/>
            <w:vAlign w:val="center"/>
          </w:tcPr>
          <w:p>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偏离说明</w:t>
            </w:r>
          </w:p>
          <w:p>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(说明偏离情况）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pStyle w:val="22"/>
              <w:widowControl w:val="0"/>
              <w:tabs>
                <w:tab w:val="left" w:pos="420"/>
              </w:tabs>
              <w:spacing w:before="0" w:beforeAutospacing="0" w:after="0" w:afterAutospacing="0" w:line="440" w:lineRule="exact"/>
              <w:jc w:val="both"/>
              <w:rPr>
                <w:bCs/>
                <w:color w:val="auto"/>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bl>
    <w:p>
      <w:pPr>
        <w:ind w:firstLine="480" w:firstLineChars="200"/>
        <w:rPr>
          <w:rFonts w:ascii="宋体" w:hAnsi="宋体"/>
          <w:color w:val="auto"/>
          <w:sz w:val="24"/>
          <w:szCs w:val="24"/>
          <w:highlight w:val="none"/>
        </w:rPr>
      </w:pPr>
      <w:r>
        <w:rPr>
          <w:rFonts w:hint="eastAsia" w:ascii="宋体" w:hAnsi="宋体"/>
          <w:color w:val="auto"/>
          <w:sz w:val="24"/>
          <w:szCs w:val="24"/>
          <w:highlight w:val="none"/>
        </w:rPr>
        <w:t>注：投标人须对照招标文件技术规格，将自己所投的所有货物的功能、技术性能、配置等内容按照上表格式与招标文件要求逐条填写，</w:t>
      </w:r>
      <w:r>
        <w:rPr>
          <w:rFonts w:hint="eastAsia" w:ascii="宋体" w:hAnsi="宋体"/>
          <w:b/>
          <w:bCs/>
          <w:color w:val="auto"/>
          <w:sz w:val="24"/>
          <w:szCs w:val="24"/>
          <w:highlight w:val="none"/>
        </w:rPr>
        <w:t>供应商必须提供所投设备的具体参数值，并在偏离说明栏中标明技术及配置的实际响应情况</w:t>
      </w:r>
      <w:r>
        <w:rPr>
          <w:rFonts w:hint="eastAsia" w:ascii="宋体" w:hAnsi="宋体"/>
          <w:color w:val="auto"/>
          <w:sz w:val="24"/>
          <w:szCs w:val="24"/>
          <w:highlight w:val="none"/>
        </w:rPr>
        <w:t>：</w:t>
      </w:r>
    </w:p>
    <w:p>
      <w:pPr>
        <w:ind w:firstLine="480" w:firstLineChars="200"/>
        <w:rPr>
          <w:rFonts w:ascii="宋体" w:hAnsi="宋体"/>
          <w:color w:val="auto"/>
          <w:sz w:val="24"/>
          <w:szCs w:val="24"/>
          <w:highlight w:val="none"/>
        </w:rPr>
      </w:pPr>
      <w:r>
        <w:rPr>
          <w:rFonts w:hint="eastAsia" w:ascii="宋体" w:hAnsi="宋体"/>
          <w:color w:val="auto"/>
          <w:sz w:val="24"/>
          <w:szCs w:val="24"/>
          <w:highlight w:val="none"/>
        </w:rPr>
        <w:t>1、偏离说明栏中必须标明技术及配置的响应情况，整项货物及该项货物各部分相应情况须按下列要求填写，任何不真实响应都将按无效投标处理：</w:t>
      </w:r>
    </w:p>
    <w:p>
      <w:pPr>
        <w:numPr>
          <w:ilvl w:val="0"/>
          <w:numId w:val="16"/>
        </w:numPr>
        <w:ind w:firstLine="480" w:firstLineChars="200"/>
        <w:rPr>
          <w:rFonts w:ascii="宋体" w:hAnsi="宋体"/>
          <w:color w:val="auto"/>
          <w:sz w:val="24"/>
          <w:szCs w:val="24"/>
          <w:highlight w:val="none"/>
        </w:rPr>
      </w:pPr>
      <w:r>
        <w:rPr>
          <w:rFonts w:hint="eastAsia" w:ascii="宋体" w:hAnsi="宋体"/>
          <w:color w:val="auto"/>
          <w:sz w:val="24"/>
          <w:szCs w:val="24"/>
          <w:highlight w:val="none"/>
        </w:rPr>
        <w:t>对应项中的所有技术参数、性能和配置全部符合招标文件要求的才能填写“符合”；</w:t>
      </w:r>
    </w:p>
    <w:p>
      <w:pPr>
        <w:numPr>
          <w:ilvl w:val="0"/>
          <w:numId w:val="16"/>
        </w:numPr>
        <w:ind w:firstLine="480" w:firstLineChars="200"/>
        <w:rPr>
          <w:rFonts w:ascii="宋体" w:hAnsi="宋体"/>
          <w:color w:val="auto"/>
          <w:sz w:val="24"/>
          <w:szCs w:val="24"/>
          <w:highlight w:val="none"/>
        </w:rPr>
      </w:pPr>
      <w:r>
        <w:rPr>
          <w:rFonts w:hint="eastAsia" w:ascii="宋体" w:hAnsi="宋体"/>
          <w:color w:val="auto"/>
          <w:sz w:val="24"/>
          <w:szCs w:val="24"/>
          <w:highlight w:val="none"/>
        </w:rPr>
        <w:t>对应项中的所有技术参数、性能和配置全部符合招标文件要求并且其中有一个或以上指标优于招标文件要求的，可填写“正偏离”；</w:t>
      </w:r>
    </w:p>
    <w:p>
      <w:pPr>
        <w:spacing w:line="600" w:lineRule="exact"/>
        <w:rPr>
          <w:rFonts w:ascii="宋体" w:hAnsi="宋体" w:cs="宋体"/>
          <w:color w:val="auto"/>
          <w:sz w:val="24"/>
          <w:highlight w:val="none"/>
        </w:rPr>
      </w:pPr>
    </w:p>
    <w:p>
      <w:pPr>
        <w:spacing w:line="600" w:lineRule="exact"/>
        <w:rPr>
          <w:rFonts w:ascii="宋体" w:hAnsi="宋体" w:cs="宋体"/>
          <w:color w:val="auto"/>
          <w:sz w:val="24"/>
          <w:highlight w:val="none"/>
          <w:u w:val="single"/>
        </w:rPr>
      </w:pPr>
      <w:r>
        <w:rPr>
          <w:rFonts w:hint="eastAsia" w:asciiTheme="minorEastAsia" w:hAnsiTheme="minorEastAsia" w:eastAsiaTheme="minorEastAsia" w:cstheme="minorEastAsia"/>
          <w:color w:val="auto"/>
          <w:sz w:val="24"/>
          <w:highlight w:val="none"/>
        </w:rPr>
        <w:t>供应商</w:t>
      </w:r>
      <w:r>
        <w:rPr>
          <w:rFonts w:hint="eastAsia" w:ascii="宋体" w:hAnsi="宋体" w:cs="宋体"/>
          <w:color w:val="auto"/>
          <w:sz w:val="24"/>
          <w:highlight w:val="none"/>
        </w:rPr>
        <w:t>（盖章）：</w:t>
      </w:r>
    </w:p>
    <w:p>
      <w:pPr>
        <w:spacing w:line="600" w:lineRule="exact"/>
        <w:rPr>
          <w:rFonts w:ascii="宋体" w:hAnsi="宋体" w:cs="宋体"/>
          <w:color w:val="auto"/>
          <w:sz w:val="24"/>
          <w:highlight w:val="none"/>
        </w:rPr>
      </w:pPr>
      <w:r>
        <w:rPr>
          <w:rFonts w:hint="eastAsia" w:ascii="宋体" w:hAnsi="宋体" w:cs="宋体"/>
          <w:color w:val="auto"/>
          <w:sz w:val="24"/>
          <w:highlight w:val="none"/>
        </w:rPr>
        <w:t>法人代表或授权委托人（签字或盖章）：</w:t>
      </w:r>
    </w:p>
    <w:p>
      <w:pPr>
        <w:ind w:firstLine="480"/>
        <w:rPr>
          <w:rFonts w:ascii="宋体" w:hAnsi="宋体" w:cs="宋体"/>
          <w:color w:val="auto"/>
          <w:sz w:val="24"/>
          <w:highlight w:val="none"/>
        </w:rPr>
        <w:sectPr>
          <w:pgSz w:w="11907" w:h="16840"/>
          <w:pgMar w:top="1276" w:right="1117" w:bottom="1417" w:left="913" w:header="850" w:footer="998" w:gutter="0"/>
          <w:pgNumType w:fmt="numberInDash"/>
          <w:cols w:space="0" w:num="1"/>
          <w:docGrid w:type="lines" w:linePitch="379" w:charSpace="0"/>
        </w:sectPr>
      </w:pPr>
      <w:r>
        <w:rPr>
          <w:rFonts w:hint="eastAsia" w:ascii="宋体" w:hAnsi="宋体" w:cs="宋体"/>
          <w:color w:val="auto"/>
          <w:sz w:val="24"/>
          <w:highlight w:val="none"/>
        </w:rPr>
        <w:t xml:space="preserve">                                         年    月    日  </w:t>
      </w:r>
    </w:p>
    <w:p>
      <w:pPr>
        <w:pStyle w:val="24"/>
        <w:ind w:firstLine="480"/>
        <w:rPr>
          <w:rFonts w:asciiTheme="minorEastAsia" w:hAnsiTheme="minorEastAsia" w:eastAsiaTheme="minorEastAsia" w:cstheme="minorEastAsia"/>
          <w:color w:val="auto"/>
          <w:sz w:val="24"/>
          <w:highlight w:val="none"/>
        </w:rPr>
      </w:pPr>
    </w:p>
    <w:p>
      <w:pPr>
        <w:pStyle w:val="6"/>
        <w:numPr>
          <w:ilvl w:val="0"/>
          <w:numId w:val="17"/>
        </w:numPr>
        <w:spacing w:before="120" w:after="120" w:line="500" w:lineRule="exact"/>
        <w:ind w:right="29" w:rightChars="14"/>
        <w:outlineLvl w:val="1"/>
        <w:rPr>
          <w:rFonts w:hint="eastAsia" w:asciiTheme="minorEastAsia" w:hAnsiTheme="minorEastAsia" w:eastAsiaTheme="minorEastAsia" w:cstheme="minorEastAsia"/>
          <w:color w:val="auto"/>
          <w:sz w:val="30"/>
          <w:szCs w:val="30"/>
          <w:highlight w:val="none"/>
        </w:rPr>
      </w:pPr>
      <w:bookmarkStart w:id="301" w:name="_Toc26698"/>
      <w:bookmarkStart w:id="302" w:name="_Toc2213"/>
      <w:bookmarkStart w:id="303" w:name="_Toc5614"/>
      <w:bookmarkStart w:id="304" w:name="_Toc30677"/>
      <w:r>
        <w:rPr>
          <w:rFonts w:hint="eastAsia" w:asciiTheme="minorEastAsia" w:hAnsiTheme="minorEastAsia" w:eastAsiaTheme="minorEastAsia" w:cstheme="minorEastAsia"/>
          <w:color w:val="auto"/>
          <w:sz w:val="30"/>
          <w:szCs w:val="30"/>
          <w:highlight w:val="none"/>
        </w:rPr>
        <w:t>法定代表人身份证明书</w:t>
      </w:r>
      <w:bookmarkEnd w:id="301"/>
      <w:bookmarkEnd w:id="302"/>
      <w:bookmarkEnd w:id="303"/>
      <w:bookmarkEnd w:id="304"/>
    </w:p>
    <w:p>
      <w:pPr>
        <w:numPr>
          <w:ilvl w:val="0"/>
          <w:numId w:val="0"/>
        </w:numPr>
        <w:rPr>
          <w:color w:val="auto"/>
          <w:highlight w:val="none"/>
        </w:rPr>
      </w:pP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pPr>
        <w:pStyle w:val="5"/>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2649220</wp:posOffset>
                </wp:positionH>
                <wp:positionV relativeFrom="paragraph">
                  <wp:posOffset>346710</wp:posOffset>
                </wp:positionV>
                <wp:extent cx="3134360" cy="2108200"/>
                <wp:effectExtent l="4445" t="4445" r="23495" b="20955"/>
                <wp:wrapNone/>
                <wp:docPr id="3" name="自选图形 2"/>
                <wp:cNvGraphicFramePr/>
                <a:graphic xmlns:a="http://schemas.openxmlformats.org/drawingml/2006/main">
                  <a:graphicData uri="http://schemas.microsoft.com/office/word/2010/wordprocessingShape">
                    <wps:wsp>
                      <wps:cNvSpPr/>
                      <wps:spPr>
                        <a:xfrm>
                          <a:off x="0" y="0"/>
                          <a:ext cx="3134360" cy="2108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2" o:spid="_x0000_s1026" o:spt="176" type="#_x0000_t176" style="position:absolute;left:0pt;margin-left:208.6pt;margin-top:27.3pt;height:166pt;width:246.8pt;z-index:251661312;mso-width-relative:page;mso-height-relative:page;" fillcolor="#FFFFFF" filled="t" stroked="t" coordsize="21600,21600" o:gfxdata="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aGfVz2QAAAAoB&#10;AAAPAAAAAAAAAAEAIAAAACIAAABkcnMvZG93bnJldi54bWxQSwECFAAUAAAACACHTuJAaqGG7xoC&#10;AABFBAAADgAAAAAAAAABACAAAAAoAQAAZHJzL2Uyb0RvYy54bWxQSwUGAAAAAAYABgBZAQAAtAUA&#10;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274955</wp:posOffset>
                </wp:positionV>
                <wp:extent cx="2912745" cy="2235200"/>
                <wp:effectExtent l="4445" t="4445" r="16510" b="8255"/>
                <wp:wrapNone/>
                <wp:docPr id="1" name="自选图形 3"/>
                <wp:cNvGraphicFramePr/>
                <a:graphic xmlns:a="http://schemas.openxmlformats.org/drawingml/2006/main">
                  <a:graphicData uri="http://schemas.microsoft.com/office/word/2010/wordprocessingShape">
                    <wps:wsp>
                      <wps:cNvSpPr/>
                      <wps:spPr>
                        <a:xfrm>
                          <a:off x="0" y="0"/>
                          <a:ext cx="2912745"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3" o:spid="_x0000_s1026" o:spt="176" type="#_x0000_t176" style="position:absolute;left:0pt;margin-left:-23.4pt;margin-top:21.65pt;height:176pt;width:229.35pt;z-index:251659264;mso-width-relative:page;mso-height-relative:page;" fillcolor="#FFFFFF" filled="t" stroked="t" coordsize="21600,21600" o:gfxdata="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c1pmXZAAAACgEA&#10;AA8AAAAAAAAAAQAgAAAAIgAAAGRycy9kb3ducmV2LnhtbFBLAQIUABQAAAAIAIdO4kBSq43dGQIA&#10;AEUEAAAOAAAAAAAAAAEAIAAAACgBAABkcnMvZTJvRG9jLnhtbFBLBQYAAAAABgAGAFkBAACzBQAA&#10;AAA=&#10;">
                <v:fill on="t" focussize="0,0"/>
                <v:stroke color="#000000" joinstyle="miter"/>
                <v:imagedata o:title=""/>
                <o:lock v:ext="edit" aspectratio="f"/>
                <v:textbox>
                  <w:txbxContent>
                    <w:p/>
                  </w:txbxContent>
                </v:textbox>
              </v:shape>
            </w:pict>
          </mc:Fallback>
        </mc:AlternateContent>
      </w:r>
    </w:p>
    <w:p>
      <w:pPr>
        <w:rPr>
          <w:rFonts w:hint="eastAsia" w:ascii="宋体" w:hAnsi="宋体"/>
          <w:color w:val="auto"/>
          <w:sz w:val="24"/>
          <w:highlight w:val="none"/>
        </w:rPr>
      </w:pPr>
    </w:p>
    <w:p>
      <w:pPr>
        <w:pStyle w:val="5"/>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-105410</wp:posOffset>
                </wp:positionH>
                <wp:positionV relativeFrom="paragraph">
                  <wp:posOffset>416560</wp:posOffset>
                </wp:positionV>
                <wp:extent cx="2810510" cy="296545"/>
                <wp:effectExtent l="4445" t="4445" r="23495" b="22860"/>
                <wp:wrapNone/>
                <wp:docPr id="2" name="文本框 5"/>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shape id="文本框 5" o:spid="_x0000_s1026" o:spt="202" type="#_x0000_t202" style="position:absolute;left:0pt;margin-left:-8.3pt;margin-top:32.8pt;height:23.35pt;width:221.3pt;z-index:251660288;mso-width-relative:page;mso-height-relative:page;" fillcolor="#FFFFFF" filled="t" stroked="t" coordsize="21600,21600" o:gfxdata="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Kit9kAAAAKAQAADwAAAAAAAAABACAA&#10;AAAiAAAAZHJzL2Rvd25yZXYueG1sUEsBAhQAFAAAAAgAh07iQJlJoW8MAgAANgQAAA4AAAAAAAAA&#10;AQAgAAAAKAEAAGRycy9lMm9Eb2MueG1sUEsFBgAAAAAGAAYAWQEAAKYFA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2781300</wp:posOffset>
                </wp:positionH>
                <wp:positionV relativeFrom="paragraph">
                  <wp:posOffset>361315</wp:posOffset>
                </wp:positionV>
                <wp:extent cx="2810510" cy="296545"/>
                <wp:effectExtent l="4445" t="4445" r="23495" b="22860"/>
                <wp:wrapNone/>
                <wp:docPr id="4"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shape id="_x0000_s1026" o:spid="_x0000_s1026" o:spt="202" type="#_x0000_t202" style="position:absolute;left:0pt;margin-left:219pt;margin-top:28.45pt;height:23.35pt;width:221.3pt;z-index:251662336;mso-width-relative:page;mso-height-relative:page;" fillcolor="#FFFFFF" filled="t" stroked="t" coordsize="21600,21600" o:gfxdata="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DpQXF2QAAAAoBAAAPAAAAAAAAAAEAIAAA&#10;ACIAAABkcnMvZG93bnJldi54bWxQSwECFAAUAAAACACHTuJAbasTKwsCAAA2BAAADgAAAAAAAAAB&#10;ACAAAAAoAQAAZHJzL2Uyb0RvYy54bWxQSwUGAAAAAAYABgBZAQAApQ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p>
    <w:p>
      <w:pPr>
        <w:rPr>
          <w:rFonts w:hint="eastAsia" w:ascii="宋体" w:hAnsi="宋体"/>
          <w:color w:val="auto"/>
          <w:sz w:val="24"/>
          <w:highlight w:val="none"/>
        </w:rPr>
      </w:pPr>
    </w:p>
    <w:p>
      <w:pPr>
        <w:pStyle w:val="5"/>
        <w:rPr>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pPr>
        <w:spacing w:line="440" w:lineRule="exact"/>
        <w:rPr>
          <w:rFonts w:asciiTheme="minorEastAsia" w:hAnsiTheme="minorEastAsia" w:eastAsiaTheme="minorEastAsia" w:cstheme="minorEastAsia"/>
          <w:color w:val="auto"/>
          <w:highlight w:val="none"/>
        </w:rPr>
      </w:pPr>
    </w:p>
    <w:p>
      <w:pPr>
        <w:pStyle w:val="6"/>
        <w:spacing w:before="120" w:after="120" w:line="500" w:lineRule="exact"/>
        <w:ind w:right="29" w:rightChars="14"/>
        <w:outlineLvl w:val="1"/>
        <w:rPr>
          <w:rFonts w:asciiTheme="minorEastAsia" w:hAnsiTheme="minorEastAsia" w:eastAsiaTheme="minorEastAsia" w:cstheme="minorEastAsia"/>
          <w:color w:val="auto"/>
          <w:sz w:val="30"/>
          <w:szCs w:val="30"/>
          <w:highlight w:val="none"/>
        </w:rPr>
      </w:pPr>
      <w:bookmarkStart w:id="305" w:name="_Toc6009"/>
      <w:bookmarkStart w:id="306" w:name="_Toc15395"/>
    </w:p>
    <w:p>
      <w:pPr>
        <w:pStyle w:val="6"/>
        <w:spacing w:before="120" w:after="120" w:line="500" w:lineRule="exact"/>
        <w:ind w:right="29" w:rightChars="14"/>
        <w:outlineLvl w:val="1"/>
        <w:rPr>
          <w:rFonts w:asciiTheme="minorEastAsia" w:hAnsiTheme="minorEastAsia" w:eastAsiaTheme="minorEastAsia" w:cstheme="minorEastAsia"/>
          <w:color w:val="auto"/>
          <w:sz w:val="30"/>
          <w:szCs w:val="30"/>
          <w:highlight w:val="none"/>
        </w:rPr>
      </w:pPr>
      <w:bookmarkStart w:id="307" w:name="_Toc30169"/>
      <w:bookmarkStart w:id="308" w:name="_Toc17980"/>
      <w:r>
        <w:rPr>
          <w:rFonts w:hint="eastAsia" w:asciiTheme="minorEastAsia" w:hAnsiTheme="minorEastAsia" w:eastAsiaTheme="minorEastAsia" w:cstheme="minorEastAsia"/>
          <w:color w:val="auto"/>
          <w:sz w:val="30"/>
          <w:szCs w:val="30"/>
          <w:highlight w:val="none"/>
        </w:rPr>
        <w:t>三、授权委托书</w:t>
      </w:r>
      <w:bookmarkEnd w:id="305"/>
      <w:bookmarkEnd w:id="306"/>
      <w:bookmarkEnd w:id="307"/>
      <w:bookmarkEnd w:id="308"/>
    </w:p>
    <w:p>
      <w:pPr>
        <w:pStyle w:val="5"/>
        <w:rPr>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-363855</wp:posOffset>
                </wp:positionH>
                <wp:positionV relativeFrom="paragraph">
                  <wp:posOffset>158750</wp:posOffset>
                </wp:positionV>
                <wp:extent cx="3050540" cy="2235200"/>
                <wp:effectExtent l="4445" t="4445" r="12065" b="8255"/>
                <wp:wrapNone/>
                <wp:docPr id="5" name="自选图形 7"/>
                <wp:cNvGraphicFramePr/>
                <a:graphic xmlns:a="http://schemas.openxmlformats.org/drawingml/2006/main">
                  <a:graphicData uri="http://schemas.microsoft.com/office/word/2010/wordprocessingShape">
                    <wps:wsp>
                      <wps:cNvSpPr/>
                      <wps:spPr>
                        <a:xfrm>
                          <a:off x="0" y="0"/>
                          <a:ext cx="305054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7" o:spid="_x0000_s1026" o:spt="176" type="#_x0000_t176" style="position:absolute;left:0pt;margin-left:-28.65pt;margin-top:12.5pt;height:176pt;width:240.2pt;z-index:251663360;mso-width-relative:page;mso-height-relative:page;" fillcolor="#FFFFFF" filled="t" stroked="t" coordsize="21600,21600" o:gfxdata="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cJm9jYAAAACgEA&#10;AA8AAAAAAAAAAQAgAAAAIgAAAGRycy9kb3ducmV2LnhtbFBLAQIUABQAAAAIAIdO4kCFOY5tGgIA&#10;AEUEAAAOAAAAAAAAAAEAIAAAACcBAABkcnMvZTJvRG9jLnhtbFBLBQYAAAAABgAGAFkBAACzBQAA&#10;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6" name="自选图形 6"/>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6" o:spid="_x0000_s1026" o:spt="176" type="#_x0000_t176" style="position:absolute;left:0pt;margin-left:212.25pt;margin-top:14.15pt;height:176pt;width:246.8pt;z-index:251664384;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9z/e82QAAAAoBAAAPAAAA&#10;AAAAAAEAIAAAACIAAABkcnMvZG93bnJldi54bWxQSwECFAAUAAAACACHTuJADJ3OQhQCAAA6BAAA&#10;DgAAAAAAAAABACAAAAAoAQAAZHJzL2Uyb0RvYy54bWxQSwUGAAAAAAYABgBZAQAArgUAAAAA&#10;">
                <v:fill on="t" focussize="0,0"/>
                <v:stroke color="#000000" joinstyle="miter"/>
                <v:imagedata o:title=""/>
                <o:lock v:ext="edit" aspectratio="f"/>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7" name="文本框 8"/>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shape id="文本框 8" o:spid="_x0000_s1026" o:spt="202" type="#_x0000_t202" style="position:absolute;left:0pt;margin-left:-20.9pt;margin-top:21.5pt;height:23.35pt;width:221.3pt;z-index:251665408;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tWmUnYAAAACQEAAA8AAAAAAAAAAQAgAAAA&#10;IgAAAGRycy9kb3ducmV2LnhtbFBLAQIUABQAAAAIAIdO4kBQcvtlCwIAADYEAAAOAAAAAAAAAAEA&#10;IAAAACcBAABkcnMvZTJvRG9jLnhtbFBLBQYAAAAABgAGAFkBAACk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8"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shape id="文本框 9" o:spid="_x0000_s1026" o:spt="202" type="#_x0000_t202" style="position:absolute;left:0pt;margin-left:222.45pt;margin-top:18.5pt;height:23.35pt;width:221.3pt;z-index:251666432;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8R6xfZAAAACQEAAA8AAAAAAAAAAQAgAAAA&#10;IgAAAGRycy9kb3ducmV2LnhtbFBLAQIUABQAAAAIAIdO4kC2NVLHCgIAADYEAAAOAAAAAAAAAAEA&#10;IAAAACgBAABkcnMvZTJvRG9jLnhtbFBLBQYAAAAABgAGAFkBAACk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asciiTheme="minorEastAsia" w:hAnsiTheme="minorEastAsia" w:eastAsiaTheme="minorEastAsia" w:cstheme="minorEastAsia"/>
          <w:color w:val="auto"/>
          <w:kern w:val="2"/>
          <w:sz w:val="30"/>
          <w:szCs w:val="30"/>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bookmarkEnd w:id="246"/>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sz w:val="30"/>
          <w:szCs w:val="30"/>
          <w:highlight w:val="none"/>
        </w:rPr>
      </w:pPr>
      <w:bookmarkStart w:id="309" w:name="_Toc8304"/>
      <w:bookmarkStart w:id="310" w:name="_Toc25161"/>
      <w:bookmarkStart w:id="311" w:name="_Toc25641"/>
      <w:r>
        <w:rPr>
          <w:rFonts w:hint="eastAsia" w:asciiTheme="minorEastAsia" w:hAnsiTheme="minorEastAsia" w:eastAsiaTheme="minorEastAsia" w:cstheme="minorEastAsia"/>
          <w:b/>
          <w:color w:val="auto"/>
          <w:kern w:val="2"/>
          <w:sz w:val="30"/>
          <w:szCs w:val="30"/>
          <w:highlight w:val="none"/>
          <w:lang w:val="en-US" w:eastAsia="zh-CN"/>
        </w:rPr>
        <w:t>四</w:t>
      </w:r>
      <w:r>
        <w:rPr>
          <w:rFonts w:hint="eastAsia" w:asciiTheme="minorEastAsia" w:hAnsiTheme="minorEastAsia" w:eastAsiaTheme="minorEastAsia" w:cstheme="minorEastAsia"/>
          <w:b/>
          <w:color w:val="auto"/>
          <w:kern w:val="2"/>
          <w:sz w:val="30"/>
          <w:szCs w:val="30"/>
          <w:highlight w:val="none"/>
        </w:rPr>
        <w:t>、项目</w:t>
      </w:r>
      <w:r>
        <w:rPr>
          <w:rFonts w:hint="eastAsia" w:asciiTheme="minorEastAsia" w:hAnsiTheme="minorEastAsia" w:eastAsiaTheme="minorEastAsia" w:cstheme="minorEastAsia"/>
          <w:b/>
          <w:color w:val="auto"/>
          <w:kern w:val="2"/>
          <w:sz w:val="30"/>
          <w:szCs w:val="30"/>
          <w:highlight w:val="none"/>
          <w:lang w:val="en-US" w:eastAsia="zh-CN"/>
        </w:rPr>
        <w:t>实施</w:t>
      </w:r>
      <w:r>
        <w:rPr>
          <w:rFonts w:hint="eastAsia" w:asciiTheme="minorEastAsia" w:hAnsiTheme="minorEastAsia" w:eastAsiaTheme="minorEastAsia" w:cstheme="minorEastAsia"/>
          <w:b/>
          <w:color w:val="auto"/>
          <w:kern w:val="2"/>
          <w:sz w:val="30"/>
          <w:szCs w:val="30"/>
          <w:highlight w:val="none"/>
        </w:rPr>
        <w:t>方案</w:t>
      </w:r>
      <w:bookmarkEnd w:id="309"/>
      <w:r>
        <w:rPr>
          <w:rFonts w:hint="eastAsia" w:asciiTheme="minorEastAsia" w:hAnsiTheme="minorEastAsia" w:eastAsiaTheme="minorEastAsia" w:cstheme="minorEastAsia"/>
          <w:b/>
          <w:color w:val="auto"/>
          <w:kern w:val="2"/>
          <w:sz w:val="30"/>
          <w:szCs w:val="30"/>
          <w:highlight w:val="none"/>
        </w:rPr>
        <w:t>等</w:t>
      </w:r>
      <w:bookmarkEnd w:id="310"/>
      <w:bookmarkEnd w:id="311"/>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rPr>
          <w:rFonts w:asciiTheme="minorEastAsia" w:hAnsiTheme="minorEastAsia" w:eastAsiaTheme="minorEastAsia" w:cstheme="minorEastAsia"/>
          <w:b/>
          <w:color w:val="auto"/>
          <w:sz w:val="30"/>
          <w:szCs w:val="30"/>
          <w:highlight w:val="none"/>
        </w:rPr>
      </w:pPr>
    </w:p>
    <w:p>
      <w:pPr>
        <w:rPr>
          <w:rFonts w:asciiTheme="minorEastAsia" w:hAnsiTheme="minorEastAsia" w:eastAsiaTheme="minorEastAsia" w:cstheme="minorEastAsia"/>
          <w:b/>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bookmarkStart w:id="312" w:name="_Toc10043"/>
    </w:p>
    <w:p>
      <w:pPr>
        <w:pStyle w:val="2"/>
        <w:rPr>
          <w:rFonts w:ascii="宋体" w:hAnsi="宋体" w:cs="宋体"/>
          <w:b/>
          <w:color w:val="auto"/>
          <w:sz w:val="30"/>
          <w:szCs w:val="30"/>
          <w:highlight w:val="none"/>
        </w:rPr>
      </w:pPr>
    </w:p>
    <w:p>
      <w:pPr>
        <w:pStyle w:val="3"/>
        <w:rPr>
          <w:rFonts w:ascii="宋体" w:hAnsi="宋体" w:cs="宋体"/>
          <w:b/>
          <w:color w:val="auto"/>
          <w:sz w:val="30"/>
          <w:szCs w:val="30"/>
          <w:highlight w:val="none"/>
        </w:rPr>
      </w:pPr>
    </w:p>
    <w:p>
      <w:pPr>
        <w:pStyle w:val="2"/>
        <w:rPr>
          <w:rFonts w:ascii="宋体" w:hAnsi="宋体" w:cs="宋体"/>
          <w:b/>
          <w:color w:val="auto"/>
          <w:sz w:val="30"/>
          <w:szCs w:val="30"/>
          <w:highlight w:val="none"/>
        </w:rPr>
      </w:pPr>
    </w:p>
    <w:p>
      <w:pPr>
        <w:pStyle w:val="3"/>
        <w:rPr>
          <w:rFonts w:ascii="宋体" w:hAnsi="宋体" w:cs="宋体"/>
          <w:b/>
          <w:color w:val="auto"/>
          <w:sz w:val="30"/>
          <w:szCs w:val="30"/>
          <w:highlight w:val="none"/>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color w:val="auto"/>
          <w:sz w:val="30"/>
          <w:szCs w:val="30"/>
          <w:highlight w:val="none"/>
        </w:rPr>
      </w:pPr>
      <w:bookmarkStart w:id="313" w:name="_Toc20650"/>
      <w:bookmarkStart w:id="314" w:name="_Toc30146"/>
      <w:bookmarkStart w:id="315" w:name="_Toc14885"/>
      <w:bookmarkStart w:id="316" w:name="_Toc29492"/>
      <w:r>
        <w:rPr>
          <w:rFonts w:hint="eastAsia" w:asciiTheme="minorEastAsia" w:hAnsiTheme="minorEastAsia" w:eastAsiaTheme="minorEastAsia" w:cstheme="minorEastAsia"/>
          <w:b/>
          <w:color w:val="auto"/>
          <w:kern w:val="2"/>
          <w:sz w:val="30"/>
          <w:szCs w:val="30"/>
          <w:highlight w:val="none"/>
          <w:lang w:val="en-US" w:eastAsia="zh-CN"/>
        </w:rPr>
        <w:t>五</w:t>
      </w:r>
      <w:r>
        <w:rPr>
          <w:rFonts w:hint="eastAsia" w:asciiTheme="minorEastAsia" w:hAnsiTheme="minorEastAsia" w:eastAsiaTheme="minorEastAsia" w:cstheme="minorEastAsia"/>
          <w:b/>
          <w:color w:val="auto"/>
          <w:kern w:val="2"/>
          <w:sz w:val="30"/>
          <w:szCs w:val="30"/>
          <w:highlight w:val="none"/>
        </w:rPr>
        <w:t>、资格证明文件</w:t>
      </w:r>
      <w:bookmarkEnd w:id="312"/>
      <w:bookmarkEnd w:id="313"/>
      <w:bookmarkEnd w:id="314"/>
      <w:bookmarkEnd w:id="315"/>
      <w:bookmarkEnd w:id="316"/>
    </w:p>
    <w:p>
      <w:pPr>
        <w:spacing w:line="400" w:lineRule="exact"/>
        <w:jc w:val="left"/>
        <w:rPr>
          <w:rFonts w:asciiTheme="minorEastAsia" w:hAnsiTheme="minorEastAsia" w:eastAsiaTheme="minorEastAsia" w:cstheme="minorEastAsia"/>
          <w:bCs/>
          <w:color w:val="auto"/>
          <w:sz w:val="24"/>
          <w:highlight w:val="none"/>
        </w:rPr>
      </w:pPr>
    </w:p>
    <w:p>
      <w:pPr>
        <w:spacing w:line="400" w:lineRule="exact"/>
        <w:jc w:val="left"/>
        <w:rPr>
          <w:color w:val="auto"/>
          <w:sz w:val="24"/>
          <w:highlight w:val="none"/>
        </w:rPr>
      </w:pPr>
    </w:p>
    <w:p>
      <w:pPr>
        <w:spacing w:line="400" w:lineRule="exact"/>
        <w:jc w:val="left"/>
        <w:rPr>
          <w:color w:val="auto"/>
          <w:sz w:val="24"/>
          <w:highlight w:val="none"/>
        </w:rPr>
      </w:pPr>
      <w:r>
        <w:rPr>
          <w:rFonts w:hint="eastAsia"/>
          <w:color w:val="auto"/>
          <w:sz w:val="24"/>
          <w:highlight w:val="none"/>
        </w:rPr>
        <w:t>一、 供应商营业执照副本（三证合一）；</w:t>
      </w:r>
    </w:p>
    <w:p>
      <w:pPr>
        <w:spacing w:line="400" w:lineRule="exact"/>
        <w:jc w:val="left"/>
        <w:rPr>
          <w:color w:val="auto"/>
          <w:sz w:val="24"/>
          <w:highlight w:val="none"/>
        </w:rPr>
      </w:pPr>
      <w:r>
        <w:rPr>
          <w:rFonts w:hint="eastAsia"/>
          <w:color w:val="auto"/>
          <w:sz w:val="24"/>
          <w:highlight w:val="none"/>
        </w:rPr>
        <w:t>二、符合《中华人民共和国政府采购法》第二十二条规定:</w:t>
      </w:r>
    </w:p>
    <w:p>
      <w:pPr>
        <w:spacing w:line="400" w:lineRule="exact"/>
        <w:ind w:firstLine="480" w:firstLineChars="200"/>
        <w:jc w:val="left"/>
        <w:rPr>
          <w:color w:val="auto"/>
          <w:sz w:val="24"/>
          <w:highlight w:val="none"/>
        </w:rPr>
      </w:pPr>
      <w:r>
        <w:rPr>
          <w:rFonts w:hint="eastAsia"/>
          <w:color w:val="auto"/>
          <w:sz w:val="24"/>
          <w:highlight w:val="none"/>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color w:val="auto"/>
          <w:sz w:val="24"/>
          <w:highlight w:val="none"/>
        </w:rPr>
      </w:pPr>
      <w:r>
        <w:rPr>
          <w:rFonts w:hint="eastAsia"/>
          <w:color w:val="auto"/>
          <w:sz w:val="24"/>
          <w:highlight w:val="none"/>
        </w:rPr>
        <w:t>2.2.参加政府采购活动前三年内无重大违法记录的书面声明；</w:t>
      </w:r>
    </w:p>
    <w:p>
      <w:pPr>
        <w:spacing w:line="400" w:lineRule="exact"/>
        <w:jc w:val="left"/>
        <w:rPr>
          <w:color w:val="auto"/>
          <w:sz w:val="24"/>
          <w:highlight w:val="none"/>
        </w:rPr>
      </w:pPr>
      <w:r>
        <w:rPr>
          <w:rFonts w:hint="eastAsia"/>
          <w:color w:val="auto"/>
          <w:sz w:val="24"/>
          <w:highlight w:val="none"/>
        </w:rPr>
        <w:t>三、招标文件中要求的其他资格证明材料。</w:t>
      </w:r>
    </w:p>
    <w:p>
      <w:pPr>
        <w:pStyle w:val="24"/>
        <w:ind w:firstLine="482"/>
        <w:rPr>
          <w:b/>
          <w:bCs/>
          <w:color w:val="auto"/>
          <w:highlight w:val="none"/>
        </w:rPr>
      </w:pPr>
      <w:r>
        <w:rPr>
          <w:rFonts w:hint="eastAsia"/>
          <w:b/>
          <w:bCs/>
          <w:color w:val="auto"/>
          <w:sz w:val="24"/>
          <w:highlight w:val="none"/>
        </w:rPr>
        <w:t>备注：以上资格证明文件须提供原件的扫描件。</w:t>
      </w:r>
    </w:p>
    <w:p>
      <w:pPr>
        <w:pStyle w:val="24"/>
        <w:rPr>
          <w:color w:val="auto"/>
          <w:highlight w:val="none"/>
        </w:rPr>
      </w:pPr>
    </w:p>
    <w:p>
      <w:pPr>
        <w:autoSpaceDE w:val="0"/>
        <w:autoSpaceDN w:val="0"/>
        <w:adjustRightInd w:val="0"/>
        <w:spacing w:line="440" w:lineRule="exact"/>
        <w:rPr>
          <w:rFonts w:asciiTheme="minorEastAsia" w:hAnsiTheme="minorEastAsia" w:eastAsiaTheme="minorEastAsia" w:cstheme="minorEastAsia"/>
          <w:b/>
          <w:color w:val="auto"/>
          <w:sz w:val="28"/>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pStyle w:val="23"/>
        <w:ind w:firstLine="281"/>
        <w:rPr>
          <w:rFonts w:hint="default" w:asciiTheme="minorEastAsia" w:hAnsiTheme="minorEastAsia" w:eastAsiaTheme="minorEastAsia" w:cstheme="minorEastAsia"/>
          <w:b/>
          <w:color w:val="auto"/>
          <w:sz w:val="28"/>
          <w:highlight w:val="none"/>
        </w:rPr>
      </w:pPr>
    </w:p>
    <w:p>
      <w:pPr>
        <w:pStyle w:val="24"/>
        <w:ind w:firstLine="562"/>
        <w:rPr>
          <w:rFonts w:asciiTheme="minorEastAsia" w:hAnsiTheme="minorEastAsia" w:eastAsiaTheme="minorEastAsia" w:cstheme="minorEastAsia"/>
          <w:b/>
          <w:color w:val="auto"/>
          <w:sz w:val="28"/>
          <w:highlight w:val="none"/>
        </w:rPr>
      </w:pPr>
    </w:p>
    <w:p>
      <w:pPr>
        <w:pStyle w:val="24"/>
        <w:ind w:firstLine="562"/>
        <w:rPr>
          <w:rFonts w:asciiTheme="minorEastAsia" w:hAnsiTheme="minorEastAsia" w:eastAsiaTheme="minorEastAsia" w:cstheme="minorEastAsia"/>
          <w:b/>
          <w:color w:val="auto"/>
          <w:sz w:val="28"/>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widowControl/>
        <w:rPr>
          <w:rFonts w:asciiTheme="minorEastAsia" w:hAnsiTheme="minorEastAsia" w:eastAsiaTheme="minorEastAsia" w:cstheme="minorEastAsia"/>
          <w:color w:val="auto"/>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widowControl/>
        <w:rPr>
          <w:rFonts w:asciiTheme="minorEastAsia" w:hAnsiTheme="minorEastAsia" w:eastAsiaTheme="minorEastAsia" w:cstheme="minorEastAsia"/>
          <w:color w:val="auto"/>
          <w:highlight w:val="none"/>
        </w:rPr>
      </w:pPr>
    </w:p>
    <w:p>
      <w:pPr>
        <w:rPr>
          <w:rFonts w:asciiTheme="minorEastAsia" w:hAnsiTheme="minorEastAsia" w:eastAsiaTheme="minorEastAsia" w:cstheme="minorEastAsia"/>
          <w:color w:val="auto"/>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color w:val="auto"/>
          <w:kern w:val="2"/>
          <w:sz w:val="30"/>
          <w:szCs w:val="30"/>
          <w:highlight w:val="none"/>
        </w:rPr>
      </w:pPr>
      <w:bookmarkStart w:id="317" w:name="_Toc8330"/>
      <w:bookmarkStart w:id="318" w:name="_Toc6465"/>
      <w:bookmarkStart w:id="319" w:name="_Toc31553"/>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color w:val="auto"/>
          <w:kern w:val="2"/>
          <w:sz w:val="30"/>
          <w:szCs w:val="30"/>
          <w:highlight w:val="none"/>
        </w:rPr>
      </w:pPr>
    </w:p>
    <w:p>
      <w:pPr>
        <w:pStyle w:val="22"/>
        <w:widowControl w:val="0"/>
        <w:numPr>
          <w:ilvl w:val="0"/>
          <w:numId w:val="0"/>
        </w:numPr>
        <w:tabs>
          <w:tab w:val="left" w:pos="0"/>
        </w:tabs>
        <w:spacing w:before="120" w:beforeAutospacing="0" w:after="120" w:afterAutospacing="0" w:line="500" w:lineRule="exact"/>
        <w:ind w:right="29" w:rightChars="14" w:firstLine="3313" w:firstLineChars="1100"/>
        <w:jc w:val="left"/>
        <w:outlineLvl w:val="1"/>
        <w:rPr>
          <w:rFonts w:asciiTheme="minorEastAsia" w:hAnsiTheme="minorEastAsia" w:eastAsiaTheme="minorEastAsia" w:cstheme="minorEastAsia"/>
          <w:b/>
          <w:color w:val="auto"/>
          <w:kern w:val="2"/>
          <w:sz w:val="30"/>
          <w:szCs w:val="30"/>
          <w:highlight w:val="none"/>
        </w:rPr>
      </w:pPr>
      <w:bookmarkStart w:id="320" w:name="_Toc4390"/>
      <w:bookmarkStart w:id="321" w:name="_Toc7391"/>
      <w:r>
        <w:rPr>
          <w:rFonts w:hint="eastAsia" w:asciiTheme="minorEastAsia" w:hAnsiTheme="minorEastAsia" w:eastAsiaTheme="minorEastAsia" w:cstheme="minorEastAsia"/>
          <w:b/>
          <w:color w:val="auto"/>
          <w:kern w:val="2"/>
          <w:sz w:val="30"/>
          <w:szCs w:val="30"/>
          <w:highlight w:val="none"/>
          <w:lang w:val="en-US" w:eastAsia="zh-CN"/>
        </w:rPr>
        <w:t>六、</w:t>
      </w:r>
      <w:r>
        <w:rPr>
          <w:rFonts w:hint="eastAsia" w:asciiTheme="minorEastAsia" w:hAnsiTheme="minorEastAsia" w:eastAsiaTheme="minorEastAsia" w:cstheme="minorEastAsia"/>
          <w:b/>
          <w:color w:val="auto"/>
          <w:kern w:val="2"/>
          <w:sz w:val="30"/>
          <w:szCs w:val="30"/>
          <w:highlight w:val="none"/>
        </w:rPr>
        <w:t>供应商服务承诺和优惠承诺</w:t>
      </w:r>
      <w:bookmarkEnd w:id="320"/>
      <w:bookmarkEnd w:id="321"/>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color w:val="auto"/>
          <w:sz w:val="30"/>
          <w:szCs w:val="30"/>
          <w:highlight w:val="none"/>
        </w:rPr>
      </w:pPr>
      <w:bookmarkStart w:id="322" w:name="_Toc700"/>
      <w:bookmarkStart w:id="323" w:name="_Toc12372"/>
      <w:r>
        <w:rPr>
          <w:rFonts w:hint="eastAsia" w:asciiTheme="minorEastAsia" w:hAnsiTheme="minorEastAsia" w:eastAsiaTheme="minorEastAsia" w:cstheme="minorEastAsia"/>
          <w:b/>
          <w:color w:val="auto"/>
          <w:kern w:val="2"/>
          <w:sz w:val="30"/>
          <w:szCs w:val="30"/>
          <w:highlight w:val="none"/>
          <w:lang w:val="en-US" w:eastAsia="zh-CN"/>
        </w:rPr>
        <w:t>七</w:t>
      </w:r>
      <w:r>
        <w:rPr>
          <w:rFonts w:hint="eastAsia" w:asciiTheme="minorEastAsia" w:hAnsiTheme="minorEastAsia" w:eastAsiaTheme="minorEastAsia" w:cstheme="minorEastAsia"/>
          <w:b/>
          <w:color w:val="auto"/>
          <w:kern w:val="2"/>
          <w:sz w:val="30"/>
          <w:szCs w:val="30"/>
          <w:highlight w:val="none"/>
        </w:rPr>
        <w:t>、供应商所投产品属于当期政府采购清单规定的节能环保产品的</w:t>
      </w:r>
      <w:bookmarkEnd w:id="317"/>
      <w:bookmarkEnd w:id="322"/>
      <w:bookmarkEnd w:id="323"/>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color w:val="auto"/>
          <w:sz w:val="30"/>
          <w:szCs w:val="30"/>
          <w:highlight w:val="none"/>
        </w:rPr>
      </w:pPr>
      <w:bookmarkStart w:id="324" w:name="_Toc24210"/>
      <w:bookmarkStart w:id="325" w:name="_Toc18925"/>
      <w:bookmarkStart w:id="326" w:name="_Toc28422"/>
      <w:bookmarkStart w:id="327" w:name="_Toc21287"/>
      <w:bookmarkStart w:id="328" w:name="_Toc17912"/>
      <w:r>
        <w:rPr>
          <w:rFonts w:hint="eastAsia" w:asciiTheme="minorEastAsia" w:hAnsiTheme="minorEastAsia" w:eastAsiaTheme="minorEastAsia" w:cstheme="minorEastAsia"/>
          <w:b/>
          <w:color w:val="auto"/>
          <w:kern w:val="2"/>
          <w:sz w:val="30"/>
          <w:szCs w:val="30"/>
          <w:highlight w:val="none"/>
        </w:rPr>
        <w:t>证明材料</w:t>
      </w:r>
      <w:bookmarkEnd w:id="318"/>
      <w:bookmarkEnd w:id="324"/>
      <w:bookmarkEnd w:id="325"/>
      <w:bookmarkEnd w:id="326"/>
      <w:r>
        <w:rPr>
          <w:rFonts w:hint="eastAsia" w:asciiTheme="minorEastAsia" w:hAnsiTheme="minorEastAsia" w:eastAsiaTheme="minorEastAsia" w:cstheme="minorEastAsia"/>
          <w:b/>
          <w:color w:val="auto"/>
          <w:kern w:val="2"/>
          <w:sz w:val="30"/>
          <w:szCs w:val="30"/>
          <w:highlight w:val="none"/>
        </w:rPr>
        <w:t>（如有）</w:t>
      </w:r>
      <w:bookmarkEnd w:id="327"/>
      <w:bookmarkEnd w:id="328"/>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color w:val="auto"/>
          <w:sz w:val="30"/>
          <w:szCs w:val="30"/>
          <w:highlight w:val="none"/>
        </w:rPr>
      </w:pPr>
      <w:bookmarkStart w:id="329" w:name="_Toc24850"/>
      <w:bookmarkStart w:id="330" w:name="_Toc10717"/>
      <w:bookmarkStart w:id="331" w:name="_Toc19503"/>
      <w:bookmarkStart w:id="332" w:name="_Toc23227"/>
      <w:r>
        <w:rPr>
          <w:rFonts w:hint="eastAsia" w:asciiTheme="minorEastAsia" w:hAnsiTheme="minorEastAsia" w:eastAsiaTheme="minorEastAsia" w:cstheme="minorEastAsia"/>
          <w:b/>
          <w:color w:val="auto"/>
          <w:kern w:val="2"/>
          <w:sz w:val="30"/>
          <w:szCs w:val="30"/>
          <w:highlight w:val="none"/>
          <w:lang w:val="en-US" w:eastAsia="zh-CN"/>
        </w:rPr>
        <w:t>八</w:t>
      </w:r>
      <w:r>
        <w:rPr>
          <w:rFonts w:hint="eastAsia" w:asciiTheme="minorEastAsia" w:hAnsiTheme="minorEastAsia" w:eastAsiaTheme="minorEastAsia" w:cstheme="minorEastAsia"/>
          <w:b/>
          <w:color w:val="auto"/>
          <w:kern w:val="2"/>
          <w:sz w:val="30"/>
          <w:szCs w:val="30"/>
          <w:highlight w:val="none"/>
        </w:rPr>
        <w:t>、中小企业声明函（如有）</w:t>
      </w:r>
      <w:bookmarkEnd w:id="329"/>
      <w:bookmarkEnd w:id="330"/>
      <w:bookmarkEnd w:id="331"/>
      <w:bookmarkEnd w:id="332"/>
    </w:p>
    <w:p>
      <w:pPr>
        <w:pStyle w:val="22"/>
        <w:shd w:val="clear" w:color="auto" w:fill="FFFFFF"/>
        <w:spacing w:line="315" w:lineRule="atLeast"/>
        <w:ind w:firstLine="420"/>
        <w:rPr>
          <w:rFonts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r>
        <w:rPr>
          <w:rFonts w:hint="eastAsia" w:asciiTheme="minorEastAsia" w:hAnsiTheme="minorEastAsia" w:eastAsiaTheme="minorEastAsia" w:cstheme="minorEastAsia"/>
          <w:color w:val="auto"/>
          <w:kern w:val="0"/>
          <w:sz w:val="24"/>
          <w:highlight w:val="none"/>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r>
        <w:rPr>
          <w:rFonts w:hint="eastAsia" w:asciiTheme="minorEastAsia" w:hAnsiTheme="minorEastAsia" w:eastAsiaTheme="minorEastAsia" w:cstheme="minorEastAsia"/>
          <w:color w:val="auto"/>
          <w:kern w:val="0"/>
          <w:sz w:val="24"/>
          <w:highlight w:val="none"/>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r>
        <w:rPr>
          <w:rFonts w:hint="eastAsia" w:asciiTheme="minorEastAsia" w:hAnsiTheme="minorEastAsia" w:eastAsiaTheme="minorEastAsia" w:cstheme="minorEastAsia"/>
          <w:color w:val="auto"/>
          <w:kern w:val="0"/>
          <w:sz w:val="24"/>
          <w:highlight w:val="none"/>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r>
        <w:rPr>
          <w:rFonts w:hint="eastAsia" w:asciiTheme="minorEastAsia" w:hAnsiTheme="minorEastAsia" w:eastAsiaTheme="minorEastAsia" w:cstheme="minorEastAsia"/>
          <w:color w:val="auto"/>
          <w:kern w:val="0"/>
          <w:sz w:val="24"/>
          <w:highlight w:val="none"/>
          <w:shd w:val="clear" w:color="auto" w:fill="FFFFFF"/>
        </w:rPr>
        <w:t>　　　　　　　　　　　　　　　企业名称（</w:t>
      </w:r>
      <w:r>
        <w:rPr>
          <w:rFonts w:hint="eastAsia" w:asciiTheme="minorEastAsia" w:hAnsiTheme="minorEastAsia" w:eastAsiaTheme="minorEastAsia" w:cstheme="minorEastAsia"/>
          <w:bCs/>
          <w:color w:val="auto"/>
          <w:sz w:val="24"/>
          <w:highlight w:val="none"/>
        </w:rPr>
        <w:t>盖单位公章</w:t>
      </w:r>
      <w:r>
        <w:rPr>
          <w:rFonts w:hint="eastAsia" w:asciiTheme="minorEastAsia" w:hAnsiTheme="minorEastAsia" w:eastAsiaTheme="minorEastAsia" w:cstheme="minorEastAsia"/>
          <w:color w:val="auto"/>
          <w:kern w:val="0"/>
          <w:sz w:val="24"/>
          <w:highlight w:val="none"/>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r>
        <w:rPr>
          <w:rFonts w:hint="eastAsia" w:asciiTheme="minorEastAsia" w:hAnsiTheme="minorEastAsia" w:eastAsiaTheme="minorEastAsia" w:cstheme="minorEastAsia"/>
          <w:color w:val="auto"/>
          <w:kern w:val="0"/>
          <w:sz w:val="24"/>
          <w:highlight w:val="none"/>
          <w:shd w:val="clear" w:color="auto" w:fill="FFFFFF"/>
        </w:rPr>
        <w:t>　　　　　　　　　　　　　　　　　　日期：</w:t>
      </w:r>
    </w:p>
    <w:p>
      <w:pPr>
        <w:spacing w:line="600" w:lineRule="exact"/>
        <w:rPr>
          <w:rFonts w:asciiTheme="minorEastAsia" w:hAnsiTheme="minorEastAsia" w:eastAsiaTheme="minorEastAsia" w:cstheme="minorEastAsia"/>
          <w:color w:val="auto"/>
          <w:sz w:val="30"/>
          <w:szCs w:val="30"/>
          <w:highlight w:val="none"/>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r>
        <w:rPr>
          <w:rFonts w:hint="eastAsia" w:asciiTheme="minorEastAsia" w:hAnsiTheme="minorEastAsia" w:eastAsiaTheme="minorEastAsia" w:cstheme="minorEastAsia"/>
          <w:b/>
          <w:color w:val="auto"/>
          <w:kern w:val="2"/>
          <w:sz w:val="30"/>
          <w:szCs w:val="30"/>
          <w:highlight w:val="none"/>
        </w:rPr>
        <w:br w:type="page"/>
      </w:r>
      <w:bookmarkStart w:id="333" w:name="_Toc20881"/>
      <w:bookmarkStart w:id="334" w:name="_Toc11708"/>
      <w:bookmarkStart w:id="335" w:name="_Toc32399"/>
      <w:bookmarkStart w:id="336" w:name="_Toc30170"/>
      <w:bookmarkStart w:id="337" w:name="_Toc14292"/>
      <w:r>
        <w:rPr>
          <w:rFonts w:hint="eastAsia" w:asciiTheme="minorEastAsia" w:hAnsiTheme="minorEastAsia" w:eastAsiaTheme="minorEastAsia" w:cstheme="minorEastAsia"/>
          <w:b/>
          <w:color w:val="auto"/>
          <w:kern w:val="2"/>
          <w:sz w:val="30"/>
          <w:szCs w:val="30"/>
          <w:highlight w:val="none"/>
          <w:lang w:val="en-US" w:eastAsia="zh-CN"/>
        </w:rPr>
        <w:t>九</w:t>
      </w:r>
      <w:r>
        <w:rPr>
          <w:rFonts w:hint="eastAsia" w:asciiTheme="minorEastAsia" w:hAnsiTheme="minorEastAsia" w:eastAsiaTheme="minorEastAsia" w:cstheme="minorEastAsia"/>
          <w:b/>
          <w:color w:val="auto"/>
          <w:kern w:val="2"/>
          <w:sz w:val="30"/>
          <w:szCs w:val="30"/>
          <w:highlight w:val="none"/>
        </w:rPr>
        <w:t>、残疾人福利性单位声明函（如有）</w:t>
      </w:r>
      <w:bookmarkEnd w:id="333"/>
      <w:bookmarkEnd w:id="334"/>
      <w:bookmarkEnd w:id="335"/>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bookmarkEnd w:id="319"/>
    <w:bookmarkEnd w:id="336"/>
    <w:bookmarkEnd w:id="337"/>
    <w:p>
      <w:pPr>
        <w:rPr>
          <w:rFonts w:ascii="Times New Roman" w:hAnsi="Times New Roman" w:eastAsia="仿宋"/>
          <w:color w:val="auto"/>
          <w:sz w:val="32"/>
          <w:szCs w:val="32"/>
          <w:highlight w:val="none"/>
          <w:shd w:val="clear" w:color="FFFFFF" w:fill="D9D9D9"/>
        </w:rPr>
      </w:pPr>
    </w:p>
    <w:p>
      <w:pPr>
        <w:pStyle w:val="8"/>
        <w:rPr>
          <w:color w:val="auto"/>
          <w:highlight w:val="none"/>
          <w:shd w:val="clear" w:color="FFFFFF" w:fill="D9D9D9"/>
        </w:rPr>
      </w:pPr>
    </w:p>
    <w:p>
      <w:pPr>
        <w:pStyle w:val="22"/>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color w:val="auto"/>
          <w:kern w:val="2"/>
          <w:sz w:val="30"/>
          <w:szCs w:val="30"/>
          <w:highlight w:val="none"/>
          <w:shd w:val="clear" w:color="FFFFFF" w:fill="D9D9D9"/>
        </w:rPr>
      </w:pPr>
    </w:p>
    <w:p>
      <w:pPr>
        <w:pStyle w:val="22"/>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color w:val="auto"/>
          <w:kern w:val="2"/>
          <w:sz w:val="30"/>
          <w:szCs w:val="30"/>
          <w:highlight w:val="none"/>
        </w:rPr>
      </w:pPr>
      <w:bookmarkStart w:id="338" w:name="_Toc2322"/>
      <w:bookmarkStart w:id="339" w:name="_Toc16608"/>
      <w:bookmarkStart w:id="340" w:name="_Toc18605"/>
      <w:r>
        <w:rPr>
          <w:rFonts w:hint="eastAsia" w:asciiTheme="minorEastAsia" w:hAnsiTheme="minorEastAsia" w:eastAsiaTheme="minorEastAsia" w:cstheme="minorEastAsia"/>
          <w:b/>
          <w:color w:val="auto"/>
          <w:kern w:val="2"/>
          <w:sz w:val="30"/>
          <w:szCs w:val="30"/>
          <w:highlight w:val="none"/>
        </w:rPr>
        <w:t>十、招标文件要求的或供应商认为须提交的其他材料</w:t>
      </w:r>
      <w:bookmarkEnd w:id="338"/>
      <w:bookmarkEnd w:id="339"/>
      <w:bookmarkEnd w:id="340"/>
    </w:p>
    <w:p>
      <w:pPr>
        <w:spacing w:line="360" w:lineRule="auto"/>
        <w:rPr>
          <w:rFonts w:asciiTheme="minorEastAsia" w:hAnsiTheme="minorEastAsia" w:eastAsiaTheme="minorEastAsia" w:cstheme="minorEastAsia"/>
          <w:color w:val="auto"/>
          <w:sz w:val="24"/>
          <w:highlight w:val="none"/>
          <w:shd w:val="clear" w:color="FFFFFF" w:fill="D9D9D9"/>
        </w:rPr>
      </w:pPr>
    </w:p>
    <w:p>
      <w:pPr>
        <w:spacing w:line="600" w:lineRule="exact"/>
        <w:ind w:firstLine="600" w:firstLineChars="2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招标文件规定的其他资料及供应商认为需要提交的其他材料。</w:t>
      </w:r>
    </w:p>
    <w:p>
      <w:pPr>
        <w:spacing w:line="600" w:lineRule="exact"/>
        <w:ind w:firstLine="600" w:firstLineChars="200"/>
        <w:rPr>
          <w:rFonts w:ascii="仿宋" w:hAnsi="仿宋" w:eastAsia="仿宋" w:cs="仿宋"/>
          <w:color w:val="auto"/>
          <w:sz w:val="30"/>
          <w:szCs w:val="30"/>
          <w:highlight w:val="none"/>
        </w:rPr>
      </w:pPr>
    </w:p>
    <w:p>
      <w:pPr>
        <w:widowControl/>
        <w:spacing w:line="580" w:lineRule="atLeast"/>
        <w:jc w:val="center"/>
        <w:rPr>
          <w:rFonts w:asciiTheme="minorEastAsia" w:hAnsiTheme="minorEastAsia" w:eastAsiaTheme="minorEastAsia" w:cstheme="minorEastAsia"/>
          <w:b/>
          <w:color w:val="auto"/>
          <w:kern w:val="0"/>
          <w:sz w:val="32"/>
          <w:szCs w:val="32"/>
          <w:highlight w:val="none"/>
        </w:rPr>
      </w:pPr>
    </w:p>
    <w:p>
      <w:pPr>
        <w:pStyle w:val="47"/>
        <w:rPr>
          <w:rFonts w:asciiTheme="minorEastAsia" w:hAnsiTheme="minorEastAsia" w:eastAsiaTheme="minorEastAsia" w:cstheme="minorEastAsia"/>
          <w:b/>
          <w:bCs/>
          <w:color w:val="auto"/>
          <w:kern w:val="0"/>
          <w:sz w:val="32"/>
          <w:szCs w:val="32"/>
          <w:highlight w:val="none"/>
        </w:rPr>
      </w:pPr>
    </w:p>
    <w:p>
      <w:pPr>
        <w:rPr>
          <w:rFonts w:asciiTheme="minorEastAsia" w:hAnsiTheme="minorEastAsia" w:eastAsiaTheme="minorEastAsia" w:cstheme="minorEastAsia"/>
          <w:b/>
          <w:bCs/>
          <w:color w:val="auto"/>
          <w:kern w:val="0"/>
          <w:sz w:val="32"/>
          <w:szCs w:val="32"/>
          <w:highlight w:val="none"/>
        </w:rPr>
      </w:pPr>
    </w:p>
    <w:p>
      <w:pPr>
        <w:pStyle w:val="47"/>
        <w:rPr>
          <w:rFonts w:asciiTheme="minorEastAsia" w:hAnsiTheme="minorEastAsia" w:eastAsiaTheme="minorEastAsia" w:cstheme="minorEastAsia"/>
          <w:b/>
          <w:bCs/>
          <w:color w:val="auto"/>
          <w:kern w:val="0"/>
          <w:sz w:val="32"/>
          <w:szCs w:val="32"/>
          <w:highlight w:val="none"/>
        </w:rPr>
      </w:pPr>
    </w:p>
    <w:p>
      <w:pPr>
        <w:rPr>
          <w:rFonts w:asciiTheme="minorEastAsia" w:hAnsiTheme="minorEastAsia" w:eastAsiaTheme="minorEastAsia" w:cstheme="minorEastAsia"/>
          <w:b/>
          <w:bCs/>
          <w:color w:val="auto"/>
          <w:kern w:val="0"/>
          <w:sz w:val="32"/>
          <w:szCs w:val="32"/>
          <w:highlight w:val="none"/>
        </w:rPr>
      </w:pPr>
    </w:p>
    <w:p>
      <w:pPr>
        <w:pStyle w:val="47"/>
        <w:rPr>
          <w:rFonts w:asciiTheme="minorEastAsia" w:hAnsiTheme="minorEastAsia" w:eastAsiaTheme="minorEastAsia" w:cstheme="minorEastAsia"/>
          <w:b/>
          <w:bCs/>
          <w:color w:val="auto"/>
          <w:kern w:val="0"/>
          <w:sz w:val="32"/>
          <w:szCs w:val="32"/>
          <w:highlight w:val="none"/>
        </w:rPr>
      </w:pPr>
    </w:p>
    <w:p>
      <w:pPr>
        <w:spacing w:line="440" w:lineRule="exact"/>
        <w:jc w:val="center"/>
        <w:rPr>
          <w:rFonts w:hint="eastAsia" w:ascii="宋体" w:hAnsi="宋体" w:cs="宋体"/>
          <w:b/>
          <w:color w:val="auto"/>
          <w:sz w:val="36"/>
          <w:szCs w:val="36"/>
          <w:highlight w:val="none"/>
        </w:rPr>
      </w:pPr>
    </w:p>
    <w:p>
      <w:pPr>
        <w:spacing w:line="440" w:lineRule="exact"/>
        <w:jc w:val="center"/>
        <w:rPr>
          <w:rFonts w:hint="eastAsia" w:ascii="宋体" w:hAnsi="宋体" w:cs="宋体"/>
          <w:b/>
          <w:color w:val="auto"/>
          <w:sz w:val="36"/>
          <w:szCs w:val="36"/>
          <w:highlight w:val="none"/>
        </w:rPr>
      </w:pPr>
      <w:r>
        <w:rPr>
          <w:rFonts w:ascii="宋体" w:hAnsi="宋体" w:cs="宋体"/>
          <w:color w:val="auto"/>
          <w:kern w:val="0"/>
          <w:sz w:val="24"/>
          <w:highlight w:val="none"/>
        </w:rPr>
        <w:br w:type="page"/>
      </w:r>
    </w:p>
    <w:p>
      <w:pPr>
        <w:pageBreakBefore w:val="0"/>
        <w:kinsoku/>
        <w:wordWrap/>
        <w:overflowPunct/>
        <w:topLinePunct w:val="0"/>
        <w:bidi w:val="0"/>
        <w:spacing w:beforeAutospacing="0" w:afterAutospacing="0" w:line="360" w:lineRule="auto"/>
        <w:ind w:left="0" w:leftChars="0" w:firstLine="0" w:firstLineChars="0"/>
        <w:jc w:val="center"/>
        <w:rPr>
          <w:rFonts w:hint="eastAsia" w:asciiTheme="majorEastAsia" w:hAnsiTheme="majorEastAsia" w:eastAsiaTheme="majorEastAsia" w:cstheme="majorEastAsia"/>
          <w:b/>
          <w:bCs w:val="0"/>
          <w:color w:val="auto"/>
          <w:sz w:val="36"/>
          <w:szCs w:val="36"/>
          <w:highlight w:val="none"/>
        </w:rPr>
      </w:pPr>
      <w:r>
        <w:rPr>
          <w:rFonts w:hint="eastAsia" w:asciiTheme="majorEastAsia" w:hAnsiTheme="majorEastAsia" w:eastAsiaTheme="majorEastAsia" w:cstheme="majorEastAsia"/>
          <w:b/>
          <w:bCs w:val="0"/>
          <w:color w:val="auto"/>
          <w:sz w:val="36"/>
          <w:szCs w:val="36"/>
          <w:highlight w:val="none"/>
        </w:rPr>
        <w:t>优化和提升政府采购政策</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一、全面取消采购文件费用和投标保证金费用。</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二、免收履约保证金。确因项目需要的，应以保函等非现金形式收取，比例不得超过合同金额的</w:t>
      </w:r>
      <w:r>
        <w:rPr>
          <w:rFonts w:hint="eastAsia" w:asciiTheme="minorEastAsia" w:hAnsiTheme="minorEastAsia" w:eastAsia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，并按约定的时间和条件退还。</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三、评标结果确认时限。自评标（评审）结束后应2个工作日内确定中标供应商，</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个工作日内公告结果，同时发送中标通知书。</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四、合同签订时限。自中标通知书发出之日起</w:t>
      </w:r>
      <w:r>
        <w:rPr>
          <w:rFonts w:hint="eastAsia" w:asciiTheme="minorEastAsia" w:hAnsiTheme="minorEastAsia" w:eastAsiaTheme="minorEastAsia" w:cstheme="minorEastAsia"/>
          <w:color w:val="auto"/>
          <w:sz w:val="24"/>
          <w:szCs w:val="24"/>
          <w:highlight w:val="none"/>
          <w:u w:val="single"/>
          <w:lang w:val="en-US" w:eastAsia="zh-CN"/>
        </w:rPr>
        <w:t>15</w:t>
      </w:r>
      <w:r>
        <w:rPr>
          <w:rFonts w:hint="eastAsia" w:asciiTheme="minorEastAsia" w:hAnsiTheme="minorEastAsia" w:eastAsiaTheme="minorEastAsia" w:cstheme="minorEastAsia"/>
          <w:color w:val="auto"/>
          <w:sz w:val="24"/>
          <w:szCs w:val="24"/>
          <w:highlight w:val="none"/>
        </w:rPr>
        <w:t xml:space="preserve">日内，按照采购文件和投标文件确定的事项签订政府采购合同。 </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五、合同公告和备案时限。自合同签订之日起2个工作日内。</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六、项目验收。自收到供应商项目验收建议之日起5个工作日内组织验收；验收结束后2个工作日内出具《验收报告》，并在焦作市政府采购网公告验收结果。</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七、资金支付。按照合同约定的条件及时支付资金，不得因机构变更、人员更替、政策调整等原因拒绝或延迟资金支付。</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在政府采购活动中，若发现采购人或采购代理机构未按以上政策执行的，可向监督部门举报反映。</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监督单位：</w:t>
      </w:r>
      <w:r>
        <w:rPr>
          <w:rFonts w:hint="eastAsia" w:asciiTheme="minorEastAsia" w:hAnsiTheme="minorEastAsia" w:eastAsiaTheme="minorEastAsia" w:cstheme="minorEastAsia"/>
          <w:color w:val="auto"/>
          <w:sz w:val="24"/>
          <w:szCs w:val="24"/>
          <w:highlight w:val="none"/>
          <w:shd w:val="clear" w:color="auto" w:fill="FFFFFF"/>
          <w:lang w:eastAsia="zh-CN"/>
        </w:rPr>
        <w:t>博爱县</w:t>
      </w:r>
      <w:r>
        <w:rPr>
          <w:rFonts w:hint="eastAsia" w:asciiTheme="minorEastAsia" w:hAnsiTheme="minorEastAsia" w:eastAsiaTheme="minorEastAsia" w:cstheme="minorEastAsia"/>
          <w:color w:val="auto"/>
          <w:sz w:val="24"/>
          <w:szCs w:val="24"/>
          <w:highlight w:val="none"/>
          <w:shd w:val="clear" w:color="auto" w:fill="FFFFFF"/>
        </w:rPr>
        <w:t>财政局政府采购监督管理办公室</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监督电话：0391-8683273</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地址：博爱县发展大道188号机关综合办公楼主楼1213室</w:t>
      </w:r>
    </w:p>
    <w:p>
      <w:pPr>
        <w:spacing w:line="440" w:lineRule="exact"/>
        <w:jc w:val="center"/>
        <w:rPr>
          <w:rFonts w:hint="eastAsia" w:ascii="宋体" w:hAnsi="宋体" w:cs="宋体"/>
          <w:b/>
          <w:color w:val="auto"/>
          <w:sz w:val="36"/>
          <w:szCs w:val="36"/>
          <w:highlight w:val="none"/>
        </w:rPr>
      </w:pPr>
    </w:p>
    <w:p>
      <w:pPr>
        <w:spacing w:line="440" w:lineRule="exact"/>
        <w:jc w:val="center"/>
        <w:rPr>
          <w:rFonts w:hint="eastAsia" w:ascii="宋体" w:hAnsi="宋体" w:cs="宋体"/>
          <w:b/>
          <w:color w:val="auto"/>
          <w:sz w:val="36"/>
          <w:szCs w:val="36"/>
          <w:highlight w:val="none"/>
        </w:rPr>
      </w:pPr>
    </w:p>
    <w:p>
      <w:pPr>
        <w:pStyle w:val="5"/>
        <w:rPr>
          <w:rFonts w:hint="eastAsia" w:ascii="宋体" w:hAnsi="宋体" w:cs="宋体"/>
          <w:b/>
          <w:color w:val="auto"/>
          <w:sz w:val="36"/>
          <w:szCs w:val="36"/>
          <w:highlight w:val="none"/>
        </w:rPr>
      </w:pPr>
    </w:p>
    <w:p>
      <w:pPr>
        <w:rPr>
          <w:rFonts w:hint="eastAsia" w:ascii="宋体" w:hAnsi="宋体" w:cs="宋体"/>
          <w:b/>
          <w:color w:val="auto"/>
          <w:sz w:val="36"/>
          <w:szCs w:val="36"/>
          <w:highlight w:val="none"/>
        </w:rPr>
      </w:pPr>
    </w:p>
    <w:p>
      <w:pPr>
        <w:spacing w:line="440" w:lineRule="exact"/>
        <w:jc w:val="center"/>
        <w:rPr>
          <w:rFonts w:hint="eastAsia" w:ascii="宋体" w:hAnsi="宋体" w:cs="宋体"/>
          <w:b/>
          <w:color w:val="auto"/>
          <w:sz w:val="36"/>
          <w:szCs w:val="36"/>
          <w:highlight w:val="none"/>
        </w:rPr>
      </w:pPr>
    </w:p>
    <w:p>
      <w:pPr>
        <w:spacing w:line="440" w:lineRule="exact"/>
        <w:jc w:val="center"/>
        <w:rPr>
          <w:rFonts w:ascii="宋体" w:hAnsi="宋体" w:cs="宋体"/>
          <w:b/>
          <w:color w:val="auto"/>
          <w:sz w:val="36"/>
          <w:szCs w:val="36"/>
          <w:highlight w:val="none"/>
        </w:rPr>
      </w:pPr>
      <w:r>
        <w:rPr>
          <w:rFonts w:hint="eastAsia" w:ascii="宋体" w:hAnsi="宋体" w:cs="宋体"/>
          <w:b/>
          <w:color w:val="auto"/>
          <w:sz w:val="36"/>
          <w:szCs w:val="36"/>
          <w:highlight w:val="none"/>
        </w:rPr>
        <w:t>河南省政府采购合同融资政策告知函</w:t>
      </w:r>
    </w:p>
    <w:p>
      <w:pPr>
        <w:spacing w:line="420" w:lineRule="exact"/>
        <w:ind w:firstLine="420" w:firstLineChars="175"/>
        <w:rPr>
          <w:rFonts w:ascii="宋体" w:hAnsi="宋体" w:cs="宋体"/>
          <w:bCs/>
          <w:color w:val="auto"/>
          <w:sz w:val="24"/>
          <w:szCs w:val="24"/>
          <w:highlight w:val="none"/>
        </w:rPr>
      </w:pPr>
      <w:r>
        <w:rPr>
          <w:rFonts w:hint="eastAsia" w:ascii="宋体" w:hAnsi="宋体" w:cs="宋体"/>
          <w:bCs/>
          <w:color w:val="auto"/>
          <w:sz w:val="24"/>
          <w:szCs w:val="24"/>
          <w:highlight w:val="none"/>
        </w:rPr>
        <w:t>各供应商：</w:t>
      </w:r>
    </w:p>
    <w:p>
      <w:pPr>
        <w:spacing w:line="420" w:lineRule="exact"/>
        <w:ind w:firstLine="420" w:firstLineChars="175"/>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欢迎贵公司参与河南省政府采购活动！</w:t>
      </w:r>
    </w:p>
    <w:p>
      <w:pPr>
        <w:spacing w:line="420" w:lineRule="exact"/>
        <w:ind w:firstLine="420" w:firstLineChars="175"/>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420" w:firstLineChars="175"/>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贷款渠道和提供贷款的金融机构，可在河南省政府采购网“河南省政府采购合同融资平台”查询联系。</w:t>
      </w:r>
    </w:p>
    <w:p>
      <w:pPr>
        <w:jc w:val="center"/>
        <w:rPr>
          <w:rFonts w:ascii="宋体" w:hAnsi="宋体"/>
          <w:b/>
          <w:color w:val="auto"/>
          <w:sz w:val="32"/>
          <w:szCs w:val="32"/>
          <w:highlight w:val="none"/>
        </w:rPr>
      </w:pPr>
      <w:r>
        <w:rPr>
          <w:rFonts w:hint="eastAsia" w:ascii="宋体" w:hAnsi="宋体"/>
          <w:b/>
          <w:color w:val="auto"/>
          <w:sz w:val="32"/>
          <w:szCs w:val="32"/>
          <w:highlight w:val="none"/>
        </w:rPr>
        <w:t>焦作市政府采购合同融资合作企业</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3"/>
        <w:gridCol w:w="1353"/>
        <w:gridCol w:w="2064"/>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23" w:type="dxa"/>
            <w:vAlign w:val="center"/>
          </w:tcPr>
          <w:p>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名称</w:t>
            </w:r>
          </w:p>
        </w:tc>
        <w:tc>
          <w:tcPr>
            <w:tcW w:w="1353" w:type="dxa"/>
            <w:vAlign w:val="center"/>
          </w:tcPr>
          <w:p>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联系人</w:t>
            </w:r>
          </w:p>
        </w:tc>
        <w:tc>
          <w:tcPr>
            <w:tcW w:w="2064" w:type="dxa"/>
            <w:vAlign w:val="center"/>
          </w:tcPr>
          <w:p>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联系电话</w:t>
            </w:r>
          </w:p>
        </w:tc>
        <w:tc>
          <w:tcPr>
            <w:tcW w:w="2558" w:type="dxa"/>
            <w:vAlign w:val="center"/>
          </w:tcPr>
          <w:p>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中国农业银行股份有限公司</w:t>
            </w:r>
          </w:p>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薛国战</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0391-2878039       13839109026</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曹阳</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0391-8825171  13839118160</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中国建设银行股份有限公司焦作分行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李华莹</w:t>
            </w:r>
          </w:p>
        </w:tc>
        <w:tc>
          <w:tcPr>
            <w:tcW w:w="2064" w:type="dxa"/>
            <w:shd w:val="clear" w:color="auto" w:fill="auto"/>
            <w:vAlign w:val="center"/>
          </w:tcPr>
          <w:p>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0391-3918471</w:t>
            </w:r>
          </w:p>
        </w:tc>
        <w:tc>
          <w:tcPr>
            <w:tcW w:w="2558" w:type="dxa"/>
            <w:shd w:val="solid" w:color="FFFFFF"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中国邮政储蓄银行股份有限公司焦作市分行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李天祥</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0391-2981968 13523359082</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焦作中旅银行股份有限公司</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周建林</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 xml:space="preserve">0391-2116963 15893053027 </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中信银行股份有限公司焦作分行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周江江</w:t>
            </w:r>
          </w:p>
        </w:tc>
        <w:tc>
          <w:tcPr>
            <w:tcW w:w="2064"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17639185001</w:t>
            </w:r>
          </w:p>
        </w:tc>
        <w:tc>
          <w:tcPr>
            <w:tcW w:w="2558" w:type="dxa"/>
            <w:shd w:val="solid" w:color="FFFFFF"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bCs/>
                <w:color w:val="auto"/>
                <w:sz w:val="24"/>
                <w:highlight w:val="none"/>
              </w:rPr>
              <w:t>中国光大银行股份有限公司焦作分行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王海宾</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0391-8787996 13598534626</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中原银行股份有限公司焦作分行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赵伟</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0391-8796520 15738533033</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广发银行股份有限公司焦作分行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张嘉强</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0391-653785 13203910032</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焦作市塔南路1736号嘉隆金融中心</w:t>
            </w:r>
          </w:p>
        </w:tc>
      </w:tr>
    </w:tbl>
    <w:p>
      <w:pPr>
        <w:rPr>
          <w:color w:val="auto"/>
          <w:highlight w:val="none"/>
        </w:rPr>
      </w:pPr>
      <w:r>
        <w:rPr>
          <w:rFonts w:hint="eastAsia" w:ascii="宋体" w:hAnsi="宋体" w:cs="宋体"/>
          <w:color w:val="auto"/>
          <w:sz w:val="24"/>
          <w:highlight w:val="none"/>
        </w:rPr>
        <w:t>备注：融资服务机构名单和人员联系方式会随时变化。具体情况可登录“焦作市政府采购网”政府采购合同融资平台查询。</w:t>
      </w:r>
    </w:p>
    <w:sectPr>
      <w:pgSz w:w="11907" w:h="16840"/>
      <w:pgMar w:top="1276" w:right="1117" w:bottom="1417" w:left="913" w:header="850" w:footer="998" w:gutter="0"/>
      <w:pgNumType w:fmt="numberInDash"/>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8"/>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NlpgY4AgAAcA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2WmBjgCAABwBAAADgAAAAAAAAABACAAAAAfAQAAZHJzL2Uyb0RvYy54&#10;bWxQSwUGAAAAAAYABgBZAQAAyQU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ALMi84AgAAcA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8AsyLzgCAABwBAAADgAAAAAAAAABACAAAAAfAQAAZHJzL2Uyb0RvYy54&#10;bWxQSwUGAAAAAAYABgBZAQAAyQU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2403475</wp:posOffset>
              </wp:positionH>
              <wp:positionV relativeFrom="paragraph">
                <wp:posOffset>-276225</wp:posOffset>
              </wp:positionV>
              <wp:extent cx="1514475" cy="2105025"/>
              <wp:effectExtent l="0" t="0" r="0" b="0"/>
              <wp:wrapNone/>
              <wp:docPr id="10" name="文本框 1"/>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文本框 1" o:spid="_x0000_s1026" o:spt="202" type="#_x0000_t202" style="position:absolute;left:0pt;margin-left:189.25pt;margin-top:-21.75pt;height:165.75pt;width:119.25pt;mso-position-horizontal-relative:margin;z-index:251667456;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BN1W2/sQEAAF4DAAAOAAAAAAAAAAEAIAAAACcBAABkcnMvZTJvRG9jLnhtbFBLBQYAAAAABgAG&#10;AFkBAABKBQAAAAA=&#10;">
              <v:fill on="f" focussize="0,0"/>
              <v:stroke on="f"/>
              <v:imagedata o:title=""/>
              <o:lock v:ext="edit" aspectratio="f"/>
              <v:textbox>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sz w:val="16"/>
        <w:szCs w:val="22"/>
      </w:rPr>
    </w:pPr>
    <w:r>
      <w:rPr>
        <w:sz w:val="20"/>
        <w:szCs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90500" cy="131445"/>
              <wp:effectExtent l="0" t="0" r="0" b="0"/>
              <wp:wrapNone/>
              <wp:docPr id="9" name="文本框 3"/>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18"/>
                          </w:pPr>
                          <w:r>
                            <w:fldChar w:fldCharType="begin"/>
                          </w:r>
                          <w:r>
                            <w:instrText xml:space="preserve"> PAGE  \* MERGEFORMAT </w:instrText>
                          </w:r>
                          <w:r>
                            <w:fldChar w:fldCharType="separate"/>
                          </w:r>
                          <w:r>
                            <w:t>- 34 -</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qRS7NAAAAADAQAADwAAAAAAAAABACAAAAAiAAAAZHJz&#10;L2Rvd25yZXYueG1sUEsBAhQAFAAAAAgAh07iQOg4rLnTAQAApQMAAA4AAAAAAAAAAQAgAAAAHwEA&#10;AGRycy9lMm9Eb2MueG1sUEsFBgAAAAAGAAYAWQEAAGQFA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- 34 -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FB039FA"/>
    <w:multiLevelType w:val="singleLevel"/>
    <w:tmpl w:val="9FB039FA"/>
    <w:lvl w:ilvl="0" w:tentative="0">
      <w:start w:val="2"/>
      <w:numFmt w:val="chineseCounting"/>
      <w:suff w:val="nothing"/>
      <w:lvlText w:val="%1、"/>
      <w:lvlJc w:val="left"/>
      <w:rPr>
        <w:rFonts w:hint="eastAsia"/>
      </w:rPr>
    </w:lvl>
  </w:abstractNum>
  <w:abstractNum w:abstractNumId="3">
    <w:nsid w:val="A2C6ACF8"/>
    <w:multiLevelType w:val="singleLevel"/>
    <w:tmpl w:val="A2C6ACF8"/>
    <w:lvl w:ilvl="0" w:tentative="0">
      <w:start w:val="1"/>
      <w:numFmt w:val="decimal"/>
      <w:suff w:val="nothing"/>
      <w:lvlText w:val="（%1）"/>
      <w:lvlJc w:val="left"/>
      <w:pPr>
        <w:ind w:left="480" w:firstLine="0"/>
      </w:pPr>
      <w:rPr>
        <w:rFonts w:hint="default"/>
        <w:b w:val="0"/>
        <w:bCs w:val="0"/>
      </w:rPr>
    </w:lvl>
  </w:abstractNum>
  <w:abstractNum w:abstractNumId="4">
    <w:nsid w:val="A58974FB"/>
    <w:multiLevelType w:val="singleLevel"/>
    <w:tmpl w:val="A58974FB"/>
    <w:lvl w:ilvl="0" w:tentative="0">
      <w:start w:val="1"/>
      <w:numFmt w:val="decimal"/>
      <w:suff w:val="space"/>
      <w:lvlText w:val="%1."/>
      <w:lvlJc w:val="left"/>
    </w:lvl>
  </w:abstractNum>
  <w:abstractNum w:abstractNumId="5">
    <w:nsid w:val="B940B7CB"/>
    <w:multiLevelType w:val="singleLevel"/>
    <w:tmpl w:val="B940B7CB"/>
    <w:lvl w:ilvl="0" w:tentative="0">
      <w:start w:val="3"/>
      <w:numFmt w:val="decimal"/>
      <w:suff w:val="nothing"/>
      <w:lvlText w:val="%1、"/>
      <w:lvlJc w:val="left"/>
    </w:lvl>
  </w:abstractNum>
  <w:abstractNum w:abstractNumId="6">
    <w:nsid w:val="E25B3C03"/>
    <w:multiLevelType w:val="singleLevel"/>
    <w:tmpl w:val="E25B3C03"/>
    <w:lvl w:ilvl="0" w:tentative="0">
      <w:start w:val="1"/>
      <w:numFmt w:val="decimal"/>
      <w:suff w:val="nothing"/>
      <w:lvlText w:val="（%1）"/>
      <w:lvlJc w:val="left"/>
    </w:lvl>
  </w:abstractNum>
  <w:abstractNum w:abstractNumId="7">
    <w:nsid w:val="00000000"/>
    <w:multiLevelType w:val="multilevel"/>
    <w:tmpl w:val="00000000"/>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7"/>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8">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74054F6"/>
    <w:multiLevelType w:val="multilevel"/>
    <w:tmpl w:val="074054F6"/>
    <w:lvl w:ilvl="0" w:tentative="0">
      <w:start w:val="1"/>
      <w:numFmt w:val="decimal"/>
      <w:pStyle w:val="32"/>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1C58BAF0"/>
    <w:multiLevelType w:val="singleLevel"/>
    <w:tmpl w:val="1C58BAF0"/>
    <w:lvl w:ilvl="0" w:tentative="0">
      <w:start w:val="1"/>
      <w:numFmt w:val="decimal"/>
      <w:suff w:val="nothing"/>
      <w:lvlText w:val="（%1）"/>
      <w:lvlJc w:val="left"/>
    </w:lvl>
  </w:abstractNum>
  <w:abstractNum w:abstractNumId="11">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2">
    <w:nsid w:val="2E675402"/>
    <w:multiLevelType w:val="singleLevel"/>
    <w:tmpl w:val="2E675402"/>
    <w:lvl w:ilvl="0" w:tentative="0">
      <w:start w:val="1"/>
      <w:numFmt w:val="chineseCounting"/>
      <w:suff w:val="nothing"/>
      <w:lvlText w:val="（%1）"/>
      <w:lvlJc w:val="left"/>
      <w:rPr>
        <w:rFonts w:hint="eastAsia"/>
      </w:rPr>
    </w:lvl>
  </w:abstractNum>
  <w:abstractNum w:abstractNumId="13">
    <w:nsid w:val="59CCA2E1"/>
    <w:multiLevelType w:val="singleLevel"/>
    <w:tmpl w:val="59CCA2E1"/>
    <w:lvl w:ilvl="0" w:tentative="0">
      <w:start w:val="1"/>
      <w:numFmt w:val="decimal"/>
      <w:suff w:val="nothing"/>
      <w:lvlText w:val="（%1）"/>
      <w:lvlJc w:val="left"/>
    </w:lvl>
  </w:abstractNum>
  <w:abstractNum w:abstractNumId="14">
    <w:nsid w:val="5A693C2F"/>
    <w:multiLevelType w:val="singleLevel"/>
    <w:tmpl w:val="5A693C2F"/>
    <w:lvl w:ilvl="0" w:tentative="0">
      <w:start w:val="3"/>
      <w:numFmt w:val="chineseCounting"/>
      <w:suff w:val="space"/>
      <w:lvlText w:val="第%1章"/>
      <w:lvlJc w:val="left"/>
    </w:lvl>
  </w:abstractNum>
  <w:abstractNum w:abstractNumId="15">
    <w:nsid w:val="75324FB0"/>
    <w:multiLevelType w:val="singleLevel"/>
    <w:tmpl w:val="75324FB0"/>
    <w:lvl w:ilvl="0" w:tentative="0">
      <w:start w:val="1"/>
      <w:numFmt w:val="chineseCounting"/>
      <w:suff w:val="space"/>
      <w:lvlText w:val="第%1章"/>
      <w:lvlJc w:val="left"/>
      <w:pPr>
        <w:ind w:left="630"/>
      </w:pPr>
      <w:rPr>
        <w:rFonts w:hint="eastAsia"/>
      </w:rPr>
    </w:lvl>
  </w:abstractNum>
  <w:abstractNum w:abstractNumId="16">
    <w:nsid w:val="768FB672"/>
    <w:multiLevelType w:val="singleLevel"/>
    <w:tmpl w:val="768FB672"/>
    <w:lvl w:ilvl="0" w:tentative="0">
      <w:start w:val="4"/>
      <w:numFmt w:val="chineseCounting"/>
      <w:suff w:val="nothing"/>
      <w:lvlText w:val="%1、"/>
      <w:lvlJc w:val="left"/>
      <w:pPr>
        <w:ind w:left="-60"/>
      </w:pPr>
      <w:rPr>
        <w:rFonts w:hint="eastAsia"/>
      </w:rPr>
    </w:lvl>
  </w:abstractNum>
  <w:num w:numId="1">
    <w:abstractNumId w:val="7"/>
  </w:num>
  <w:num w:numId="2">
    <w:abstractNumId w:val="9"/>
  </w:num>
  <w:num w:numId="3">
    <w:abstractNumId w:val="5"/>
  </w:num>
  <w:num w:numId="4">
    <w:abstractNumId w:val="3"/>
  </w:num>
  <w:num w:numId="5">
    <w:abstractNumId w:val="15"/>
  </w:num>
  <w:num w:numId="6">
    <w:abstractNumId w:val="0"/>
  </w:num>
  <w:num w:numId="7">
    <w:abstractNumId w:val="8"/>
  </w:num>
  <w:num w:numId="8">
    <w:abstractNumId w:val="14"/>
  </w:num>
  <w:num w:numId="9">
    <w:abstractNumId w:val="1"/>
  </w:num>
  <w:num w:numId="10">
    <w:abstractNumId w:val="10"/>
  </w:num>
  <w:num w:numId="11">
    <w:abstractNumId w:val="6"/>
  </w:num>
  <w:num w:numId="12">
    <w:abstractNumId w:val="16"/>
  </w:num>
  <w:num w:numId="13">
    <w:abstractNumId w:val="11"/>
  </w:num>
  <w:num w:numId="14">
    <w:abstractNumId w:val="4"/>
  </w:num>
  <w:num w:numId="15">
    <w:abstractNumId w:val="12"/>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9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YWQxYWE2YTBmY2FhZThlNGM5OWRiMGU4ZWQwNmMifQ=="/>
  </w:docVars>
  <w:rsids>
    <w:rsidRoot w:val="00CF3BAF"/>
    <w:rsid w:val="00281BCC"/>
    <w:rsid w:val="0034193D"/>
    <w:rsid w:val="00382698"/>
    <w:rsid w:val="00666E50"/>
    <w:rsid w:val="006B2CA3"/>
    <w:rsid w:val="00C94A06"/>
    <w:rsid w:val="00C94AF7"/>
    <w:rsid w:val="00CF3BAF"/>
    <w:rsid w:val="00E61A34"/>
    <w:rsid w:val="00FB3E02"/>
    <w:rsid w:val="015A0ED7"/>
    <w:rsid w:val="01627EAF"/>
    <w:rsid w:val="019C74BD"/>
    <w:rsid w:val="01A249C3"/>
    <w:rsid w:val="01CD0413"/>
    <w:rsid w:val="0224187C"/>
    <w:rsid w:val="02534437"/>
    <w:rsid w:val="02A079AD"/>
    <w:rsid w:val="02AD7AC3"/>
    <w:rsid w:val="02B2279A"/>
    <w:rsid w:val="02C572FD"/>
    <w:rsid w:val="02D346FD"/>
    <w:rsid w:val="03EF01A2"/>
    <w:rsid w:val="04351B1E"/>
    <w:rsid w:val="04730C9A"/>
    <w:rsid w:val="049A5F70"/>
    <w:rsid w:val="04F44273"/>
    <w:rsid w:val="0509577A"/>
    <w:rsid w:val="053A4525"/>
    <w:rsid w:val="05476DA0"/>
    <w:rsid w:val="0553766A"/>
    <w:rsid w:val="0587053C"/>
    <w:rsid w:val="05CF063D"/>
    <w:rsid w:val="061F1094"/>
    <w:rsid w:val="064662A5"/>
    <w:rsid w:val="064B3EA8"/>
    <w:rsid w:val="06F1337E"/>
    <w:rsid w:val="070448F9"/>
    <w:rsid w:val="074D4119"/>
    <w:rsid w:val="079238AB"/>
    <w:rsid w:val="07997BA5"/>
    <w:rsid w:val="08355432"/>
    <w:rsid w:val="083A174E"/>
    <w:rsid w:val="083B347B"/>
    <w:rsid w:val="083D3697"/>
    <w:rsid w:val="08727472"/>
    <w:rsid w:val="0885658D"/>
    <w:rsid w:val="08B6562F"/>
    <w:rsid w:val="08E900BC"/>
    <w:rsid w:val="099D04DC"/>
    <w:rsid w:val="09B17DE9"/>
    <w:rsid w:val="0A645EB1"/>
    <w:rsid w:val="0AFE4F5A"/>
    <w:rsid w:val="0B057D70"/>
    <w:rsid w:val="0B2D5070"/>
    <w:rsid w:val="0B664CB3"/>
    <w:rsid w:val="0BDF2EDE"/>
    <w:rsid w:val="0C051155"/>
    <w:rsid w:val="0C076843"/>
    <w:rsid w:val="0C2D57D1"/>
    <w:rsid w:val="0CD05128"/>
    <w:rsid w:val="0D270828"/>
    <w:rsid w:val="0D792EC2"/>
    <w:rsid w:val="0D81592D"/>
    <w:rsid w:val="0D8716C8"/>
    <w:rsid w:val="0DC61A39"/>
    <w:rsid w:val="0E2E20A9"/>
    <w:rsid w:val="0E651252"/>
    <w:rsid w:val="0E8C0D4D"/>
    <w:rsid w:val="0EA33B28"/>
    <w:rsid w:val="0EDC105C"/>
    <w:rsid w:val="0EDE6CBA"/>
    <w:rsid w:val="0EF32EFA"/>
    <w:rsid w:val="0F0410E0"/>
    <w:rsid w:val="0F762BDF"/>
    <w:rsid w:val="0FDE2EA6"/>
    <w:rsid w:val="0FE73EE9"/>
    <w:rsid w:val="1012372A"/>
    <w:rsid w:val="10544429"/>
    <w:rsid w:val="119A56B6"/>
    <w:rsid w:val="11A25357"/>
    <w:rsid w:val="11B34CF4"/>
    <w:rsid w:val="11F2782C"/>
    <w:rsid w:val="12253216"/>
    <w:rsid w:val="13732E71"/>
    <w:rsid w:val="143C687A"/>
    <w:rsid w:val="144162BD"/>
    <w:rsid w:val="144353ED"/>
    <w:rsid w:val="14860849"/>
    <w:rsid w:val="14E629C1"/>
    <w:rsid w:val="152963EE"/>
    <w:rsid w:val="152E231F"/>
    <w:rsid w:val="165F3BC6"/>
    <w:rsid w:val="16997753"/>
    <w:rsid w:val="169D288C"/>
    <w:rsid w:val="179C380B"/>
    <w:rsid w:val="17AC6DF4"/>
    <w:rsid w:val="183D74A2"/>
    <w:rsid w:val="196A7BE4"/>
    <w:rsid w:val="19EF2318"/>
    <w:rsid w:val="1A2B26E2"/>
    <w:rsid w:val="1A913822"/>
    <w:rsid w:val="1B33310F"/>
    <w:rsid w:val="1BD529D4"/>
    <w:rsid w:val="1BE9127A"/>
    <w:rsid w:val="1C211654"/>
    <w:rsid w:val="1C2D32A0"/>
    <w:rsid w:val="1C753023"/>
    <w:rsid w:val="1C9363D1"/>
    <w:rsid w:val="1CD0598A"/>
    <w:rsid w:val="1CD57C9C"/>
    <w:rsid w:val="1D1E6C5C"/>
    <w:rsid w:val="1D5A65E9"/>
    <w:rsid w:val="1DC13FCB"/>
    <w:rsid w:val="1DDA0B91"/>
    <w:rsid w:val="1E212A6F"/>
    <w:rsid w:val="1E360353"/>
    <w:rsid w:val="1E4779B9"/>
    <w:rsid w:val="1EB33136"/>
    <w:rsid w:val="1EE937D9"/>
    <w:rsid w:val="1F111512"/>
    <w:rsid w:val="1F2B1558"/>
    <w:rsid w:val="1FCF0C21"/>
    <w:rsid w:val="206550E2"/>
    <w:rsid w:val="20E259AF"/>
    <w:rsid w:val="216A34B2"/>
    <w:rsid w:val="219C4D8C"/>
    <w:rsid w:val="21E77CB7"/>
    <w:rsid w:val="22851F14"/>
    <w:rsid w:val="22937A29"/>
    <w:rsid w:val="23A75A11"/>
    <w:rsid w:val="23C21A0E"/>
    <w:rsid w:val="24581EC9"/>
    <w:rsid w:val="245D7AC3"/>
    <w:rsid w:val="26211AAB"/>
    <w:rsid w:val="266E7F36"/>
    <w:rsid w:val="2671382C"/>
    <w:rsid w:val="26AF355A"/>
    <w:rsid w:val="27070CA1"/>
    <w:rsid w:val="277B46AD"/>
    <w:rsid w:val="287019A1"/>
    <w:rsid w:val="28BD1C36"/>
    <w:rsid w:val="29AD1F3E"/>
    <w:rsid w:val="29CE675B"/>
    <w:rsid w:val="2A1118F0"/>
    <w:rsid w:val="2A334727"/>
    <w:rsid w:val="2B9A5BB7"/>
    <w:rsid w:val="2C5243EF"/>
    <w:rsid w:val="2D4759F0"/>
    <w:rsid w:val="2D4B17C9"/>
    <w:rsid w:val="2DA531BD"/>
    <w:rsid w:val="2E7164C1"/>
    <w:rsid w:val="2ED6364B"/>
    <w:rsid w:val="2ED80964"/>
    <w:rsid w:val="2FA713A3"/>
    <w:rsid w:val="30204B81"/>
    <w:rsid w:val="3054090C"/>
    <w:rsid w:val="30766F52"/>
    <w:rsid w:val="315E08FB"/>
    <w:rsid w:val="31C82767"/>
    <w:rsid w:val="32A847C8"/>
    <w:rsid w:val="32AC094E"/>
    <w:rsid w:val="32DD09B1"/>
    <w:rsid w:val="3398566D"/>
    <w:rsid w:val="34375174"/>
    <w:rsid w:val="34BF0E0C"/>
    <w:rsid w:val="356103C1"/>
    <w:rsid w:val="35624307"/>
    <w:rsid w:val="358007CE"/>
    <w:rsid w:val="359F479A"/>
    <w:rsid w:val="35EF40B4"/>
    <w:rsid w:val="35FF2E4B"/>
    <w:rsid w:val="36F2243E"/>
    <w:rsid w:val="37316346"/>
    <w:rsid w:val="37BB5BE3"/>
    <w:rsid w:val="385E298D"/>
    <w:rsid w:val="38C56745"/>
    <w:rsid w:val="38ED5B17"/>
    <w:rsid w:val="391F5908"/>
    <w:rsid w:val="392636F6"/>
    <w:rsid w:val="3AC405E4"/>
    <w:rsid w:val="3AD9290D"/>
    <w:rsid w:val="3B680882"/>
    <w:rsid w:val="3B844B5E"/>
    <w:rsid w:val="3BAA7874"/>
    <w:rsid w:val="3C3E4D0D"/>
    <w:rsid w:val="3C5740DD"/>
    <w:rsid w:val="3C806CA2"/>
    <w:rsid w:val="3C875BD5"/>
    <w:rsid w:val="3CEA4BE6"/>
    <w:rsid w:val="3D3F6549"/>
    <w:rsid w:val="3D6E3B32"/>
    <w:rsid w:val="3DA476DF"/>
    <w:rsid w:val="3E8E1D06"/>
    <w:rsid w:val="3E990920"/>
    <w:rsid w:val="3ED93269"/>
    <w:rsid w:val="3F51170A"/>
    <w:rsid w:val="3FD66319"/>
    <w:rsid w:val="3FEF631E"/>
    <w:rsid w:val="407C1AED"/>
    <w:rsid w:val="40AE6405"/>
    <w:rsid w:val="40E2372C"/>
    <w:rsid w:val="417B430D"/>
    <w:rsid w:val="41A82C28"/>
    <w:rsid w:val="41E5794A"/>
    <w:rsid w:val="420C4EF5"/>
    <w:rsid w:val="42181E5B"/>
    <w:rsid w:val="42E02E33"/>
    <w:rsid w:val="42E56B30"/>
    <w:rsid w:val="42F65BA4"/>
    <w:rsid w:val="4453447A"/>
    <w:rsid w:val="44E855CD"/>
    <w:rsid w:val="459B770E"/>
    <w:rsid w:val="45D313A6"/>
    <w:rsid w:val="45D94A67"/>
    <w:rsid w:val="45E375FE"/>
    <w:rsid w:val="471C20EE"/>
    <w:rsid w:val="472509CB"/>
    <w:rsid w:val="47280A77"/>
    <w:rsid w:val="478A2A55"/>
    <w:rsid w:val="47C10E5E"/>
    <w:rsid w:val="47EB734B"/>
    <w:rsid w:val="486E372E"/>
    <w:rsid w:val="48934AEB"/>
    <w:rsid w:val="492E33C0"/>
    <w:rsid w:val="495261A3"/>
    <w:rsid w:val="499A379E"/>
    <w:rsid w:val="4A0550BC"/>
    <w:rsid w:val="4AF33166"/>
    <w:rsid w:val="4C4814B5"/>
    <w:rsid w:val="4C94282E"/>
    <w:rsid w:val="4CD16F98"/>
    <w:rsid w:val="4D8C494F"/>
    <w:rsid w:val="4E4C44BA"/>
    <w:rsid w:val="4E7C3AE4"/>
    <w:rsid w:val="4F2A2BCF"/>
    <w:rsid w:val="4FA766A8"/>
    <w:rsid w:val="4FDA48F5"/>
    <w:rsid w:val="504D18A0"/>
    <w:rsid w:val="50DD469C"/>
    <w:rsid w:val="51171D45"/>
    <w:rsid w:val="51404F43"/>
    <w:rsid w:val="51625545"/>
    <w:rsid w:val="519805C3"/>
    <w:rsid w:val="51B11685"/>
    <w:rsid w:val="51F82BBB"/>
    <w:rsid w:val="522B7DE8"/>
    <w:rsid w:val="522D3402"/>
    <w:rsid w:val="52DC6BD6"/>
    <w:rsid w:val="52EB6588"/>
    <w:rsid w:val="53157C48"/>
    <w:rsid w:val="542D2B1D"/>
    <w:rsid w:val="54D77655"/>
    <w:rsid w:val="551C7980"/>
    <w:rsid w:val="5549056E"/>
    <w:rsid w:val="55C81AB9"/>
    <w:rsid w:val="5664557C"/>
    <w:rsid w:val="56BB3C75"/>
    <w:rsid w:val="56DE7067"/>
    <w:rsid w:val="570955B4"/>
    <w:rsid w:val="570C7AE2"/>
    <w:rsid w:val="5725657E"/>
    <w:rsid w:val="57527C3E"/>
    <w:rsid w:val="5783793E"/>
    <w:rsid w:val="57CC2BA0"/>
    <w:rsid w:val="58DC7930"/>
    <w:rsid w:val="58DF3A45"/>
    <w:rsid w:val="598D26AC"/>
    <w:rsid w:val="599F77C9"/>
    <w:rsid w:val="59C95F43"/>
    <w:rsid w:val="5A93268F"/>
    <w:rsid w:val="5AB2046A"/>
    <w:rsid w:val="5AC82B93"/>
    <w:rsid w:val="5AE14D89"/>
    <w:rsid w:val="5AE6318E"/>
    <w:rsid w:val="5BDE6AE8"/>
    <w:rsid w:val="5C8E651C"/>
    <w:rsid w:val="5D120EE1"/>
    <w:rsid w:val="5D7C6FEB"/>
    <w:rsid w:val="5DB443B5"/>
    <w:rsid w:val="5DC012A8"/>
    <w:rsid w:val="5DCA7D57"/>
    <w:rsid w:val="5E313880"/>
    <w:rsid w:val="5E803BCC"/>
    <w:rsid w:val="5E8A187A"/>
    <w:rsid w:val="5EAE4FD3"/>
    <w:rsid w:val="5F09244A"/>
    <w:rsid w:val="5F9177D9"/>
    <w:rsid w:val="601B663B"/>
    <w:rsid w:val="602A334A"/>
    <w:rsid w:val="60A24FBB"/>
    <w:rsid w:val="60B25AEA"/>
    <w:rsid w:val="613E293D"/>
    <w:rsid w:val="615C6151"/>
    <w:rsid w:val="61896E9F"/>
    <w:rsid w:val="61BD2A1D"/>
    <w:rsid w:val="62047871"/>
    <w:rsid w:val="622B3906"/>
    <w:rsid w:val="62494283"/>
    <w:rsid w:val="62DC2550"/>
    <w:rsid w:val="62EF46F3"/>
    <w:rsid w:val="649479AB"/>
    <w:rsid w:val="64CA3CB4"/>
    <w:rsid w:val="64EC0669"/>
    <w:rsid w:val="65044496"/>
    <w:rsid w:val="65693C54"/>
    <w:rsid w:val="6569442B"/>
    <w:rsid w:val="65A64D36"/>
    <w:rsid w:val="65EF7DA6"/>
    <w:rsid w:val="665705BF"/>
    <w:rsid w:val="669A7902"/>
    <w:rsid w:val="66BA6E26"/>
    <w:rsid w:val="66F10A4A"/>
    <w:rsid w:val="67477DD7"/>
    <w:rsid w:val="6787315C"/>
    <w:rsid w:val="67923FAF"/>
    <w:rsid w:val="67A856DC"/>
    <w:rsid w:val="67AB689B"/>
    <w:rsid w:val="682E6AFE"/>
    <w:rsid w:val="68AF4719"/>
    <w:rsid w:val="68B476C6"/>
    <w:rsid w:val="69676C0C"/>
    <w:rsid w:val="698D10CC"/>
    <w:rsid w:val="69AE1092"/>
    <w:rsid w:val="69C959DF"/>
    <w:rsid w:val="6A753B41"/>
    <w:rsid w:val="6A7616E2"/>
    <w:rsid w:val="6AC00E8A"/>
    <w:rsid w:val="6B841E8D"/>
    <w:rsid w:val="6BC664F4"/>
    <w:rsid w:val="6BD36CF4"/>
    <w:rsid w:val="6CDE2D6D"/>
    <w:rsid w:val="6CFA6A64"/>
    <w:rsid w:val="6D0A63C2"/>
    <w:rsid w:val="6D2917A9"/>
    <w:rsid w:val="6D2C01D4"/>
    <w:rsid w:val="6D404BA8"/>
    <w:rsid w:val="6D4E6E2B"/>
    <w:rsid w:val="6D514B1A"/>
    <w:rsid w:val="6DDE05B9"/>
    <w:rsid w:val="6E182D60"/>
    <w:rsid w:val="6E6C0E13"/>
    <w:rsid w:val="6E8615C7"/>
    <w:rsid w:val="6EA4707E"/>
    <w:rsid w:val="6EDB7ED1"/>
    <w:rsid w:val="6EDD1581"/>
    <w:rsid w:val="6EE37D9F"/>
    <w:rsid w:val="6F33431F"/>
    <w:rsid w:val="6F3400DC"/>
    <w:rsid w:val="6FE0340A"/>
    <w:rsid w:val="70227EC6"/>
    <w:rsid w:val="703F60A8"/>
    <w:rsid w:val="70822713"/>
    <w:rsid w:val="70B46F74"/>
    <w:rsid w:val="71023A88"/>
    <w:rsid w:val="713C220E"/>
    <w:rsid w:val="72047417"/>
    <w:rsid w:val="72875C50"/>
    <w:rsid w:val="72D134DE"/>
    <w:rsid w:val="72FD1EE3"/>
    <w:rsid w:val="73900C02"/>
    <w:rsid w:val="73BE334D"/>
    <w:rsid w:val="746A5998"/>
    <w:rsid w:val="746C5BB4"/>
    <w:rsid w:val="74851775"/>
    <w:rsid w:val="74E538AA"/>
    <w:rsid w:val="75360D61"/>
    <w:rsid w:val="753719D4"/>
    <w:rsid w:val="75AB44BA"/>
    <w:rsid w:val="75CC203F"/>
    <w:rsid w:val="75F6021B"/>
    <w:rsid w:val="76991EAA"/>
    <w:rsid w:val="76A52F33"/>
    <w:rsid w:val="76AD3EE0"/>
    <w:rsid w:val="77463913"/>
    <w:rsid w:val="77B3710F"/>
    <w:rsid w:val="78297D56"/>
    <w:rsid w:val="7922448B"/>
    <w:rsid w:val="79992F3A"/>
    <w:rsid w:val="79EC68CF"/>
    <w:rsid w:val="7A921700"/>
    <w:rsid w:val="7A9D7487"/>
    <w:rsid w:val="7BBF4CC5"/>
    <w:rsid w:val="7C1A207B"/>
    <w:rsid w:val="7C30076C"/>
    <w:rsid w:val="7C537629"/>
    <w:rsid w:val="7C5415B1"/>
    <w:rsid w:val="7CC04CEF"/>
    <w:rsid w:val="7CC83F86"/>
    <w:rsid w:val="7CCA3711"/>
    <w:rsid w:val="7CD80BDF"/>
    <w:rsid w:val="7D1F193A"/>
    <w:rsid w:val="7D2E5A63"/>
    <w:rsid w:val="7D86745E"/>
    <w:rsid w:val="7EF95A5A"/>
    <w:rsid w:val="7F2E09F5"/>
    <w:rsid w:val="7FCF471A"/>
    <w:rsid w:val="7FDB6F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eastAsia="宋体"/>
      <w:b/>
      <w:bCs/>
      <w:kern w:val="44"/>
      <w:sz w:val="44"/>
      <w:szCs w:val="44"/>
    </w:rPr>
  </w:style>
  <w:style w:type="paragraph" w:styleId="5">
    <w:name w:val="heading 2"/>
    <w:basedOn w:val="6"/>
    <w:next w:val="1"/>
    <w:qFormat/>
    <w:uiPriority w:val="99"/>
    <w:pPr>
      <w:keepNext/>
      <w:keepLines/>
      <w:spacing w:before="260" w:after="260" w:line="416" w:lineRule="auto"/>
      <w:outlineLvl w:val="1"/>
    </w:pPr>
    <w:rPr>
      <w:rFonts w:ascii="Calibri Light" w:hAnsi="Calibri Light"/>
      <w:bCs/>
      <w:sz w:val="32"/>
      <w:szCs w:val="32"/>
    </w:rPr>
  </w:style>
  <w:style w:type="paragraph" w:styleId="7">
    <w:name w:val="heading 3"/>
    <w:basedOn w:val="1"/>
    <w:next w:val="1"/>
    <w:qFormat/>
    <w:uiPriority w:val="0"/>
    <w:pPr>
      <w:numPr>
        <w:ilvl w:val="2"/>
        <w:numId w:val="1"/>
      </w:numPr>
      <w:tabs>
        <w:tab w:val="left" w:pos="0"/>
      </w:tabs>
      <w:spacing w:line="360" w:lineRule="auto"/>
      <w:outlineLvl w:val="2"/>
    </w:pPr>
    <w:rPr>
      <w:rFonts w:ascii="Calibri" w:hAnsi="Calibri"/>
      <w:b/>
      <w:sz w:val="28"/>
    </w:rPr>
  </w:style>
  <w:style w:type="paragraph" w:styleId="8">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paragraph" w:styleId="9">
    <w:name w:val="heading 5"/>
    <w:basedOn w:val="1"/>
    <w:next w:val="1"/>
    <w:qFormat/>
    <w:uiPriority w:val="0"/>
    <w:pPr>
      <w:keepNext/>
      <w:keepLines/>
      <w:spacing w:before="280" w:after="290" w:line="376" w:lineRule="auto"/>
      <w:outlineLvl w:val="4"/>
    </w:pPr>
    <w:rPr>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Times New Roman" w:hAnsi="Times New Roman"/>
    </w:rPr>
  </w:style>
  <w:style w:type="paragraph" w:styleId="3">
    <w:name w:val="Body Text 2"/>
    <w:basedOn w:val="1"/>
    <w:next w:val="2"/>
    <w:unhideWhenUsed/>
    <w:qFormat/>
    <w:uiPriority w:val="0"/>
    <w:pPr>
      <w:spacing w:after="120" w:line="480" w:lineRule="auto"/>
    </w:pPr>
    <w:rPr>
      <w:rFonts w:ascii="Times New Roman" w:hAnsi="Times New Roman"/>
    </w:rPr>
  </w:style>
  <w:style w:type="paragraph" w:styleId="6">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10">
    <w:name w:val="Normal Indent"/>
    <w:basedOn w:val="1"/>
    <w:unhideWhenUsed/>
    <w:qFormat/>
    <w:uiPriority w:val="99"/>
    <w:pPr>
      <w:ind w:firstLine="420"/>
    </w:pPr>
    <w:rPr>
      <w:rFonts w:ascii="Calibri" w:hAnsi="Calibri"/>
      <w:szCs w:val="20"/>
    </w:rPr>
  </w:style>
  <w:style w:type="paragraph" w:styleId="11">
    <w:name w:val="caption"/>
    <w:basedOn w:val="1"/>
    <w:next w:val="1"/>
    <w:qFormat/>
    <w:uiPriority w:val="0"/>
    <w:rPr>
      <w:rFonts w:ascii="Arial" w:hAnsi="Arial" w:eastAsia="黑体" w:cstheme="minorBidi"/>
      <w:sz w:val="20"/>
    </w:rPr>
  </w:style>
  <w:style w:type="paragraph" w:styleId="12">
    <w:name w:val="toa heading"/>
    <w:basedOn w:val="1"/>
    <w:next w:val="1"/>
    <w:unhideWhenUsed/>
    <w:qFormat/>
    <w:uiPriority w:val="99"/>
    <w:pPr>
      <w:spacing w:before="120"/>
    </w:pPr>
    <w:rPr>
      <w:rFonts w:ascii="Arial" w:hAnsi="Arial" w:cs="Arial"/>
      <w:sz w:val="24"/>
    </w:rPr>
  </w:style>
  <w:style w:type="paragraph" w:styleId="13">
    <w:name w:val="Body Text 3"/>
    <w:basedOn w:val="1"/>
    <w:unhideWhenUsed/>
    <w:qFormat/>
    <w:uiPriority w:val="0"/>
    <w:pPr>
      <w:spacing w:after="120"/>
    </w:pPr>
    <w:rPr>
      <w:rFonts w:ascii="Times New Roman" w:hAnsi="Times New Roman"/>
      <w:sz w:val="16"/>
      <w:szCs w:val="16"/>
    </w:rPr>
  </w:style>
  <w:style w:type="paragraph" w:styleId="14">
    <w:name w:val="Body Text Indent"/>
    <w:basedOn w:val="1"/>
    <w:next w:val="15"/>
    <w:qFormat/>
    <w:uiPriority w:val="0"/>
    <w:pPr>
      <w:ind w:firstLine="560" w:firstLineChars="200"/>
    </w:pPr>
    <w:rPr>
      <w:rFonts w:ascii="Times New Roman" w:hAnsi="Times New Roman"/>
    </w:rPr>
  </w:style>
  <w:style w:type="paragraph" w:styleId="15">
    <w:name w:val="envelope return"/>
    <w:basedOn w:val="1"/>
    <w:qFormat/>
    <w:uiPriority w:val="99"/>
    <w:pPr>
      <w:snapToGrid w:val="0"/>
    </w:pPr>
    <w:rPr>
      <w:rFonts w:ascii="Arial" w:hAnsi="Arial" w:cs="Arial"/>
    </w:rPr>
  </w:style>
  <w:style w:type="paragraph" w:styleId="16">
    <w:name w:val="toc 3"/>
    <w:basedOn w:val="1"/>
    <w:next w:val="1"/>
    <w:qFormat/>
    <w:uiPriority w:val="0"/>
    <w:pPr>
      <w:ind w:left="840" w:leftChars="400"/>
    </w:pPr>
  </w:style>
  <w:style w:type="paragraph" w:styleId="17">
    <w:name w:val="Plain Text"/>
    <w:basedOn w:val="1"/>
    <w:qFormat/>
    <w:uiPriority w:val="0"/>
    <w:rPr>
      <w:rFonts w:hint="eastAsia" w:ascii="宋体" w:hAnsi="Courier New"/>
      <w:szCs w:val="21"/>
    </w:rPr>
  </w:style>
  <w:style w:type="paragraph" w:styleId="18">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20">
    <w:name w:val="toc 1"/>
    <w:basedOn w:val="1"/>
    <w:next w:val="1"/>
    <w:qFormat/>
    <w:uiPriority w:val="0"/>
    <w:rPr>
      <w:rFonts w:ascii="Times New Roman" w:hAnsi="Times New Roman"/>
    </w:rPr>
  </w:style>
  <w:style w:type="paragraph" w:styleId="21">
    <w:name w:val="toc 2"/>
    <w:basedOn w:val="1"/>
    <w:next w:val="1"/>
    <w:qFormat/>
    <w:uiPriority w:val="0"/>
    <w:pPr>
      <w:ind w:left="420" w:leftChars="200"/>
    </w:pPr>
  </w:style>
  <w:style w:type="paragraph" w:styleId="2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3">
    <w:name w:val="Body Text First Indent"/>
    <w:basedOn w:val="2"/>
    <w:next w:val="24"/>
    <w:unhideWhenUsed/>
    <w:qFormat/>
    <w:uiPriority w:val="0"/>
    <w:pPr>
      <w:ind w:firstLine="420" w:firstLineChars="100"/>
    </w:pPr>
    <w:rPr>
      <w:rFonts w:hint="eastAsia" w:ascii="楷体_GB2312" w:eastAsia="楷体_GB2312"/>
      <w:sz w:val="32"/>
    </w:rPr>
  </w:style>
  <w:style w:type="paragraph" w:styleId="24">
    <w:name w:val="Body Text First Indent 2"/>
    <w:basedOn w:val="14"/>
    <w:next w:val="10"/>
    <w:qFormat/>
    <w:uiPriority w:val="0"/>
    <w:pPr>
      <w:ind w:firstLine="420"/>
    </w:p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Hyperlink"/>
    <w:qFormat/>
    <w:uiPriority w:val="99"/>
    <w:rPr>
      <w:rFonts w:cs="Times New Roman"/>
      <w:color w:val="0000FF"/>
      <w:u w:val="single"/>
    </w:rPr>
  </w:style>
  <w:style w:type="paragraph" w:customStyle="1" w:styleId="29">
    <w:name w:val="style4"/>
    <w:basedOn w:val="30"/>
    <w:next w:val="31"/>
    <w:qFormat/>
    <w:uiPriority w:val="0"/>
    <w:pPr>
      <w:widowControl/>
      <w:spacing w:before="100" w:beforeLines="0" w:beforeAutospacing="1" w:after="100" w:afterLines="0" w:afterAutospacing="1"/>
      <w:jc w:val="left"/>
    </w:pPr>
    <w:rPr>
      <w:rFonts w:ascii="宋体" w:hAnsi="宋体" w:eastAsia="宋体" w:cs="宋体"/>
      <w:kern w:val="0"/>
      <w:sz w:val="18"/>
      <w:szCs w:val="18"/>
    </w:rPr>
  </w:style>
  <w:style w:type="paragraph" w:customStyle="1" w:styleId="30">
    <w:name w:val="正文_0"/>
    <w:next w:val="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Style1"/>
    <w:next w:val="33"/>
    <w:qFormat/>
    <w:uiPriority w:val="0"/>
    <w:pPr>
      <w:numPr>
        <w:ilvl w:val="0"/>
        <w:numId w:val="2"/>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33">
    <w:name w:val="*正文"/>
    <w:basedOn w:val="1"/>
    <w:qFormat/>
    <w:uiPriority w:val="0"/>
    <w:pPr>
      <w:ind w:firstLine="200" w:firstLineChars="200"/>
    </w:pPr>
    <w:rPr>
      <w:rFonts w:ascii="宋体" w:hAnsi="宋体"/>
      <w:szCs w:val="22"/>
    </w:rPr>
  </w:style>
  <w:style w:type="paragraph" w:customStyle="1" w:styleId="34">
    <w:name w:val="Body Text First Indent1"/>
    <w:basedOn w:val="2"/>
    <w:qFormat/>
    <w:uiPriority w:val="0"/>
    <w:pPr>
      <w:ind w:firstLine="420" w:firstLineChars="100"/>
    </w:pPr>
  </w:style>
  <w:style w:type="paragraph" w:customStyle="1" w:styleId="35">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36">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37">
    <w:name w:val="表格文字"/>
    <w:basedOn w:val="1"/>
    <w:next w:val="2"/>
    <w:qFormat/>
    <w:uiPriority w:val="0"/>
    <w:pPr>
      <w:adjustRightInd w:val="0"/>
      <w:spacing w:line="420" w:lineRule="atLeast"/>
      <w:jc w:val="left"/>
      <w:textAlignment w:val="baseline"/>
    </w:pPr>
    <w:rPr>
      <w:kern w:val="0"/>
    </w:rPr>
  </w:style>
  <w:style w:type="paragraph" w:customStyle="1" w:styleId="38">
    <w:name w:val="p0"/>
    <w:basedOn w:val="39"/>
    <w:qFormat/>
    <w:uiPriority w:val="0"/>
    <w:pPr>
      <w:widowControl/>
    </w:pPr>
    <w:rPr>
      <w:rFonts w:ascii="Times New Roman" w:hAnsi="Times New Roman"/>
      <w:kern w:val="0"/>
      <w:szCs w:val="21"/>
    </w:rPr>
  </w:style>
  <w:style w:type="paragraph" w:customStyle="1" w:styleId="39">
    <w:name w:val="正文1"/>
    <w:next w:val="4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正文文本1"/>
    <w:basedOn w:val="39"/>
    <w:qFormat/>
    <w:uiPriority w:val="99"/>
    <w:rPr>
      <w:rFonts w:eastAsia="楷体_GB2312"/>
      <w:sz w:val="28"/>
    </w:rPr>
  </w:style>
  <w:style w:type="character" w:customStyle="1" w:styleId="41">
    <w:name w:val="NormalCharacter"/>
    <w:qFormat/>
    <w:uiPriority w:val="0"/>
    <w:rPr>
      <w:rFonts w:ascii="Book Antiqua" w:hAnsi="Book Antiqua" w:eastAsia="宋体" w:cs="Times New Roman"/>
      <w:kern w:val="2"/>
      <w:sz w:val="21"/>
      <w:szCs w:val="24"/>
      <w:lang w:val="en-US" w:eastAsia="zh-CN" w:bidi="ar-SA"/>
    </w:rPr>
  </w:style>
  <w:style w:type="paragraph" w:customStyle="1" w:styleId="42">
    <w:name w:val="BodyText1I"/>
    <w:basedOn w:val="43"/>
    <w:next w:val="45"/>
    <w:qFormat/>
    <w:uiPriority w:val="0"/>
    <w:pPr>
      <w:ind w:firstLine="420" w:firstLineChars="100"/>
    </w:pPr>
    <w:rPr>
      <w:rFonts w:ascii="楷体_GB2312"/>
      <w:sz w:val="32"/>
    </w:rPr>
  </w:style>
  <w:style w:type="paragraph" w:customStyle="1" w:styleId="43">
    <w:name w:val="BodyText"/>
    <w:basedOn w:val="1"/>
    <w:next w:val="44"/>
    <w:qFormat/>
    <w:uiPriority w:val="0"/>
    <w:pPr>
      <w:textAlignment w:val="baseline"/>
    </w:pPr>
    <w:rPr>
      <w:rFonts w:ascii="Calibri" w:hAnsi="Calibri" w:eastAsia="楷体_GB2312"/>
      <w:kern w:val="0"/>
      <w:sz w:val="28"/>
    </w:rPr>
  </w:style>
  <w:style w:type="paragraph" w:customStyle="1" w:styleId="44">
    <w:name w:val="BodyText2"/>
    <w:basedOn w:val="1"/>
    <w:next w:val="43"/>
    <w:qFormat/>
    <w:uiPriority w:val="0"/>
    <w:pPr>
      <w:spacing w:after="120" w:line="480" w:lineRule="auto"/>
      <w:textAlignment w:val="baseline"/>
    </w:pPr>
  </w:style>
  <w:style w:type="paragraph" w:customStyle="1" w:styleId="45">
    <w:name w:val="BodyText1I2"/>
    <w:basedOn w:val="46"/>
    <w:qFormat/>
    <w:uiPriority w:val="0"/>
    <w:pPr>
      <w:ind w:firstLine="420" w:firstLineChars="200"/>
    </w:pPr>
  </w:style>
  <w:style w:type="paragraph" w:customStyle="1" w:styleId="46">
    <w:name w:val="BodyTextIndent"/>
    <w:basedOn w:val="1"/>
    <w:qFormat/>
    <w:uiPriority w:val="0"/>
    <w:pPr>
      <w:spacing w:after="120"/>
      <w:ind w:left="420" w:leftChars="200"/>
      <w:textAlignment w:val="baseline"/>
    </w:pPr>
  </w:style>
  <w:style w:type="paragraph" w:customStyle="1" w:styleId="47">
    <w:name w:val="TOAHeading"/>
    <w:basedOn w:val="1"/>
    <w:next w:val="1"/>
    <w:qFormat/>
    <w:uiPriority w:val="0"/>
    <w:pPr>
      <w:spacing w:before="120"/>
      <w:textAlignment w:val="baseline"/>
    </w:pPr>
    <w:rPr>
      <w:rFonts w:ascii="Arial" w:hAnsi="Arial"/>
      <w:sz w:val="24"/>
      <w:szCs w:val="22"/>
    </w:rPr>
  </w:style>
  <w:style w:type="paragraph" w:customStyle="1" w:styleId="48">
    <w:name w:val="Table Paragraph"/>
    <w:basedOn w:val="1"/>
    <w:qFormat/>
    <w:uiPriority w:val="1"/>
    <w:rPr>
      <w:rFonts w:ascii="宋体" w:hAnsi="宋体" w:cs="宋体"/>
      <w:lang w:val="zh-CN" w:bidi="zh-CN"/>
    </w:rPr>
  </w:style>
  <w:style w:type="paragraph" w:styleId="49">
    <w:name w:val="List Paragraph"/>
    <w:basedOn w:val="1"/>
    <w:qFormat/>
    <w:uiPriority w:val="0"/>
    <w:pPr>
      <w:widowControl/>
      <w:ind w:left="720"/>
      <w:jc w:val="left"/>
    </w:pPr>
    <w:rPr>
      <w:rFonts w:hint="eastAsia" w:ascii="Calibri" w:hAnsi="Calibri"/>
      <w:kern w:val="0"/>
      <w:sz w:val="24"/>
      <w:lang w:eastAsia="en-US" w:bidi="en-US"/>
    </w:rPr>
  </w:style>
  <w:style w:type="paragraph" w:customStyle="1" w:styleId="50">
    <w:name w:val="_Style 41"/>
    <w:basedOn w:val="1"/>
    <w:next w:val="49"/>
    <w:qFormat/>
    <w:uiPriority w:val="34"/>
    <w:pPr>
      <w:ind w:firstLine="420" w:firstLineChars="200"/>
    </w:pPr>
    <w:rPr>
      <w:rFonts w:ascii="等线" w:hAnsi="等线" w:eastAsia="等线"/>
      <w:szCs w:val="22"/>
    </w:rPr>
  </w:style>
  <w:style w:type="paragraph" w:customStyle="1" w:styleId="51">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rPr>
  </w:style>
  <w:style w:type="paragraph" w:styleId="52">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53">
    <w:name w:val="正文首行缩进 21"/>
    <w:basedOn w:val="1"/>
    <w:qFormat/>
    <w:uiPriority w:val="0"/>
    <w:pPr>
      <w:tabs>
        <w:tab w:val="left" w:pos="945"/>
        <w:tab w:val="left" w:pos="1155"/>
      </w:tabs>
      <w:ind w:firstLine="420" w:firstLineChars="200"/>
    </w:pPr>
    <w:rPr>
      <w:rFonts w:ascii="宋体" w:hAnsi="Book Antiqua"/>
      <w:sz w:val="24"/>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53</Pages>
  <Words>25147</Words>
  <Characters>27808</Characters>
  <Lines>199</Lines>
  <Paragraphs>56</Paragraphs>
  <TotalTime>25</TotalTime>
  <ScaleCrop>false</ScaleCrop>
  <LinksUpToDate>false</LinksUpToDate>
  <CharactersWithSpaces>29456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2022-03-04T08:07:00Z</dcterms:created>
  <dc:creator>DELL</dc:creator>
  <cp:lastModifiedBy>Trumen</cp:lastModifiedBy>
  <cp:lastPrinted>2023-01-09T01:18:00Z</cp:lastPrinted>
  <dcterms:modified xsi:type="dcterms:W3CDTF">2023-01-09T07:37:11Z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53D021010206408FACBD967681DA39B8</vt:lpwstr>
  </property>
</Properties>
</file>