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heme="minorEastAsia" w:hAnsiTheme="minorEastAsia" w:eastAsiaTheme="minorEastAsia" w:cstheme="minorEastAsia"/>
        </w:rPr>
      </w:pPr>
      <w:bookmarkStart w:id="0" w:name="_Toc281574833"/>
    </w:p>
    <w:p>
      <w:pPr>
        <w:pStyle w:val="21"/>
        <w:rPr>
          <w:rFonts w:asciiTheme="minorEastAsia" w:hAnsiTheme="minorEastAsia" w:eastAsiaTheme="minorEastAsia" w:cstheme="minorEastAsia"/>
        </w:rPr>
      </w:pPr>
    </w:p>
    <w:p>
      <w:pPr>
        <w:spacing w:line="360" w:lineRule="auto"/>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 xml:space="preserve">博爱县农村人居环境综合整治项目选取PPP咨询服务机构采购项目 </w:t>
      </w:r>
    </w:p>
    <w:p>
      <w:pPr>
        <w:spacing w:line="360" w:lineRule="auto"/>
        <w:jc w:val="center"/>
        <w:rPr>
          <w:rFonts w:asciiTheme="majorEastAsia" w:hAnsiTheme="majorEastAsia" w:eastAsiaTheme="majorEastAsia" w:cstheme="majorEastAsia"/>
          <w:b/>
          <w:bCs/>
          <w:sz w:val="44"/>
          <w:szCs w:val="44"/>
        </w:rPr>
      </w:pPr>
    </w:p>
    <w:p>
      <w:pPr>
        <w:spacing w:line="360" w:lineRule="auto"/>
        <w:jc w:val="center"/>
        <w:rPr>
          <w:rFonts w:asciiTheme="minorEastAsia" w:hAnsiTheme="minorEastAsia" w:eastAsiaTheme="minorEastAsia" w:cstheme="minorEastAsia"/>
          <w:b/>
          <w:sz w:val="120"/>
          <w:szCs w:val="120"/>
        </w:rPr>
      </w:pPr>
      <w:r>
        <w:rPr>
          <w:rFonts w:hint="eastAsia" w:asciiTheme="majorEastAsia" w:hAnsiTheme="majorEastAsia" w:eastAsiaTheme="majorEastAsia" w:cstheme="majorEastAsia"/>
          <w:b/>
          <w:bCs/>
          <w:sz w:val="44"/>
          <w:szCs w:val="44"/>
        </w:rPr>
        <w:t xml:space="preserve"> </w:t>
      </w:r>
    </w:p>
    <w:p>
      <w:pPr>
        <w:pStyle w:val="3"/>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采购编号：博政采购〔2022〕43号</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pStyle w:val="3"/>
        <w:rPr>
          <w:rFonts w:asciiTheme="minorEastAsia" w:hAnsiTheme="minorEastAsia" w:eastAsiaTheme="minorEastAsia" w:cstheme="minorEastAsia"/>
        </w:rPr>
      </w:pPr>
    </w:p>
    <w:p>
      <w:pPr>
        <w:pStyle w:val="21"/>
        <w:rPr>
          <w:rFonts w:asciiTheme="minorEastAsia" w:hAnsiTheme="minorEastAsia" w:eastAsiaTheme="minorEastAsia" w:cstheme="minorEastAsia"/>
        </w:rPr>
      </w:pPr>
    </w:p>
    <w:p>
      <w:pPr>
        <w:pStyle w:val="3"/>
      </w:pP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采 购 人：焦作市生态环境局博爱分局</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期：2022年</w:t>
      </w:r>
      <w:r>
        <w:rPr>
          <w:rFonts w:hint="eastAsia" w:asciiTheme="minorEastAsia" w:hAnsiTheme="minorEastAsia" w:eastAsiaTheme="minorEastAsia" w:cstheme="minorEastAsia"/>
          <w:b/>
          <w:bCs/>
          <w:sz w:val="32"/>
          <w:szCs w:val="32"/>
          <w:lang w:val="en-US" w:eastAsia="zh-CN"/>
        </w:rPr>
        <w:t>6</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p>
    <w:p>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目     录</w:t>
      </w:r>
    </w:p>
    <w:p>
      <w:pPr>
        <w:pStyle w:val="19"/>
        <w:tabs>
          <w:tab w:val="right" w:leader="dot" w:pos="9880"/>
        </w:tabs>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"_Toc2925" </w:instrText>
      </w:r>
      <w:r>
        <w:fldChar w:fldCharType="separate"/>
      </w:r>
      <w:r>
        <w:rPr>
          <w:rFonts w:hint="eastAsia"/>
        </w:rPr>
        <w:t>重要事项提示</w:t>
      </w:r>
      <w:r>
        <w:tab/>
      </w:r>
      <w:r>
        <w:fldChar w:fldCharType="begin"/>
      </w:r>
      <w:r>
        <w:instrText xml:space="preserve"> PAGEREF _Toc2925 \h </w:instrText>
      </w:r>
      <w:r>
        <w:fldChar w:fldCharType="separate"/>
      </w:r>
      <w:r>
        <w:t>- 3 -</w:t>
      </w:r>
      <w:r>
        <w:fldChar w:fldCharType="end"/>
      </w:r>
      <w:r>
        <w:fldChar w:fldCharType="end"/>
      </w:r>
    </w:p>
    <w:p>
      <w:pPr>
        <w:pStyle w:val="19"/>
        <w:tabs>
          <w:tab w:val="right" w:leader="dot" w:pos="9880"/>
        </w:tabs>
      </w:pPr>
      <w:r>
        <w:fldChar w:fldCharType="begin"/>
      </w:r>
      <w:r>
        <w:instrText xml:space="preserve"> HYPERLINK \l "_Toc20833" </w:instrText>
      </w:r>
      <w:r>
        <w:fldChar w:fldCharType="separate"/>
      </w:r>
      <w:r>
        <w:rPr>
          <w:rFonts w:hint="eastAsia"/>
        </w:rPr>
        <w:t xml:space="preserve">第一章 </w:t>
      </w:r>
      <w:r>
        <w:rPr>
          <w:rFonts w:hint="eastAsia" w:asciiTheme="minorEastAsia" w:hAnsiTheme="minorEastAsia" w:eastAsiaTheme="minorEastAsia" w:cstheme="minorEastAsia"/>
          <w:bCs/>
        </w:rPr>
        <w:t>招标公告</w:t>
      </w:r>
      <w:r>
        <w:tab/>
      </w:r>
      <w:r>
        <w:fldChar w:fldCharType="begin"/>
      </w:r>
      <w:r>
        <w:instrText xml:space="preserve"> PAGEREF _Toc20833 \h </w:instrText>
      </w:r>
      <w:r>
        <w:fldChar w:fldCharType="separate"/>
      </w:r>
      <w:r>
        <w:t>- 5 -</w:t>
      </w:r>
      <w:r>
        <w:fldChar w:fldCharType="end"/>
      </w:r>
      <w:r>
        <w:fldChar w:fldCharType="end"/>
      </w:r>
    </w:p>
    <w:p>
      <w:pPr>
        <w:pStyle w:val="19"/>
        <w:tabs>
          <w:tab w:val="right" w:leader="dot" w:pos="9880"/>
        </w:tabs>
      </w:pPr>
      <w:r>
        <w:fldChar w:fldCharType="begin"/>
      </w:r>
      <w:r>
        <w:instrText xml:space="preserve"> HYPERLINK \l "_Toc24528" </w:instrText>
      </w:r>
      <w:r>
        <w:fldChar w:fldCharType="separate"/>
      </w:r>
      <w:r>
        <w:rPr>
          <w:rFonts w:hint="eastAsia" w:asciiTheme="minorEastAsia" w:hAnsiTheme="minorEastAsia" w:eastAsiaTheme="minorEastAsia" w:cstheme="minorEastAsia"/>
          <w:szCs w:val="32"/>
        </w:rPr>
        <w:t>第二章  投标人须知</w:t>
      </w:r>
      <w:r>
        <w:tab/>
      </w:r>
      <w:r>
        <w:fldChar w:fldCharType="begin"/>
      </w:r>
      <w:r>
        <w:instrText xml:space="preserve"> PAGEREF _Toc24528 \h </w:instrText>
      </w:r>
      <w:r>
        <w:fldChar w:fldCharType="separate"/>
      </w:r>
      <w:r>
        <w:t>- 8 -</w:t>
      </w:r>
      <w:r>
        <w:fldChar w:fldCharType="end"/>
      </w:r>
      <w:r>
        <w:fldChar w:fldCharType="end"/>
      </w:r>
    </w:p>
    <w:p>
      <w:pPr>
        <w:pStyle w:val="19"/>
        <w:tabs>
          <w:tab w:val="right" w:leader="dot" w:pos="9880"/>
        </w:tabs>
      </w:pPr>
      <w:r>
        <w:fldChar w:fldCharType="begin"/>
      </w:r>
      <w:r>
        <w:instrText xml:space="preserve"> HYPERLINK \l "_Toc15953" </w:instrText>
      </w:r>
      <w:r>
        <w:fldChar w:fldCharType="separate"/>
      </w:r>
      <w:r>
        <w:rPr>
          <w:rFonts w:hint="eastAsia" w:asciiTheme="minorEastAsia" w:hAnsiTheme="minorEastAsia" w:eastAsiaTheme="minorEastAsia" w:cstheme="minorEastAsia"/>
          <w:szCs w:val="30"/>
        </w:rPr>
        <w:t>投标人须知前附表</w:t>
      </w:r>
      <w:r>
        <w:tab/>
      </w:r>
      <w:r>
        <w:fldChar w:fldCharType="begin"/>
      </w:r>
      <w:r>
        <w:instrText xml:space="preserve"> PAGEREF _Toc15953 \h </w:instrText>
      </w:r>
      <w:r>
        <w:fldChar w:fldCharType="separate"/>
      </w:r>
      <w:r>
        <w:t>- 8 -</w:t>
      </w:r>
      <w:r>
        <w:fldChar w:fldCharType="end"/>
      </w:r>
      <w:r>
        <w:fldChar w:fldCharType="end"/>
      </w:r>
    </w:p>
    <w:p>
      <w:pPr>
        <w:pStyle w:val="19"/>
        <w:tabs>
          <w:tab w:val="right" w:leader="dot" w:pos="9880"/>
        </w:tabs>
      </w:pPr>
      <w:r>
        <w:fldChar w:fldCharType="begin"/>
      </w:r>
      <w:r>
        <w:instrText xml:space="preserve"> HYPERLINK \l "_Toc17744" </w:instrText>
      </w:r>
      <w:r>
        <w:fldChar w:fldCharType="separate"/>
      </w:r>
      <w:r>
        <w:rPr>
          <w:rFonts w:hint="eastAsia" w:asciiTheme="minorEastAsia" w:hAnsiTheme="minorEastAsia" w:eastAsiaTheme="minorEastAsia" w:cstheme="minorEastAsia"/>
        </w:rPr>
        <w:t>1. 总则</w:t>
      </w:r>
      <w:r>
        <w:tab/>
      </w:r>
      <w:r>
        <w:fldChar w:fldCharType="begin"/>
      </w:r>
      <w:r>
        <w:instrText xml:space="preserve"> PAGEREF _Toc17744 \h </w:instrText>
      </w:r>
      <w:r>
        <w:fldChar w:fldCharType="separate"/>
      </w:r>
      <w:r>
        <w:t>- 13 -</w:t>
      </w:r>
      <w:r>
        <w:fldChar w:fldCharType="end"/>
      </w:r>
      <w:r>
        <w:fldChar w:fldCharType="end"/>
      </w:r>
    </w:p>
    <w:p>
      <w:pPr>
        <w:pStyle w:val="19"/>
        <w:tabs>
          <w:tab w:val="right" w:leader="dot" w:pos="9880"/>
        </w:tabs>
      </w:pPr>
      <w:r>
        <w:fldChar w:fldCharType="begin"/>
      </w:r>
      <w:r>
        <w:instrText xml:space="preserve"> HYPERLINK \l "_Toc5496" </w:instrText>
      </w:r>
      <w:r>
        <w:fldChar w:fldCharType="separate"/>
      </w:r>
      <w:r>
        <w:rPr>
          <w:rFonts w:hint="eastAsia" w:asciiTheme="minorEastAsia" w:hAnsiTheme="minorEastAsia" w:eastAsiaTheme="minorEastAsia" w:cstheme="minorEastAsia"/>
        </w:rPr>
        <w:t>2. 招标文件</w:t>
      </w:r>
      <w:r>
        <w:tab/>
      </w:r>
      <w:r>
        <w:fldChar w:fldCharType="begin"/>
      </w:r>
      <w:r>
        <w:instrText xml:space="preserve"> PAGEREF _Toc5496 \h </w:instrText>
      </w:r>
      <w:r>
        <w:fldChar w:fldCharType="separate"/>
      </w:r>
      <w:r>
        <w:t>- 14 -</w:t>
      </w:r>
      <w:r>
        <w:fldChar w:fldCharType="end"/>
      </w:r>
      <w:r>
        <w:fldChar w:fldCharType="end"/>
      </w:r>
    </w:p>
    <w:p>
      <w:pPr>
        <w:pStyle w:val="19"/>
        <w:tabs>
          <w:tab w:val="right" w:leader="dot" w:pos="9880"/>
        </w:tabs>
      </w:pPr>
      <w:r>
        <w:fldChar w:fldCharType="begin"/>
      </w:r>
      <w:r>
        <w:instrText xml:space="preserve"> HYPERLINK \l "_Toc17990" </w:instrText>
      </w:r>
      <w:r>
        <w:fldChar w:fldCharType="separate"/>
      </w:r>
      <w:r>
        <w:rPr>
          <w:rFonts w:hint="eastAsia" w:asciiTheme="minorEastAsia" w:hAnsiTheme="minorEastAsia" w:eastAsiaTheme="minorEastAsia" w:cstheme="minorEastAsia"/>
        </w:rPr>
        <w:t>3. 投标文件</w:t>
      </w:r>
      <w:r>
        <w:tab/>
      </w:r>
      <w:r>
        <w:fldChar w:fldCharType="begin"/>
      </w:r>
      <w:r>
        <w:instrText xml:space="preserve"> PAGEREF _Toc17990 \h </w:instrText>
      </w:r>
      <w:r>
        <w:fldChar w:fldCharType="separate"/>
      </w:r>
      <w:r>
        <w:t>- 15 -</w:t>
      </w:r>
      <w:r>
        <w:fldChar w:fldCharType="end"/>
      </w:r>
      <w:r>
        <w:fldChar w:fldCharType="end"/>
      </w:r>
    </w:p>
    <w:p>
      <w:pPr>
        <w:pStyle w:val="19"/>
        <w:tabs>
          <w:tab w:val="right" w:leader="dot" w:pos="9880"/>
        </w:tabs>
      </w:pPr>
      <w:r>
        <w:fldChar w:fldCharType="begin"/>
      </w:r>
      <w:r>
        <w:instrText xml:space="preserve"> HYPERLINK \l "_Toc15900" </w:instrText>
      </w:r>
      <w:r>
        <w:fldChar w:fldCharType="separate"/>
      </w:r>
      <w:r>
        <w:rPr>
          <w:rFonts w:hint="eastAsia" w:asciiTheme="minorEastAsia" w:hAnsiTheme="minorEastAsia" w:eastAsiaTheme="minorEastAsia" w:cstheme="minorEastAsia"/>
        </w:rPr>
        <w:t>4. 投标</w:t>
      </w:r>
      <w:r>
        <w:tab/>
      </w:r>
      <w:r>
        <w:fldChar w:fldCharType="begin"/>
      </w:r>
      <w:r>
        <w:instrText xml:space="preserve"> PAGEREF _Toc15900 \h </w:instrText>
      </w:r>
      <w:r>
        <w:fldChar w:fldCharType="separate"/>
      </w:r>
      <w:r>
        <w:t>- 16 -</w:t>
      </w:r>
      <w:r>
        <w:fldChar w:fldCharType="end"/>
      </w:r>
      <w:r>
        <w:fldChar w:fldCharType="end"/>
      </w:r>
    </w:p>
    <w:p>
      <w:pPr>
        <w:pStyle w:val="19"/>
        <w:tabs>
          <w:tab w:val="right" w:leader="dot" w:pos="9880"/>
        </w:tabs>
      </w:pPr>
      <w:r>
        <w:fldChar w:fldCharType="begin"/>
      </w:r>
      <w:r>
        <w:instrText xml:space="preserve"> HYPERLINK \l "_Toc19012" </w:instrText>
      </w:r>
      <w:r>
        <w:fldChar w:fldCharType="separate"/>
      </w:r>
      <w:r>
        <w:rPr>
          <w:rFonts w:hint="eastAsia" w:asciiTheme="minorEastAsia" w:hAnsiTheme="minorEastAsia" w:eastAsiaTheme="minorEastAsia" w:cstheme="minorEastAsia"/>
        </w:rPr>
        <w:t>5. 开标</w:t>
      </w:r>
      <w:r>
        <w:tab/>
      </w:r>
      <w:r>
        <w:fldChar w:fldCharType="begin"/>
      </w:r>
      <w:r>
        <w:instrText xml:space="preserve"> PAGEREF _Toc19012 \h </w:instrText>
      </w:r>
      <w:r>
        <w:fldChar w:fldCharType="separate"/>
      </w:r>
      <w:r>
        <w:t>- 17 -</w:t>
      </w:r>
      <w:r>
        <w:fldChar w:fldCharType="end"/>
      </w:r>
      <w:r>
        <w:fldChar w:fldCharType="end"/>
      </w:r>
    </w:p>
    <w:p>
      <w:pPr>
        <w:pStyle w:val="19"/>
        <w:tabs>
          <w:tab w:val="right" w:leader="dot" w:pos="9880"/>
        </w:tabs>
      </w:pPr>
      <w:r>
        <w:fldChar w:fldCharType="begin"/>
      </w:r>
      <w:r>
        <w:instrText xml:space="preserve"> HYPERLINK \l "_Toc21373" </w:instrText>
      </w:r>
      <w:r>
        <w:fldChar w:fldCharType="separate"/>
      </w:r>
      <w:r>
        <w:rPr>
          <w:rFonts w:hint="eastAsia" w:asciiTheme="minorEastAsia" w:hAnsiTheme="minorEastAsia" w:eastAsiaTheme="minorEastAsia" w:cstheme="minorEastAsia"/>
        </w:rPr>
        <w:t>6. 评标</w:t>
      </w:r>
      <w:r>
        <w:tab/>
      </w:r>
      <w:r>
        <w:fldChar w:fldCharType="begin"/>
      </w:r>
      <w:r>
        <w:instrText xml:space="preserve"> PAGEREF _Toc21373 \h </w:instrText>
      </w:r>
      <w:r>
        <w:fldChar w:fldCharType="separate"/>
      </w:r>
      <w:r>
        <w:t>- 18 -</w:t>
      </w:r>
      <w:r>
        <w:fldChar w:fldCharType="end"/>
      </w:r>
      <w:r>
        <w:fldChar w:fldCharType="end"/>
      </w:r>
    </w:p>
    <w:p>
      <w:pPr>
        <w:pStyle w:val="19"/>
        <w:tabs>
          <w:tab w:val="right" w:leader="dot" w:pos="9880"/>
        </w:tabs>
      </w:pPr>
      <w:r>
        <w:fldChar w:fldCharType="begin"/>
      </w:r>
      <w:r>
        <w:instrText xml:space="preserve"> HYPERLINK \l "_Toc21680" </w:instrText>
      </w:r>
      <w:r>
        <w:fldChar w:fldCharType="separate"/>
      </w:r>
      <w:r>
        <w:rPr>
          <w:rFonts w:hint="eastAsia" w:asciiTheme="minorEastAsia" w:hAnsiTheme="minorEastAsia" w:eastAsiaTheme="minorEastAsia" w:cstheme="minorEastAsia"/>
        </w:rPr>
        <w:t>7. 合同授予</w:t>
      </w:r>
      <w:r>
        <w:tab/>
      </w:r>
      <w:r>
        <w:fldChar w:fldCharType="begin"/>
      </w:r>
      <w:r>
        <w:instrText xml:space="preserve"> PAGEREF _Toc21680 \h </w:instrText>
      </w:r>
      <w:r>
        <w:fldChar w:fldCharType="separate"/>
      </w:r>
      <w:r>
        <w:t>- 19 -</w:t>
      </w:r>
      <w:r>
        <w:fldChar w:fldCharType="end"/>
      </w:r>
      <w:r>
        <w:fldChar w:fldCharType="end"/>
      </w:r>
    </w:p>
    <w:p>
      <w:pPr>
        <w:pStyle w:val="19"/>
        <w:tabs>
          <w:tab w:val="right" w:leader="dot" w:pos="9880"/>
        </w:tabs>
      </w:pPr>
      <w:r>
        <w:fldChar w:fldCharType="begin"/>
      </w:r>
      <w:r>
        <w:instrText xml:space="preserve"> HYPERLINK \l "_Toc18607" </w:instrText>
      </w:r>
      <w:r>
        <w:fldChar w:fldCharType="separate"/>
      </w:r>
      <w:r>
        <w:rPr>
          <w:rFonts w:hint="eastAsia" w:asciiTheme="minorEastAsia" w:hAnsiTheme="minorEastAsia" w:eastAsiaTheme="minorEastAsia" w:cstheme="minorEastAsia"/>
        </w:rPr>
        <w:t>8. 重新招标</w:t>
      </w:r>
      <w:r>
        <w:tab/>
      </w:r>
      <w:r>
        <w:fldChar w:fldCharType="begin"/>
      </w:r>
      <w:r>
        <w:instrText xml:space="preserve"> PAGEREF _Toc18607 \h </w:instrText>
      </w:r>
      <w:r>
        <w:fldChar w:fldCharType="separate"/>
      </w:r>
      <w:r>
        <w:t>- 20 -</w:t>
      </w:r>
      <w:r>
        <w:fldChar w:fldCharType="end"/>
      </w:r>
      <w:r>
        <w:fldChar w:fldCharType="end"/>
      </w:r>
    </w:p>
    <w:p>
      <w:pPr>
        <w:pStyle w:val="19"/>
        <w:tabs>
          <w:tab w:val="right" w:leader="dot" w:pos="9880"/>
        </w:tabs>
      </w:pPr>
      <w:r>
        <w:fldChar w:fldCharType="begin"/>
      </w:r>
      <w:r>
        <w:instrText xml:space="preserve"> HYPERLINK \l "_Toc23389" </w:instrText>
      </w:r>
      <w:r>
        <w:fldChar w:fldCharType="separate"/>
      </w:r>
      <w:r>
        <w:rPr>
          <w:rFonts w:hint="eastAsia" w:asciiTheme="minorEastAsia" w:hAnsiTheme="minorEastAsia" w:eastAsiaTheme="minorEastAsia" w:cstheme="minorEastAsia"/>
        </w:rPr>
        <w:t>9. 纪律和监督</w:t>
      </w:r>
      <w:r>
        <w:tab/>
      </w:r>
      <w:r>
        <w:fldChar w:fldCharType="begin"/>
      </w:r>
      <w:r>
        <w:instrText xml:space="preserve"> PAGEREF _Toc23389 \h </w:instrText>
      </w:r>
      <w:r>
        <w:fldChar w:fldCharType="separate"/>
      </w:r>
      <w:r>
        <w:t>- 20 -</w:t>
      </w:r>
      <w:r>
        <w:fldChar w:fldCharType="end"/>
      </w:r>
      <w:r>
        <w:fldChar w:fldCharType="end"/>
      </w:r>
    </w:p>
    <w:p>
      <w:pPr>
        <w:pStyle w:val="19"/>
        <w:tabs>
          <w:tab w:val="right" w:leader="dot" w:pos="9880"/>
        </w:tabs>
      </w:pPr>
      <w:r>
        <w:fldChar w:fldCharType="begin"/>
      </w:r>
      <w:r>
        <w:instrText xml:space="preserve"> HYPERLINK \l "_Toc5888" </w:instrText>
      </w:r>
      <w:r>
        <w:fldChar w:fldCharType="separate"/>
      </w:r>
      <w:r>
        <w:rPr>
          <w:rFonts w:hint="eastAsia" w:asciiTheme="minorEastAsia" w:hAnsiTheme="minorEastAsia" w:eastAsiaTheme="minorEastAsia" w:cstheme="minorEastAsia"/>
        </w:rPr>
        <w:t>10. 需要补充的其他内容</w:t>
      </w:r>
      <w:r>
        <w:tab/>
      </w:r>
      <w:r>
        <w:fldChar w:fldCharType="begin"/>
      </w:r>
      <w:r>
        <w:instrText xml:space="preserve"> PAGEREF _Toc5888 \h </w:instrText>
      </w:r>
      <w:r>
        <w:fldChar w:fldCharType="separate"/>
      </w:r>
      <w:r>
        <w:t>- 21 -</w:t>
      </w:r>
      <w:r>
        <w:fldChar w:fldCharType="end"/>
      </w:r>
      <w:r>
        <w:fldChar w:fldCharType="end"/>
      </w:r>
    </w:p>
    <w:p>
      <w:pPr>
        <w:pStyle w:val="19"/>
        <w:tabs>
          <w:tab w:val="right" w:leader="dot" w:pos="9880"/>
        </w:tabs>
      </w:pPr>
      <w:r>
        <w:fldChar w:fldCharType="begin"/>
      </w:r>
      <w:r>
        <w:instrText xml:space="preserve"> HYPERLINK \l "_Toc2565" </w:instrText>
      </w:r>
      <w: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rPr>
        <w:t>评标办法（综合评分法）</w:t>
      </w:r>
      <w:r>
        <w:tab/>
      </w:r>
      <w:r>
        <w:fldChar w:fldCharType="begin"/>
      </w:r>
      <w:r>
        <w:instrText xml:space="preserve"> PAGEREF _Toc2565 \h </w:instrText>
      </w:r>
      <w:r>
        <w:fldChar w:fldCharType="separate"/>
      </w:r>
      <w:r>
        <w:t>- 26 -</w:t>
      </w:r>
      <w:r>
        <w:fldChar w:fldCharType="end"/>
      </w:r>
      <w:r>
        <w:fldChar w:fldCharType="end"/>
      </w:r>
    </w:p>
    <w:p>
      <w:pPr>
        <w:pStyle w:val="19"/>
        <w:tabs>
          <w:tab w:val="right" w:leader="dot" w:pos="9880"/>
        </w:tabs>
      </w:pPr>
      <w:r>
        <w:fldChar w:fldCharType="begin"/>
      </w:r>
      <w:r>
        <w:instrText xml:space="preserve"> HYPERLINK \l "_Toc9424" </w:instrText>
      </w:r>
      <w:r>
        <w:fldChar w:fldCharType="separate"/>
      </w:r>
      <w:r>
        <w:rPr>
          <w:rFonts w:asciiTheme="minorEastAsia" w:hAnsiTheme="minorEastAsia" w:eastAsiaTheme="minorEastAsia" w:cstheme="minorEastAsia"/>
          <w:szCs w:val="36"/>
        </w:rPr>
        <w:t xml:space="preserve">第四章 </w:t>
      </w:r>
      <w:r>
        <w:rPr>
          <w:rFonts w:hint="eastAsia" w:asciiTheme="minorEastAsia" w:hAnsiTheme="minorEastAsia" w:eastAsiaTheme="minorEastAsia" w:cstheme="minorEastAsia"/>
          <w:szCs w:val="36"/>
        </w:rPr>
        <w:t>合同条款及格式</w:t>
      </w:r>
      <w:r>
        <w:tab/>
      </w:r>
      <w:r>
        <w:fldChar w:fldCharType="begin"/>
      </w:r>
      <w:r>
        <w:instrText xml:space="preserve"> PAGEREF _Toc9424 \h </w:instrText>
      </w:r>
      <w:r>
        <w:fldChar w:fldCharType="separate"/>
      </w:r>
      <w:r>
        <w:t>- 33 -</w:t>
      </w:r>
      <w:r>
        <w:fldChar w:fldCharType="end"/>
      </w:r>
      <w:r>
        <w:fldChar w:fldCharType="end"/>
      </w:r>
    </w:p>
    <w:p>
      <w:pPr>
        <w:pStyle w:val="19"/>
        <w:tabs>
          <w:tab w:val="right" w:leader="dot" w:pos="9880"/>
        </w:tabs>
      </w:pPr>
      <w:r>
        <w:fldChar w:fldCharType="begin"/>
      </w:r>
      <w:r>
        <w:instrText xml:space="preserve"> HYPERLINK \l "_Toc18602" </w:instrText>
      </w:r>
      <w:r>
        <w:fldChar w:fldCharType="separate"/>
      </w:r>
      <w:r>
        <w:rPr>
          <w:rFonts w:hint="eastAsia"/>
          <w:bCs/>
          <w:szCs w:val="32"/>
        </w:rPr>
        <w:t>第五章服务内容及需求</w:t>
      </w:r>
      <w:r>
        <w:tab/>
      </w:r>
      <w:r>
        <w:fldChar w:fldCharType="begin"/>
      </w:r>
      <w:r>
        <w:instrText xml:space="preserve"> PAGEREF _Toc18602 \h </w:instrText>
      </w:r>
      <w:r>
        <w:fldChar w:fldCharType="separate"/>
      </w:r>
      <w:r>
        <w:t>- 35 -</w:t>
      </w:r>
      <w:r>
        <w:fldChar w:fldCharType="end"/>
      </w:r>
      <w:r>
        <w:fldChar w:fldCharType="end"/>
      </w:r>
    </w:p>
    <w:p>
      <w:pPr>
        <w:pStyle w:val="19"/>
        <w:tabs>
          <w:tab w:val="right" w:leader="dot" w:pos="9880"/>
        </w:tabs>
      </w:pPr>
      <w:r>
        <w:fldChar w:fldCharType="begin"/>
      </w:r>
      <w:r>
        <w:instrText xml:space="preserve"> HYPERLINK \l "_Toc18577" </w:instrText>
      </w:r>
      <w:r>
        <w:fldChar w:fldCharType="separate"/>
      </w:r>
      <w:r>
        <w:rPr>
          <w:rFonts w:hint="eastAsia"/>
          <w:szCs w:val="32"/>
        </w:rPr>
        <w:t>第六章 质疑与投诉</w:t>
      </w:r>
      <w:r>
        <w:tab/>
      </w:r>
      <w:r>
        <w:fldChar w:fldCharType="begin"/>
      </w:r>
      <w:r>
        <w:instrText xml:space="preserve"> PAGEREF _Toc18577 \h </w:instrText>
      </w:r>
      <w:r>
        <w:fldChar w:fldCharType="separate"/>
      </w:r>
      <w:r>
        <w:t>- 40 -</w:t>
      </w:r>
      <w:r>
        <w:fldChar w:fldCharType="end"/>
      </w:r>
      <w: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t>第七章</w:t>
      </w:r>
      <w:r>
        <w:rPr>
          <w:rFonts w:hint="eastAsia" w:asciiTheme="minorEastAsia" w:hAnsiTheme="minorEastAsia" w:eastAsiaTheme="minorEastAsia" w:cstheme="minorEastAsia"/>
          <w:bCs/>
          <w:caps/>
          <w:szCs w:val="21"/>
        </w:rPr>
        <w:t xml:space="preserve"> </w:t>
      </w:r>
      <w:r>
        <w:fldChar w:fldCharType="begin"/>
      </w:r>
      <w:r>
        <w:instrText xml:space="preserve"> HYPERLINK \l "_Toc3437" </w:instrText>
      </w:r>
      <w:r>
        <w:fldChar w:fldCharType="separate"/>
      </w:r>
      <w:r>
        <w:rPr>
          <w:rFonts w:hint="eastAsia" w:asciiTheme="minorEastAsia" w:hAnsiTheme="minorEastAsia" w:eastAsiaTheme="minorEastAsia" w:cstheme="minorEastAsia"/>
          <w:bCs/>
          <w:caps/>
          <w:szCs w:val="21"/>
          <w:lang w:val="zh-CN"/>
        </w:rPr>
        <w:t>履约验收</w:t>
      </w:r>
      <w:r>
        <w:tab/>
      </w:r>
      <w:r>
        <w:fldChar w:fldCharType="begin"/>
      </w:r>
      <w:r>
        <w:instrText xml:space="preserve"> PAGEREF _Toc3437 \h </w:instrText>
      </w:r>
      <w:r>
        <w:fldChar w:fldCharType="separate"/>
      </w:r>
      <w:r>
        <w:t>- 41 -</w:t>
      </w:r>
      <w:r>
        <w:fldChar w:fldCharType="end"/>
      </w:r>
      <w:r>
        <w:fldChar w:fldCharType="end"/>
      </w:r>
    </w:p>
    <w:p>
      <w:pPr>
        <w:pStyle w:val="19"/>
        <w:tabs>
          <w:tab w:val="right" w:leader="dot" w:pos="9880"/>
        </w:tabs>
      </w:pPr>
      <w:r>
        <w:fldChar w:fldCharType="begin"/>
      </w:r>
      <w:r>
        <w:instrText xml:space="preserve"> HYPERLINK \l "_Toc7253" </w:instrText>
      </w:r>
      <w:r>
        <w:fldChar w:fldCharType="separate"/>
      </w:r>
      <w:r>
        <w:rPr>
          <w:rFonts w:hint="eastAsia" w:asciiTheme="minorEastAsia" w:hAnsiTheme="minorEastAsia" w:eastAsiaTheme="minorEastAsia" w:cstheme="minorEastAsia"/>
          <w:szCs w:val="36"/>
        </w:rPr>
        <w:t>第八章  投标文件格式</w:t>
      </w:r>
      <w:r>
        <w:tab/>
      </w:r>
      <w:r>
        <w:fldChar w:fldCharType="begin"/>
      </w:r>
      <w:r>
        <w:instrText xml:space="preserve"> PAGEREF _Toc7253 \h </w:instrText>
      </w:r>
      <w:r>
        <w:fldChar w:fldCharType="separate"/>
      </w:r>
      <w:r>
        <w:t>- 43 -</w:t>
      </w:r>
      <w:r>
        <w:fldChar w:fldCharType="end"/>
      </w:r>
      <w:r>
        <w:fldChar w:fldCharType="end"/>
      </w:r>
    </w:p>
    <w:p>
      <w:pPr>
        <w:pStyle w:val="20"/>
        <w:tabs>
          <w:tab w:val="right" w:leader="dot" w:pos="9880"/>
        </w:tabs>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Cs/>
          <w:caps/>
          <w:szCs w:val="21"/>
          <w:lang w:val="zh-CN"/>
        </w:rPr>
        <w:fldChar w:fldCharType="end"/>
      </w: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5"/>
        <w:rPr>
          <w:rFonts w:ascii="宋体" w:hAnsi="宋体" w:cs="宋体"/>
        </w:rPr>
      </w:pPr>
      <w:bookmarkStart w:id="1" w:name="_Toc2925"/>
      <w:r>
        <w:rPr>
          <w:rFonts w:hint="eastAsia"/>
        </w:rPr>
        <w:t>重要事项提示</w:t>
      </w:r>
      <w:bookmarkEnd w:id="1"/>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各潜在投标人：</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2"/>
        <w:spacing w:before="0" w:beforeAutospacing="0" w:after="0" w:afterAutospacing="0" w:line="360" w:lineRule="auto"/>
        <w:ind w:firstLine="480" w:firstLineChars="200"/>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22"/>
        <w:spacing w:before="0" w:beforeAutospacing="0" w:after="0" w:afterAutospacing="0" w:line="360" w:lineRule="auto"/>
        <w:ind w:firstLine="480" w:firstLineChars="200"/>
        <w:jc w:val="both"/>
      </w:pPr>
      <w:r>
        <w:rPr>
          <w:rFonts w:hint="eastAsia"/>
        </w:rPr>
        <w:t>（http://122.112.246.33/BidOpening/bidopeninghallaction/hall/login ），按要求解密投标文件。因文件未及时上传导致投标失败的责任由投标人自行承担，具体要求详见招标文件。 平台统一技术服务电话：400-998-0000，服务 QQ：4008503300，服务时间：周一至周日 8：00-17：30。</w:t>
      </w:r>
    </w:p>
    <w:p>
      <w:pPr>
        <w:pStyle w:val="22"/>
        <w:spacing w:before="0" w:beforeAutospacing="0" w:after="0" w:afterAutospacing="0" w:line="360" w:lineRule="auto"/>
        <w:ind w:firstLine="480" w:firstLineChars="200"/>
        <w:jc w:val="both"/>
      </w:pPr>
      <w:r>
        <w:rPr>
          <w:rFonts w:hint="eastAsia"/>
        </w:rPr>
        <w:t>投标人无需到现场参加开标会议，无需到达现场提交原件资料。投标人应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22"/>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未按招标文件明示的规定签字或盖章的；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投标文件的关键内容（投标报价、服务</w:t>
      </w:r>
      <w:r>
        <w:rPr>
          <w:rFonts w:hint="eastAsia" w:ascii="宋体" w:hAnsi="宋体" w:cs="宋体"/>
          <w:kern w:val="0"/>
          <w:sz w:val="24"/>
        </w:rPr>
        <w:t>期</w:t>
      </w:r>
      <w:r>
        <w:rPr>
          <w:rFonts w:hint="eastAsia" w:ascii="宋体" w:hAnsi="宋体"/>
          <w:kern w:val="0"/>
          <w:sz w:val="24"/>
        </w:rPr>
        <w:t>、质量要求等）未填写或填写字迹模糊无法辨认的；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投标文件中对同一项目有两个或多个报价，且未声明哪一个有效的；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投标文件中附有采购人不能接受的条件的；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3.7. 投标文件有明显不符合竞争性谈判文件其它要求和有关法律法规的；</w:t>
      </w:r>
    </w:p>
    <w:p>
      <w:pPr>
        <w:widowControl/>
        <w:spacing w:line="360" w:lineRule="auto"/>
        <w:ind w:firstLine="480" w:firstLineChars="200"/>
      </w:pPr>
      <w:r>
        <w:rPr>
          <w:rFonts w:hint="eastAsia" w:ascii="宋体" w:hAnsi="宋体"/>
          <w:kern w:val="0"/>
          <w:sz w:val="24"/>
        </w:rPr>
        <w:t>3.8. 评标过程中，如因两个或两个以上投标人在同一台计算或同一个IP上传投标文件，而被不见面开标系统提示为“投标文件制作机器码一致”的，则视其投标无效；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3.9. 在评标过程中，评标委员会发现投标单位的报价明显低于其它报价，使得其报价可能低于其个别成本的，应当要求该投标单位作出书面说明并提供相关证明材料。投标单位不能合理说明或者不能提供相关证明材料的，由评标委员会认定该投标单位以低于成本报价竞标，其报价应作废标处理。</w:t>
      </w:r>
    </w:p>
    <w:p>
      <w:pPr>
        <w:pStyle w:val="5"/>
        <w:spacing w:before="0" w:after="0" w:line="360" w:lineRule="auto"/>
        <w:ind w:firstLine="643" w:firstLineChars="200"/>
        <w:rPr>
          <w:rFonts w:ascii="宋体" w:hAnsi="宋体" w:cs="宋体"/>
          <w:sz w:val="32"/>
          <w:szCs w:val="32"/>
        </w:rPr>
      </w:pPr>
    </w:p>
    <w:p>
      <w:pPr>
        <w:pStyle w:val="5"/>
        <w:spacing w:before="0" w:after="0" w:line="360" w:lineRule="auto"/>
        <w:ind w:firstLine="643" w:firstLineChars="200"/>
        <w:rPr>
          <w:rFonts w:ascii="宋体" w:hAnsi="宋体" w:cs="宋体"/>
          <w:sz w:val="32"/>
          <w:szCs w:val="32"/>
        </w:rPr>
      </w:pPr>
    </w:p>
    <w:p>
      <w:pPr>
        <w:rPr>
          <w:rFonts w:ascii="宋体" w:hAnsi="宋体" w:cs="宋体"/>
          <w:b/>
          <w:bCs/>
          <w:sz w:val="32"/>
          <w:szCs w:val="32"/>
        </w:rPr>
      </w:pPr>
    </w:p>
    <w:p>
      <w:pPr>
        <w:jc w:val="center"/>
        <w:rPr>
          <w:rFonts w:asciiTheme="minorEastAsia" w:hAnsiTheme="minorEastAsia" w:eastAsiaTheme="minorEastAsia" w:cstheme="minorEastAsia"/>
          <w:b/>
          <w:bCs/>
          <w:sz w:val="32"/>
          <w:szCs w:val="32"/>
        </w:rPr>
      </w:pPr>
    </w:p>
    <w:p>
      <w:pPr>
        <w:pStyle w:val="23"/>
        <w:spacing w:line="360" w:lineRule="auto"/>
        <w:ind w:right="-63" w:rightChars="-30"/>
        <w:jc w:val="both"/>
        <w:rPr>
          <w:rFonts w:asciiTheme="minorEastAsia" w:hAnsiTheme="minorEastAsia" w:eastAsiaTheme="minorEastAsia" w:cstheme="minorEastAsia"/>
          <w:bCs/>
        </w:rPr>
      </w:pPr>
    </w:p>
    <w:p>
      <w:pPr>
        <w:rPr>
          <w:rFonts w:eastAsiaTheme="minorEastAsia"/>
        </w:rPr>
      </w:pPr>
    </w:p>
    <w:p>
      <w:pPr>
        <w:pStyle w:val="6"/>
      </w:pPr>
    </w:p>
    <w:p/>
    <w:p>
      <w:pPr>
        <w:pStyle w:val="23"/>
        <w:numPr>
          <w:ilvl w:val="0"/>
          <w:numId w:val="3"/>
        </w:numPr>
        <w:spacing w:line="360" w:lineRule="auto"/>
        <w:ind w:right="-63" w:rightChars="-30"/>
      </w:pPr>
      <w:r>
        <w:rPr>
          <w:rFonts w:hint="eastAsia" w:asciiTheme="minorEastAsia" w:hAnsiTheme="minorEastAsia" w:eastAsiaTheme="minorEastAsia" w:cstheme="minorEastAsia"/>
          <w:bCs/>
        </w:rPr>
        <w:t xml:space="preserve">  </w:t>
      </w:r>
      <w:bookmarkStart w:id="2" w:name="_Toc20833"/>
      <w:r>
        <w:rPr>
          <w:rFonts w:hint="eastAsia" w:asciiTheme="minorEastAsia" w:hAnsiTheme="minorEastAsia" w:eastAsiaTheme="minorEastAsia" w:cstheme="minorEastAsia"/>
          <w:bCs/>
        </w:rPr>
        <w:t>招标公告</w:t>
      </w:r>
      <w:bookmarkEnd w:id="2"/>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博爱县农村人居环境综合整治项目选取PPP咨询服务机构采购项目</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 xml:space="preserve">招标公告（不见面开标） </w:t>
      </w:r>
    </w:p>
    <w:tbl>
      <w:tblPr>
        <w:tblStyle w:val="25"/>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61" w:type="dxa"/>
          </w:tcPr>
          <w:p>
            <w:pPr>
              <w:pStyle w:val="24"/>
              <w:spacing w:line="440" w:lineRule="exact"/>
              <w:ind w:firstLine="480"/>
              <w:rPr>
                <w:rFonts w:ascii="宋体" w:hAnsi="宋体" w:cs="宋体"/>
                <w:sz w:val="24"/>
              </w:rPr>
            </w:pPr>
            <w:r>
              <w:rPr>
                <w:rFonts w:hint="eastAsia" w:ascii="宋体" w:hAnsi="宋体" w:cs="宋体"/>
                <w:sz w:val="24"/>
              </w:rPr>
              <w:t>项目概况：博爱县农村人居环境综合整治项目选取PPP咨询服务机构采购项目的潜在投标人应在焦作市公共资源交易中心网站获取采购文件，并于</w:t>
            </w:r>
            <w:r>
              <w:rPr>
                <w:rFonts w:hint="eastAsia" w:ascii="宋体" w:hAnsi="宋体" w:cs="宋体"/>
                <w:sz w:val="24"/>
                <w:u w:val="single"/>
              </w:rPr>
              <w:t>2022年</w:t>
            </w:r>
            <w:r>
              <w:rPr>
                <w:rFonts w:hint="eastAsia" w:ascii="宋体" w:hAnsi="宋体" w:cs="宋体"/>
                <w:sz w:val="24"/>
                <w:u w:val="single"/>
                <w:lang w:val="en-US" w:eastAsia="zh-CN"/>
              </w:rPr>
              <w:t>6</w:t>
            </w:r>
            <w:r>
              <w:rPr>
                <w:rFonts w:hint="eastAsia" w:ascii="宋体" w:hAnsi="宋体" w:cs="宋体"/>
                <w:sz w:val="24"/>
                <w:u w:val="single"/>
              </w:rPr>
              <w:t>月</w:t>
            </w:r>
            <w:r>
              <w:rPr>
                <w:rFonts w:hint="eastAsia" w:ascii="宋体" w:hAnsi="宋体" w:cs="宋体"/>
                <w:sz w:val="24"/>
                <w:u w:val="single"/>
                <w:lang w:val="en-US" w:eastAsia="zh-CN"/>
              </w:rPr>
              <w:t>30</w:t>
            </w:r>
            <w:r>
              <w:rPr>
                <w:rFonts w:hint="eastAsia" w:ascii="宋体" w:hAnsi="宋体" w:cs="宋体"/>
                <w:sz w:val="24"/>
                <w:u w:val="single"/>
              </w:rPr>
              <w:t>日上午9点00分（北京时间）</w:t>
            </w:r>
            <w:r>
              <w:rPr>
                <w:rFonts w:hint="eastAsia" w:ascii="宋体" w:hAnsi="宋体" w:cs="宋体"/>
                <w:sz w:val="24"/>
              </w:rPr>
              <w:t>前提交投标文件。</w:t>
            </w:r>
          </w:p>
        </w:tc>
      </w:tr>
    </w:tbl>
    <w:p>
      <w:pPr>
        <w:pStyle w:val="35"/>
        <w:spacing w:line="440" w:lineRule="exact"/>
        <w:ind w:left="0" w:firstLine="0"/>
        <w:rPr>
          <w:b/>
          <w:bCs/>
          <w:sz w:val="24"/>
          <w:lang w:eastAsia="zh-CN"/>
        </w:rPr>
      </w:pPr>
    </w:p>
    <w:p>
      <w:pPr>
        <w:pStyle w:val="35"/>
        <w:spacing w:line="440" w:lineRule="exact"/>
        <w:ind w:left="0" w:firstLine="0"/>
        <w:rPr>
          <w:b/>
          <w:bCs/>
          <w:sz w:val="24"/>
          <w:lang w:eastAsia="zh-CN"/>
        </w:rPr>
      </w:pPr>
      <w:r>
        <w:rPr>
          <w:rFonts w:hint="eastAsia"/>
          <w:b/>
          <w:bCs/>
          <w:sz w:val="24"/>
          <w:lang w:eastAsia="zh-CN"/>
        </w:rPr>
        <w:t>一、项目基本情况</w:t>
      </w:r>
    </w:p>
    <w:p>
      <w:pPr>
        <w:pStyle w:val="35"/>
        <w:spacing w:line="440" w:lineRule="exact"/>
        <w:ind w:left="0" w:firstLine="480" w:firstLineChars="200"/>
        <w:rPr>
          <w:sz w:val="24"/>
          <w:lang w:eastAsia="zh-CN"/>
        </w:rPr>
      </w:pPr>
      <w:r>
        <w:rPr>
          <w:rFonts w:hint="eastAsia"/>
          <w:sz w:val="24"/>
          <w:lang w:eastAsia="zh-CN"/>
        </w:rPr>
        <w:t>采购编号：博政采购〔2022〕43号</w:t>
      </w:r>
    </w:p>
    <w:p>
      <w:pPr>
        <w:pStyle w:val="35"/>
        <w:spacing w:line="440" w:lineRule="exact"/>
        <w:ind w:left="0" w:firstLine="480" w:firstLineChars="200"/>
        <w:rPr>
          <w:sz w:val="24"/>
          <w:lang w:eastAsia="zh-CN"/>
        </w:rPr>
      </w:pPr>
      <w:r>
        <w:rPr>
          <w:rFonts w:hint="eastAsia"/>
          <w:sz w:val="24"/>
          <w:lang w:eastAsia="zh-CN"/>
        </w:rPr>
        <w:t>项目名称：博爱县农村人居环境综合整治项目选取PPP咨询服务机构采购项目</w:t>
      </w:r>
    </w:p>
    <w:p>
      <w:pPr>
        <w:pStyle w:val="35"/>
        <w:spacing w:line="440" w:lineRule="exact"/>
        <w:ind w:left="0" w:firstLine="480" w:firstLineChars="200"/>
        <w:rPr>
          <w:sz w:val="24"/>
          <w:lang w:eastAsia="zh-CN"/>
        </w:rPr>
      </w:pPr>
      <w:r>
        <w:rPr>
          <w:rFonts w:hint="eastAsia"/>
          <w:sz w:val="24"/>
          <w:lang w:eastAsia="zh-CN"/>
        </w:rPr>
        <w:t>采购方式：公开招标</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预算金额：800000元。</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采购内容：选取一家专业的PPP咨询服务机构为博爱县农村人居环境综合整治项目PPP模式提供咨询服务（详见招标文件）。</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服务期：</w:t>
      </w:r>
      <w:r>
        <w:rPr>
          <w:rFonts w:hint="eastAsia" w:ascii="宋体" w:hAnsi="宋体" w:cs="宋体"/>
          <w:color w:val="auto"/>
          <w:kern w:val="0"/>
          <w:sz w:val="24"/>
        </w:rPr>
        <w:t>自签订咨询服务合同始，至项目落地采购人与社会资本方签署正式合同止</w:t>
      </w:r>
      <w:r>
        <w:rPr>
          <w:rFonts w:hint="eastAsia" w:ascii="宋体" w:hAnsi="宋体" w:cs="宋体"/>
          <w:kern w:val="0"/>
          <w:sz w:val="24"/>
        </w:rPr>
        <w:t>。</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质量标准：合格，符合国家、行业规范标准。</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3、本项目的特定资格要求：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3.1投标人须具有有效的营业执照，并具有实施完成本项目的经营实力和完善的售后服务体系；</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3.3本项目不接受联合体投标；</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3.4资格审查方式：资格后审。</w:t>
      </w:r>
    </w:p>
    <w:p>
      <w:pPr>
        <w:widowControl/>
        <w:spacing w:line="440" w:lineRule="exact"/>
        <w:jc w:val="left"/>
        <w:rPr>
          <w:rFonts w:ascii="宋体" w:hAnsi="宋体" w:cs="宋体"/>
          <w:b/>
          <w:bCs/>
          <w:kern w:val="0"/>
          <w:sz w:val="24"/>
        </w:rPr>
      </w:pPr>
      <w:r>
        <w:rPr>
          <w:rFonts w:hint="eastAsia" w:ascii="宋体" w:hAnsi="宋体" w:cs="宋体"/>
          <w:b/>
          <w:bCs/>
          <w:kern w:val="0"/>
          <w:sz w:val="24"/>
        </w:rPr>
        <w:t>三、获取采购文件</w:t>
      </w:r>
    </w:p>
    <w:p>
      <w:pPr>
        <w:pStyle w:val="22"/>
        <w:shd w:val="clear" w:color="auto" w:fill="FFFFFF"/>
        <w:autoSpaceDE w:val="0"/>
        <w:spacing w:before="0" w:beforeAutospacing="0" w:after="0" w:afterAutospacing="0" w:line="440" w:lineRule="atLeast"/>
        <w:ind w:firstLine="480" w:firstLineChars="200"/>
      </w:pPr>
      <w:r>
        <w:rPr>
          <w:rFonts w:hint="eastAsia"/>
        </w:rPr>
        <w:t>1.时间：</w:t>
      </w:r>
      <w:r>
        <w:rPr>
          <w:rFonts w:hint="eastAsia"/>
          <w:u w:val="single"/>
        </w:rPr>
        <w:t>2022年</w:t>
      </w:r>
      <w:r>
        <w:rPr>
          <w:rFonts w:hint="eastAsia"/>
          <w:u w:val="single"/>
          <w:lang w:val="en-US" w:eastAsia="zh-CN"/>
        </w:rPr>
        <w:t>6</w:t>
      </w:r>
      <w:r>
        <w:rPr>
          <w:rFonts w:hint="eastAsia"/>
          <w:u w:val="single"/>
        </w:rPr>
        <w:t>月</w:t>
      </w:r>
      <w:r>
        <w:rPr>
          <w:rFonts w:hint="eastAsia"/>
          <w:u w:val="single"/>
          <w:lang w:val="en-US" w:eastAsia="zh-CN"/>
        </w:rPr>
        <w:t>9</w:t>
      </w:r>
      <w:r>
        <w:rPr>
          <w:rFonts w:hint="eastAsia"/>
          <w:u w:val="single"/>
        </w:rPr>
        <w:t>日至2022年</w:t>
      </w:r>
      <w:r>
        <w:rPr>
          <w:rFonts w:hint="eastAsia"/>
          <w:u w:val="single"/>
          <w:lang w:val="en-US" w:eastAsia="zh-CN"/>
        </w:rPr>
        <w:t>6</w:t>
      </w:r>
      <w:r>
        <w:rPr>
          <w:rFonts w:hint="eastAsia"/>
          <w:u w:val="single"/>
        </w:rPr>
        <w:t>月</w:t>
      </w:r>
      <w:r>
        <w:rPr>
          <w:rFonts w:hint="eastAsia"/>
          <w:u w:val="single"/>
          <w:lang w:val="en-US" w:eastAsia="zh-CN"/>
        </w:rPr>
        <w:t>15</w:t>
      </w:r>
      <w:r>
        <w:rPr>
          <w:rFonts w:hint="eastAsia"/>
          <w:u w:val="single"/>
        </w:rPr>
        <w:t>日（北</w:t>
      </w:r>
      <w:r>
        <w:rPr>
          <w:rFonts w:hint="eastAsia"/>
        </w:rPr>
        <w:t>京时间）；</w:t>
      </w:r>
      <w:r>
        <w:rPr>
          <w:rFonts w:hint="eastAsia"/>
        </w:rPr>
        <w:br w:type="textWrapping"/>
      </w:r>
      <w:r>
        <w:rPr>
          <w:rFonts w:hint="eastAsia"/>
        </w:rPr>
        <w:t>  2.地点：</w:t>
      </w:r>
      <w:r>
        <w:rPr>
          <w:rFonts w:hint="eastAsia"/>
          <w:shd w:val="clear" w:color="auto" w:fill="FFFFFF"/>
        </w:rPr>
        <w:t>凡有意参加投标者，请登陆焦作市公共资源交易中心网站会员系统进行网上下载。（联系电话：0391-3568920，QQ：232850725、361532918（群）；</w:t>
      </w:r>
    </w:p>
    <w:p>
      <w:pPr>
        <w:pStyle w:val="22"/>
        <w:shd w:val="clear" w:color="auto" w:fill="FFFFFF"/>
        <w:autoSpaceDE w:val="0"/>
        <w:spacing w:before="0" w:beforeAutospacing="0" w:after="0" w:afterAutospacing="0" w:line="440" w:lineRule="atLeast"/>
      </w:pPr>
      <w:r>
        <w:rPr>
          <w:rFonts w:hint="eastAsia"/>
        </w:rPr>
        <w:t>  3.方式：网上下载；</w:t>
      </w:r>
    </w:p>
    <w:p>
      <w:pPr>
        <w:adjustRightInd w:val="0"/>
        <w:snapToGrid w:val="0"/>
        <w:spacing w:line="440" w:lineRule="exact"/>
        <w:rPr>
          <w:rFonts w:ascii="宋体" w:hAnsi="宋体" w:cs="宋体"/>
          <w:b/>
          <w:kern w:val="0"/>
          <w:sz w:val="24"/>
        </w:rPr>
      </w:pPr>
      <w:r>
        <w:rPr>
          <w:rFonts w:hint="eastAsia" w:ascii="宋体" w:hAnsi="宋体" w:cs="宋体"/>
          <w:b/>
          <w:kern w:val="0"/>
          <w:sz w:val="24"/>
        </w:rPr>
        <w:t>四、投标文件提交</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1.截止时间：</w:t>
      </w:r>
      <w:r>
        <w:rPr>
          <w:rFonts w:hint="eastAsia" w:ascii="宋体" w:hAnsi="宋体" w:cs="宋体"/>
          <w:kern w:val="0"/>
          <w:sz w:val="24"/>
          <w:u w:val="single"/>
        </w:rPr>
        <w:t>2022年</w:t>
      </w:r>
      <w:r>
        <w:rPr>
          <w:rFonts w:hint="eastAsia" w:ascii="宋体" w:hAnsi="宋体" w:cs="宋体"/>
          <w:kern w:val="0"/>
          <w:sz w:val="24"/>
          <w:u w:val="single"/>
          <w:lang w:val="en-US" w:eastAsia="zh-CN"/>
        </w:rPr>
        <w:t>6</w:t>
      </w:r>
      <w:r>
        <w:rPr>
          <w:rFonts w:hint="eastAsia" w:ascii="宋体" w:hAnsi="宋体" w:cs="宋体"/>
          <w:kern w:val="0"/>
          <w:sz w:val="24"/>
          <w:u w:val="single"/>
        </w:rPr>
        <w:t>月</w:t>
      </w:r>
      <w:r>
        <w:rPr>
          <w:rFonts w:hint="eastAsia" w:ascii="宋体" w:hAnsi="宋体" w:cs="宋体"/>
          <w:kern w:val="0"/>
          <w:sz w:val="24"/>
          <w:u w:val="single"/>
          <w:lang w:val="en-US" w:eastAsia="zh-CN"/>
        </w:rPr>
        <w:t>30</w:t>
      </w:r>
      <w:r>
        <w:rPr>
          <w:rFonts w:hint="eastAsia" w:ascii="宋体" w:hAnsi="宋体" w:cs="宋体"/>
          <w:kern w:val="0"/>
          <w:sz w:val="24"/>
          <w:u w:val="single"/>
        </w:rPr>
        <w:t>日上午</w:t>
      </w:r>
      <w:r>
        <w:rPr>
          <w:rFonts w:hint="eastAsia" w:ascii="宋体" w:hAnsi="宋体" w:cs="宋体"/>
          <w:kern w:val="0"/>
          <w:sz w:val="24"/>
          <w:u w:val="single"/>
          <w:lang w:val="en-US" w:eastAsia="zh-CN"/>
        </w:rPr>
        <w:t>09</w:t>
      </w:r>
      <w:r>
        <w:rPr>
          <w:rFonts w:hint="eastAsia" w:ascii="宋体" w:hAnsi="宋体" w:cs="宋体"/>
          <w:kern w:val="0"/>
          <w:sz w:val="24"/>
          <w:u w:val="single"/>
        </w:rPr>
        <w:t>点</w:t>
      </w:r>
      <w:r>
        <w:rPr>
          <w:rFonts w:hint="eastAsia" w:ascii="宋体" w:hAnsi="宋体" w:cs="宋体"/>
          <w:kern w:val="0"/>
          <w:sz w:val="24"/>
          <w:u w:val="single"/>
          <w:lang w:val="en-US" w:eastAsia="zh-CN"/>
        </w:rPr>
        <w:t>00</w:t>
      </w:r>
      <w:r>
        <w:rPr>
          <w:rFonts w:hint="eastAsia" w:ascii="宋体" w:hAnsi="宋体" w:cs="宋体"/>
          <w:kern w:val="0"/>
          <w:sz w:val="24"/>
          <w:u w:val="single"/>
        </w:rPr>
        <w:t>分（北京时间）；</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kern w:val="0"/>
          <w:sz w:val="24"/>
        </w:rPr>
      </w:pPr>
      <w:r>
        <w:rPr>
          <w:rFonts w:hint="eastAsia" w:ascii="宋体" w:hAnsi="宋体" w:cs="宋体"/>
          <w:b/>
          <w:kern w:val="0"/>
          <w:sz w:val="24"/>
        </w:rPr>
        <w:t>五、开启</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1.时间：</w:t>
      </w:r>
      <w:r>
        <w:rPr>
          <w:rFonts w:hint="eastAsia" w:ascii="宋体" w:hAnsi="宋体" w:cs="宋体"/>
          <w:kern w:val="0"/>
          <w:sz w:val="24"/>
          <w:u w:val="single"/>
        </w:rPr>
        <w:t>2022年</w:t>
      </w:r>
      <w:r>
        <w:rPr>
          <w:rFonts w:hint="eastAsia" w:ascii="宋体" w:hAnsi="宋体" w:cs="宋体"/>
          <w:kern w:val="0"/>
          <w:sz w:val="24"/>
          <w:u w:val="single"/>
          <w:lang w:val="en-US" w:eastAsia="zh-CN"/>
        </w:rPr>
        <w:t>6</w:t>
      </w:r>
      <w:r>
        <w:rPr>
          <w:rFonts w:hint="eastAsia" w:ascii="宋体" w:hAnsi="宋体" w:cs="宋体"/>
          <w:kern w:val="0"/>
          <w:sz w:val="24"/>
          <w:u w:val="single"/>
        </w:rPr>
        <w:t>月</w:t>
      </w:r>
      <w:r>
        <w:rPr>
          <w:rFonts w:hint="eastAsia" w:ascii="宋体" w:hAnsi="宋体" w:cs="宋体"/>
          <w:kern w:val="0"/>
          <w:sz w:val="24"/>
          <w:u w:val="single"/>
          <w:lang w:val="en-US" w:eastAsia="zh-CN"/>
        </w:rPr>
        <w:t>30</w:t>
      </w:r>
      <w:r>
        <w:rPr>
          <w:rFonts w:hint="eastAsia" w:ascii="宋体" w:hAnsi="宋体" w:cs="宋体"/>
          <w:kern w:val="0"/>
          <w:sz w:val="24"/>
          <w:u w:val="single"/>
        </w:rPr>
        <w:t>日上午</w:t>
      </w:r>
      <w:r>
        <w:rPr>
          <w:rFonts w:hint="eastAsia" w:ascii="宋体" w:hAnsi="宋体" w:cs="宋体"/>
          <w:kern w:val="0"/>
          <w:sz w:val="24"/>
          <w:u w:val="single"/>
          <w:lang w:val="en-US" w:eastAsia="zh-CN"/>
        </w:rPr>
        <w:t>09</w:t>
      </w:r>
      <w:r>
        <w:rPr>
          <w:rFonts w:hint="eastAsia" w:ascii="宋体" w:hAnsi="宋体" w:cs="宋体"/>
          <w:kern w:val="0"/>
          <w:sz w:val="24"/>
          <w:u w:val="single"/>
        </w:rPr>
        <w:t>点</w:t>
      </w:r>
      <w:r>
        <w:rPr>
          <w:rFonts w:hint="eastAsia" w:ascii="宋体" w:hAnsi="宋体" w:cs="宋体"/>
          <w:kern w:val="0"/>
          <w:sz w:val="24"/>
          <w:u w:val="single"/>
          <w:lang w:val="en-US" w:eastAsia="zh-CN"/>
        </w:rPr>
        <w:t>00</w:t>
      </w:r>
      <w:r>
        <w:rPr>
          <w:rFonts w:hint="eastAsia" w:ascii="宋体" w:hAnsi="宋体" w:cs="宋体"/>
          <w:kern w:val="0"/>
          <w:sz w:val="24"/>
          <w:u w:val="single"/>
        </w:rPr>
        <w:t>分（北京时间</w:t>
      </w:r>
      <w:r>
        <w:rPr>
          <w:rFonts w:hint="eastAsia" w:ascii="宋体" w:hAnsi="宋体" w:cs="宋体"/>
          <w:kern w:val="0"/>
          <w:sz w:val="24"/>
        </w:rPr>
        <w:t>）；</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bCs/>
          <w:sz w:val="24"/>
        </w:rPr>
      </w:pPr>
      <w:r>
        <w:rPr>
          <w:rFonts w:hint="eastAsia" w:ascii="宋体" w:hAnsi="宋体" w:cs="宋体"/>
          <w:b/>
          <w:bCs/>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自本公告发布之</w:t>
      </w:r>
      <w:r>
        <w:rPr>
          <w:rFonts w:hint="eastAsia" w:ascii="宋体" w:hAnsi="宋体" w:cs="宋体"/>
          <w:kern w:val="0"/>
          <w:sz w:val="24"/>
        </w:rPr>
        <w:t>日起5个工作日。</w:t>
      </w:r>
    </w:p>
    <w:p>
      <w:pPr>
        <w:pStyle w:val="22"/>
        <w:numPr>
          <w:ilvl w:val="0"/>
          <w:numId w:val="4"/>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22"/>
        <w:shd w:val="clear" w:color="auto" w:fill="FFFFFF"/>
        <w:autoSpaceDE w:val="0"/>
        <w:spacing w:before="0" w:beforeAutospacing="0" w:after="0" w:afterAutospacing="0" w:line="440" w:lineRule="exact"/>
        <w:ind w:firstLine="480" w:firstLineChars="200"/>
        <w:rPr>
          <w:shd w:val="clear" w:color="auto" w:fill="FFFFFF"/>
        </w:rPr>
      </w:pPr>
      <w:r>
        <w:rPr>
          <w:rFonts w:hint="eastAsia"/>
          <w:shd w:val="clear" w:color="auto" w:fill="FFFFFF"/>
        </w:rPr>
        <w:t>1.本次本公告在</w:t>
      </w:r>
      <w:r>
        <w:rPr>
          <w:rFonts w:hint="eastAsia"/>
          <w:bCs/>
        </w:rPr>
        <w:t>中国招标投标公共服务平台、</w:t>
      </w:r>
      <w:r>
        <w:rPr>
          <w:rFonts w:hint="eastAsia"/>
          <w:shd w:val="clear" w:color="auto" w:fill="FFFFFF"/>
        </w:rPr>
        <w:t>河南省政府采购网、焦作市政府采购网、焦作市公共资源交易中心网、博爱县人民政府网、博爱县公共资源交易中心网http://www.baxggzyjyzx.cn/上发布。</w:t>
      </w:r>
    </w:p>
    <w:p>
      <w:pPr>
        <w:pStyle w:val="22"/>
        <w:spacing w:beforeAutospacing="0" w:afterAutospacing="0" w:line="440" w:lineRule="exact"/>
        <w:ind w:firstLine="468" w:firstLineChars="195"/>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22"/>
        <w:spacing w:beforeAutospacing="0" w:afterAutospacing="0" w:line="440" w:lineRule="exact"/>
        <w:ind w:firstLine="468" w:firstLineChars="195"/>
        <w:jc w:val="both"/>
      </w:pPr>
      <w:r>
        <w:rPr>
          <w:rFonts w:hint="eastAsia"/>
        </w:rPr>
        <w:t>（http://122.112.246.33/BidOpening/bidopeninghallaction/hall/login ），按要求解密投标文件。因文件未及时上传导致投标失败的责任由投标人自行承担，具体要求详见招标文件。 平台统一技术服务电话：400-998-0000，服务 QQ：4008503300，服务时间：周一至周日 8：00-17：30。</w:t>
      </w:r>
    </w:p>
    <w:p>
      <w:pPr>
        <w:pStyle w:val="22"/>
        <w:spacing w:beforeAutospacing="0" w:afterAutospacing="0" w:line="440" w:lineRule="exact"/>
        <w:ind w:firstLine="468" w:firstLineChars="195"/>
        <w:jc w:val="both"/>
      </w:pPr>
      <w:r>
        <w:rPr>
          <w:rFonts w:hint="eastAsia"/>
        </w:rPr>
        <w:t>3.投标人无需到现场参加开标会议，无需到达现场提交原件资料。投标人应当在投标截止前，登录远程开标大厅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采购人：焦作市生态环境局博爱分局 </w:t>
      </w:r>
    </w:p>
    <w:p>
      <w:pPr>
        <w:adjustRightInd w:val="0"/>
        <w:snapToGrid w:val="0"/>
        <w:spacing w:line="440" w:lineRule="exact"/>
        <w:ind w:firstLine="480" w:firstLineChars="200"/>
        <w:rPr>
          <w:rFonts w:ascii="宋体" w:hAnsi="宋体" w:cs="宋体"/>
          <w:bCs/>
          <w:sz w:val="24"/>
        </w:rPr>
      </w:pPr>
      <w:r>
        <w:rPr>
          <w:rFonts w:hint="eastAsia" w:ascii="宋体" w:hAnsi="宋体" w:cs="宋体"/>
          <w:kern w:val="0"/>
          <w:sz w:val="24"/>
        </w:rPr>
        <w:t>地址：博爱县团结路中段</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联系人：葛先生</w:t>
      </w:r>
      <w:r>
        <w:rPr>
          <w:rFonts w:hint="eastAsia" w:ascii="宋体" w:hAnsi="宋体" w:cs="宋体"/>
          <w:bCs/>
          <w:sz w:val="24"/>
        </w:rPr>
        <w:t xml:space="preserve"> </w:t>
      </w:r>
    </w:p>
    <w:p>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电话：18839113113</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2.采购代理机构信息：</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 xml:space="preserve">名称：博爱县城市建设项目管理有限公司 </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地址：</w:t>
      </w:r>
      <w:r>
        <w:rPr>
          <w:rFonts w:hint="eastAsia" w:ascii="宋体" w:hAnsi="宋体" w:cs="宋体"/>
          <w:sz w:val="24"/>
          <w:shd w:val="clear" w:color="auto" w:fill="FFFFFF"/>
        </w:rPr>
        <w:t>博爱县发展大道188号机关办公楼东配楼806室</w:t>
      </w:r>
    </w:p>
    <w:p>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联系人：贾先生</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电话：15139166295</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3.项目联系方式</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项目联系人：</w:t>
      </w:r>
      <w:r>
        <w:rPr>
          <w:rFonts w:hint="eastAsia" w:ascii="宋体" w:hAnsi="宋体" w:cs="宋体"/>
          <w:kern w:val="0"/>
          <w:sz w:val="24"/>
        </w:rPr>
        <w:t>葛先生</w:t>
      </w:r>
      <w:r>
        <w:rPr>
          <w:rFonts w:hint="eastAsia" w:ascii="宋体" w:hAnsi="宋体" w:cs="宋体"/>
          <w:bCs/>
          <w:sz w:val="24"/>
        </w:rPr>
        <w:t xml:space="preserve"> </w:t>
      </w:r>
      <w:r>
        <w:rPr>
          <w:rFonts w:hint="eastAsia" w:ascii="宋体" w:hAnsi="宋体" w:cs="宋体"/>
          <w:sz w:val="24"/>
        </w:rPr>
        <w:t xml:space="preserve"> </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电话：</w:t>
      </w:r>
      <w:r>
        <w:rPr>
          <w:rFonts w:hint="eastAsia" w:ascii="宋体" w:hAnsi="宋体" w:cs="宋体"/>
          <w:kern w:val="0"/>
          <w:sz w:val="24"/>
        </w:rPr>
        <w:t>18839113113</w:t>
      </w: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shd w:val="clear" w:color="auto" w:fill="FFFFFF"/>
        </w:rPr>
      </w:pPr>
      <w:r>
        <w:rPr>
          <w:rFonts w:hint="eastAsia" w:ascii="宋体" w:hAnsi="宋体" w:cs="宋体"/>
          <w:sz w:val="24"/>
        </w:rPr>
        <w:t>采购人：</w:t>
      </w:r>
      <w:r>
        <w:rPr>
          <w:rFonts w:hint="eastAsia" w:ascii="宋体" w:hAnsi="宋体" w:cs="宋体"/>
          <w:sz w:val="24"/>
          <w:shd w:val="clear" w:color="auto" w:fill="FFFFFF"/>
        </w:rPr>
        <w:t>焦作市生态环境局博爱分局</w:t>
      </w:r>
    </w:p>
    <w:p>
      <w:pPr>
        <w:widowControl/>
        <w:spacing w:line="440" w:lineRule="exact"/>
        <w:ind w:firstLine="2880" w:firstLineChars="1200"/>
        <w:jc w:val="left"/>
        <w:rPr>
          <w:rFonts w:ascii="宋体" w:hAnsi="宋体" w:cs="宋体"/>
          <w:sz w:val="24"/>
          <w:shd w:val="clear" w:color="auto" w:fill="FFFFFF"/>
        </w:rPr>
      </w:pPr>
      <w:r>
        <w:rPr>
          <w:rFonts w:hint="eastAsia" w:ascii="宋体" w:hAnsi="宋体" w:cs="宋体"/>
          <w:sz w:val="24"/>
          <w:shd w:val="clear" w:color="auto" w:fill="FFFFFF"/>
        </w:rPr>
        <w:t>采购代理机构：博爱县城市建设项目管理有限公司</w:t>
      </w:r>
    </w:p>
    <w:p>
      <w:pPr>
        <w:widowControl/>
        <w:spacing w:line="440" w:lineRule="exact"/>
        <w:ind w:left="2940" w:firstLine="420"/>
      </w:pPr>
      <w:r>
        <w:rPr>
          <w:rFonts w:hint="eastAsia" w:ascii="宋体" w:hAnsi="宋体" w:cs="宋体"/>
          <w:sz w:val="24"/>
        </w:rPr>
        <w:t>发布时间：2022年</w:t>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8</w:t>
      </w:r>
      <w:r>
        <w:rPr>
          <w:rFonts w:hint="eastAsia" w:ascii="宋体" w:hAnsi="宋体" w:cs="宋体"/>
          <w:sz w:val="24"/>
        </w:rPr>
        <w:t>日</w:t>
      </w:r>
    </w:p>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p>
    <w:p>
      <w:pPr>
        <w:pStyle w:val="3"/>
        <w:rPr>
          <w:rFonts w:asciiTheme="minorEastAsia" w:hAnsiTheme="minorEastAsia" w:eastAsiaTheme="minorEastAsia" w:cstheme="minorEastAsia"/>
          <w:b/>
          <w:sz w:val="32"/>
          <w:szCs w:val="32"/>
        </w:rPr>
      </w:pPr>
    </w:p>
    <w:p>
      <w:pPr>
        <w:pStyle w:val="21"/>
        <w:rPr>
          <w:rFonts w:asciiTheme="minorEastAsia" w:hAnsiTheme="minorEastAsia" w:eastAsiaTheme="minorEastAsia" w:cstheme="minorEastAsia"/>
          <w:b/>
          <w:sz w:val="32"/>
          <w:szCs w:val="32"/>
        </w:rPr>
      </w:pPr>
    </w:p>
    <w:p>
      <w:pPr>
        <w:pStyle w:val="3"/>
        <w:rPr>
          <w:rFonts w:asciiTheme="minorEastAsia" w:hAnsiTheme="minorEastAsia" w:eastAsiaTheme="minorEastAsia" w:cstheme="minorEastAsia"/>
          <w:b/>
          <w:sz w:val="32"/>
          <w:szCs w:val="32"/>
        </w:rPr>
      </w:pPr>
    </w:p>
    <w:p>
      <w:pPr>
        <w:pStyle w:val="3"/>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p>
    <w:p>
      <w:pPr>
        <w:autoSpaceDE w:val="0"/>
        <w:autoSpaceDN w:val="0"/>
        <w:adjustRightInd w:val="0"/>
        <w:spacing w:line="360" w:lineRule="auto"/>
        <w:ind w:firstLine="3534" w:firstLineChars="1100"/>
        <w:outlineLvl w:val="0"/>
        <w:rPr>
          <w:rFonts w:asciiTheme="minorEastAsia" w:hAnsiTheme="minorEastAsia" w:eastAsiaTheme="minorEastAsia" w:cstheme="minorEastAsia"/>
          <w:b/>
          <w:sz w:val="32"/>
          <w:szCs w:val="32"/>
        </w:rPr>
      </w:pPr>
      <w:bookmarkStart w:id="3" w:name="_Toc24528"/>
      <w:r>
        <w:rPr>
          <w:rFonts w:hint="eastAsia" w:asciiTheme="minorEastAsia" w:hAnsiTheme="minorEastAsia" w:eastAsiaTheme="minorEastAsia" w:cstheme="minorEastAsia"/>
          <w:b/>
          <w:sz w:val="32"/>
          <w:szCs w:val="32"/>
        </w:rPr>
        <w:t>第二章  投标人须知</w:t>
      </w:r>
      <w:bookmarkEnd w:id="3"/>
    </w:p>
    <w:bookmarkEnd w:id="0"/>
    <w:p>
      <w:pPr>
        <w:pStyle w:val="23"/>
        <w:spacing w:before="0" w:after="0" w:line="360" w:lineRule="auto"/>
        <w:ind w:right="-23" w:rightChars="-11"/>
        <w:rPr>
          <w:rFonts w:asciiTheme="minorEastAsia" w:hAnsiTheme="minorEastAsia" w:eastAsiaTheme="minorEastAsia" w:cstheme="minorEastAsia"/>
          <w:sz w:val="30"/>
          <w:szCs w:val="30"/>
        </w:rPr>
      </w:pPr>
      <w:bookmarkStart w:id="4" w:name="_Toc15953"/>
      <w:bookmarkStart w:id="5" w:name="_Toc403122490"/>
      <w:bookmarkStart w:id="6" w:name="_Toc14655"/>
      <w:bookmarkStart w:id="7" w:name="_Toc9161"/>
      <w:bookmarkStart w:id="8" w:name="_Toc426369478"/>
      <w:bookmarkStart w:id="9" w:name="_Toc32497"/>
      <w:r>
        <w:rPr>
          <w:rFonts w:hint="eastAsia" w:asciiTheme="minorEastAsia" w:hAnsiTheme="minorEastAsia" w:eastAsiaTheme="minorEastAsia" w:cstheme="minorEastAsia"/>
          <w:sz w:val="30"/>
          <w:szCs w:val="30"/>
        </w:rPr>
        <w:t>投标人须知前附表</w:t>
      </w:r>
      <w:bookmarkEnd w:id="4"/>
      <w:bookmarkEnd w:id="5"/>
      <w:bookmarkEnd w:id="6"/>
      <w:bookmarkEnd w:id="7"/>
      <w:bookmarkEnd w:id="8"/>
      <w:bookmarkEnd w:id="9"/>
    </w:p>
    <w:tbl>
      <w:tblPr>
        <w:tblStyle w:val="25"/>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15"/>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15"/>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名称：焦作市生态环境局博爱分局</w:t>
            </w:r>
          </w:p>
          <w:p>
            <w:pPr>
              <w:pStyle w:val="15"/>
              <w:spacing w:line="360" w:lineRule="exact"/>
              <w:rPr>
                <w:rFonts w:hint="default" w:asciiTheme="minorEastAsia" w:hAnsiTheme="minorEastAsia" w:eastAsiaTheme="minorEastAsia" w:cstheme="minorEastAsia"/>
                <w:szCs w:val="24"/>
              </w:rPr>
            </w:pPr>
            <w:r>
              <w:rPr>
                <w:rFonts w:asciiTheme="minorEastAsia" w:hAnsiTheme="minorEastAsia" w:eastAsiaTheme="minorEastAsia" w:cstheme="minorEastAsia"/>
              </w:rPr>
              <w:t>联系</w:t>
            </w:r>
            <w:r>
              <w:rPr>
                <w:rFonts w:asciiTheme="minorEastAsia" w:hAnsiTheme="minorEastAsia" w:eastAsiaTheme="minorEastAsia" w:cstheme="minorEastAsia"/>
                <w:szCs w:val="24"/>
              </w:rPr>
              <w:t xml:space="preserve">人：葛先生  </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szCs w:val="24"/>
              </w:rPr>
              <w:t>电话：18839113113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15"/>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系人：贾先生      </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电话：15139166295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asciiTheme="minorEastAsia" w:hAnsiTheme="minorEastAsia" w:eastAsiaTheme="minorEastAsia" w:cstheme="minorEastAsia"/>
              </w:rPr>
            </w:pPr>
            <w:r>
              <w:rPr>
                <w:rFonts w:hint="eastAsia" w:asciiTheme="minorEastAsia" w:hAnsiTheme="minorEastAsia" w:eastAsiaTheme="minorEastAsia" w:cstheme="minorEastAsia"/>
                <w:bCs/>
                <w:iCs/>
                <w:szCs w:val="21"/>
              </w:rPr>
              <w:t>博爱县农村人居环境综合整治项目选取PPP咨询服务机构采购项目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pStyle w:val="15"/>
              <w:spacing w:line="360" w:lineRule="exact"/>
              <w:ind w:firstLine="630" w:firstLineChars="300"/>
              <w:rPr>
                <w:rFonts w:hint="default" w:asciiTheme="minorEastAsia" w:hAnsiTheme="minorEastAsia" w:eastAsiaTheme="minorEastAsia" w:cstheme="minorEastAsia"/>
              </w:rPr>
            </w:pPr>
            <w:r>
              <w:rPr>
                <w:rFonts w:asciiTheme="minorEastAsia" w:hAnsiTheme="minorEastAsia" w:eastAsiaTheme="minorEastAsia" w:cstheme="minorEastAsia"/>
              </w:rPr>
              <w:t>采购内容</w:t>
            </w:r>
          </w:p>
        </w:tc>
        <w:tc>
          <w:tcPr>
            <w:tcW w:w="6112" w:type="dxa"/>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选取一家专业的PPP咨询服务机构为博爱县农村人居环境综合整治项目PPP模式提供咨询服务。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15"/>
              <w:spacing w:line="360" w:lineRule="exact"/>
              <w:jc w:val="center"/>
              <w:rPr>
                <w:rFonts w:hint="default" w:hAnsi="宋体" w:cs="宋体"/>
                <w:kern w:val="0"/>
              </w:rPr>
            </w:pPr>
            <w:r>
              <w:rPr>
                <w:rFonts w:hAnsi="宋体" w:cs="宋体"/>
                <w:kern w:val="0"/>
              </w:rPr>
              <w:t>服务期</w:t>
            </w:r>
          </w:p>
        </w:tc>
        <w:tc>
          <w:tcPr>
            <w:tcW w:w="6112" w:type="dxa"/>
            <w:vAlign w:val="center"/>
          </w:tcPr>
          <w:p>
            <w:pPr>
              <w:adjustRightInd w:val="0"/>
              <w:snapToGrid w:val="0"/>
              <w:spacing w:line="560" w:lineRule="exact"/>
              <w:rPr>
                <w:rFonts w:ascii="宋体" w:hAnsi="宋体" w:cs="宋体"/>
                <w:color w:val="auto"/>
                <w:kern w:val="0"/>
                <w:szCs w:val="21"/>
              </w:rPr>
            </w:pPr>
            <w:r>
              <w:rPr>
                <w:rFonts w:hint="eastAsia" w:ascii="宋体" w:hAnsi="宋体" w:cs="宋体"/>
                <w:color w:val="auto"/>
                <w:kern w:val="0"/>
                <w:szCs w:val="21"/>
              </w:rPr>
              <w:t>自签订咨询服务合同始，至项目落地采购人与社会资本方签署正式合同止。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15"/>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ascii="宋体" w:hAnsi="宋体" w:cs="宋体"/>
                <w:kern w:val="0"/>
                <w:szCs w:val="21"/>
              </w:rPr>
              <w:t>合格，符合国家、行业规范标准。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投标人资质条件</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1、符合《中华人民共和国政府采购法》第二十二条之规定；</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3、本项目的特定资格要求：</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3.1投标人须具有有效的营业执照，并具有实施完成本项目的经营实力和完善的售后服务体系；</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 </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3.3本项目不接受联合体投标；</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投标人提出问题的</w:t>
            </w:r>
          </w:p>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投标人要求澄清招标文件的截止时间</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15"/>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rPr>
              <w:t>投标截止时间</w:t>
            </w:r>
          </w:p>
        </w:tc>
        <w:tc>
          <w:tcPr>
            <w:tcW w:w="6112" w:type="dxa"/>
            <w:vAlign w:val="center"/>
          </w:tcPr>
          <w:p>
            <w:pPr>
              <w:spacing w:line="360" w:lineRule="exact"/>
              <w:jc w:val="left"/>
              <w:rPr>
                <w:rFonts w:asciiTheme="minorEastAsia" w:hAnsiTheme="minorEastAsia" w:eastAsiaTheme="minorEastAsia" w:cstheme="minorEastAsia"/>
                <w:b/>
                <w:bCs/>
                <w:color w:val="auto"/>
              </w:rPr>
            </w:pPr>
            <w:r>
              <w:rPr>
                <w:rFonts w:hint="eastAsia" w:asciiTheme="minorEastAsia" w:hAnsiTheme="minorEastAsia" w:eastAsiaTheme="minorEastAsia" w:cstheme="minorEastAsia"/>
                <w:color w:val="auto"/>
                <w:szCs w:val="21"/>
              </w:rPr>
              <w:t>2022年</w:t>
            </w:r>
            <w:r>
              <w:rPr>
                <w:rFonts w:hint="eastAsia" w:asciiTheme="minorEastAsia" w:hAnsiTheme="minorEastAsia" w:eastAsiaTheme="minorEastAsia" w:cstheme="minorEastAsia"/>
                <w:color w:val="auto"/>
                <w:szCs w:val="21"/>
                <w:lang w:val="en-US" w:eastAsia="zh-CN"/>
              </w:rPr>
              <w:t>6</w:t>
            </w:r>
            <w:r>
              <w:rPr>
                <w:rFonts w:hint="eastAsia" w:asciiTheme="minorEastAsia" w:hAnsiTheme="minorEastAsia" w:eastAsiaTheme="minorEastAsia" w:cstheme="minorEastAsia"/>
                <w:color w:val="auto"/>
                <w:szCs w:val="21"/>
              </w:rPr>
              <w:t>月</w:t>
            </w:r>
            <w:r>
              <w:rPr>
                <w:rFonts w:hint="eastAsia" w:asciiTheme="minorEastAsia" w:hAnsiTheme="minorEastAsia" w:eastAsiaTheme="minorEastAsia" w:cstheme="minorEastAsia"/>
                <w:color w:val="auto"/>
                <w:szCs w:val="21"/>
                <w:lang w:val="en-US" w:eastAsia="zh-CN"/>
              </w:rPr>
              <w:t>30</w:t>
            </w:r>
            <w:r>
              <w:rPr>
                <w:rFonts w:hint="eastAsia" w:asciiTheme="minorEastAsia" w:hAnsiTheme="minorEastAsia" w:eastAsiaTheme="minorEastAsia" w:cstheme="minorEastAsia"/>
                <w:color w:val="auto"/>
                <w:szCs w:val="21"/>
              </w:rPr>
              <w:t>日上午</w:t>
            </w:r>
            <w:r>
              <w:rPr>
                <w:rFonts w:hint="eastAsia" w:asciiTheme="minorEastAsia" w:hAnsiTheme="minorEastAsia" w:eastAsiaTheme="minorEastAsia" w:cstheme="minorEastAsia"/>
                <w:color w:val="auto"/>
                <w:szCs w:val="21"/>
                <w:lang w:val="en-US" w:eastAsia="zh-CN"/>
              </w:rPr>
              <w:t>09</w:t>
            </w:r>
            <w:r>
              <w:rPr>
                <w:rFonts w:hint="eastAsia" w:asciiTheme="minorEastAsia" w:hAnsiTheme="minorEastAsia" w:eastAsiaTheme="minorEastAsia" w:cstheme="minorEastAsia"/>
                <w:color w:val="auto"/>
                <w:szCs w:val="21"/>
              </w:rPr>
              <w:t>点</w:t>
            </w:r>
            <w:r>
              <w:rPr>
                <w:rFonts w:hint="eastAsia" w:asciiTheme="minorEastAsia" w:hAnsiTheme="minorEastAsia" w:eastAsiaTheme="minorEastAsia" w:cstheme="minorEastAsia"/>
                <w:color w:val="auto"/>
                <w:szCs w:val="21"/>
                <w:lang w:val="en-US" w:eastAsia="zh-CN"/>
              </w:rPr>
              <w:t>00</w:t>
            </w:r>
            <w:r>
              <w:rPr>
                <w:rFonts w:hint="eastAsia" w:asciiTheme="minorEastAsia" w:hAnsiTheme="minorEastAsia" w:eastAsiaTheme="minorEastAsia" w:cstheme="minorEastAsia"/>
                <w:color w:val="auto"/>
                <w:szCs w:val="21"/>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投标人确认收到招标文件澄清的时间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投标人确认收到招标文件修改的时间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spacing w:line="360" w:lineRule="exact"/>
              <w:jc w:val="left"/>
              <w:rPr>
                <w:rFonts w:ascii="宋体" w:hAnsi="宋体" w:cs="宋体"/>
                <w:b/>
                <w:bCs/>
                <w:szCs w:val="21"/>
              </w:rPr>
            </w:pPr>
            <w:r>
              <w:rPr>
                <w:rFonts w:hint="eastAsia" w:ascii="宋体" w:hAnsi="宋体" w:cs="宋体"/>
                <w:b/>
                <w:bCs/>
                <w:szCs w:val="21"/>
              </w:rPr>
              <w:t>（1）所有要求投标人加盖公章的地方都须加盖投标人单位的 CA 印章。</w:t>
            </w:r>
          </w:p>
          <w:p>
            <w:pPr>
              <w:pStyle w:val="15"/>
              <w:spacing w:line="360" w:lineRule="exact"/>
              <w:rPr>
                <w:rFonts w:hint="default" w:asciiTheme="minorEastAsia" w:hAnsiTheme="minorEastAsia" w:eastAsiaTheme="minorEastAsia" w:cstheme="minorEastAsia"/>
              </w:rPr>
            </w:pPr>
            <w:r>
              <w:rPr>
                <w:rFonts w:hAnsi="宋体" w:cs="宋体"/>
                <w:b/>
                <w:bCs/>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15"/>
              <w:spacing w:line="360" w:lineRule="exact"/>
              <w:rPr>
                <w:rFonts w:hint="default" w:asciiTheme="minorEastAsia" w:hAnsiTheme="minorEastAsia" w:cstheme="minorEastAsia"/>
              </w:rPr>
            </w:pPr>
            <w:r>
              <w:rPr>
                <w:b/>
                <w:bCs/>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15"/>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15"/>
              <w:spacing w:line="400" w:lineRule="exact"/>
              <w:rPr>
                <w:rFonts w:hint="default" w:hAnsi="宋体"/>
              </w:rPr>
            </w:pPr>
            <w:r>
              <w:rPr>
                <w:rFonts w:hAnsi="宋体"/>
              </w:rPr>
              <w:t>（1）电子投标文件的递交</w:t>
            </w:r>
          </w:p>
          <w:p>
            <w:pPr>
              <w:pStyle w:val="15"/>
              <w:spacing w:line="400" w:lineRule="exact"/>
              <w:rPr>
                <w:rFonts w:hint="default" w:hAnsi="宋体"/>
              </w:rPr>
            </w:pPr>
            <w:r>
              <w:rPr>
                <w:rFonts w:hAnsi="宋体"/>
              </w:rPr>
              <w:t>a、各投标人应在投标截止时间前上传加密的电子投标文件</w:t>
            </w:r>
          </w:p>
          <w:p>
            <w:pPr>
              <w:pStyle w:val="15"/>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15"/>
              <w:spacing w:line="400" w:lineRule="exact"/>
              <w:rPr>
                <w:rFonts w:hint="default" w:hAnsi="宋体"/>
              </w:rPr>
            </w:pPr>
            <w:r>
              <w:rPr>
                <w:rFonts w:hAnsi="宋体"/>
              </w:rPr>
              <w:t>b、如系统故故障需上传非加密文件时，投标人应按照采购人指示将非加密文件递交给采购人。</w:t>
            </w:r>
          </w:p>
          <w:p>
            <w:pPr>
              <w:pStyle w:val="15"/>
              <w:spacing w:line="360" w:lineRule="exact"/>
              <w:rPr>
                <w:rFonts w:hint="default"/>
              </w:rPr>
            </w:pPr>
            <w:r>
              <w:rPr>
                <w:rFonts w:hAnsi="宋体"/>
              </w:rPr>
              <w:t>C、投标人因交易中心投标系统无法上传电子投标文件时， 请在工作时间与博爱县公共资源交易中心联系，联系电话：0391-8623196。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112" w:type="dxa"/>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1、本项目预算金额为：800000元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2、控制价是采购人设置的最高限价，投标人的投标报价高于控制价的视为无效报价，其投标予以拒绝；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1、对小型或微型企业投标的扶持：(如有）</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1.1投标投标人为小型或微型企业时，报价给予C1的价格扣除（C1的取值为</w:t>
            </w:r>
            <w:bookmarkStart w:id="354" w:name="_GoBack"/>
            <w:bookmarkEnd w:id="354"/>
            <w:r>
              <w:rPr>
                <w:rFonts w:hint="eastAsia" w:ascii="宋体" w:hAnsi="宋体" w:cs="宋体"/>
                <w:kern w:val="0"/>
                <w:szCs w:val="21"/>
                <w:lang w:val="en-US" w:eastAsia="zh-CN"/>
              </w:rPr>
              <w:t>10</w:t>
            </w:r>
            <w:r>
              <w:rPr>
                <w:rFonts w:hint="eastAsia" w:ascii="宋体" w:hAnsi="宋体" w:cs="宋体"/>
                <w:kern w:val="0"/>
                <w:szCs w:val="21"/>
              </w:rPr>
              <w:t>%），即：评标价＝投标报价（最后报价）×(1－C1）；</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小微企业应当列明本项目中所投的“小型和微型企业产品的清单”并提供《中小企业声明函》（见格式）。</w:t>
            </w:r>
            <w:r>
              <w:rPr>
                <w:rFonts w:hint="eastAsia" w:ascii="宋体" w:hAnsi="宋体" w:cs="宋体"/>
                <w:kern w:val="0"/>
                <w:szCs w:val="21"/>
              </w:rPr>
              <w:br w:type="textWrapping"/>
            </w:r>
            <w:r>
              <w:rPr>
                <w:rFonts w:hint="eastAsia" w:ascii="宋体" w:hAnsi="宋体" w:cs="宋体"/>
                <w:kern w:val="0"/>
                <w:szCs w:val="21"/>
              </w:rPr>
              <w:t>1.2按照</w:t>
            </w:r>
            <w:r>
              <w:rPr>
                <w:rFonts w:hint="eastAsia" w:ascii="宋体" w:hAnsi="宋体" w:cs="宋体"/>
                <w:kern w:val="0"/>
                <w:sz w:val="24"/>
                <w:szCs w:val="22"/>
              </w:rPr>
              <w:t>《</w:t>
            </w:r>
            <w:r>
              <w:rPr>
                <w:rFonts w:hint="eastAsia" w:ascii="宋体" w:hAnsi="宋体" w:cs="宋体"/>
                <w:kern w:val="0"/>
                <w:szCs w:val="21"/>
              </w:rPr>
              <w:t>政府采购促进中小企业发展管理办法》有关规定，中小企业的标准为：</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1.2.3小型、微型企业提供有中型企业制造的货物的，视同为中型企业；小型、微型、中型企业提供有大型企业制造的货物的，视同为大型企业。</w:t>
            </w:r>
          </w:p>
          <w:p>
            <w:pPr>
              <w:spacing w:line="440" w:lineRule="exact"/>
              <w:rPr>
                <w:rFonts w:ascii="宋体" w:hAnsi="宋体" w:cs="宋体"/>
                <w:bCs/>
              </w:rPr>
            </w:pPr>
            <w:r>
              <w:rPr>
                <w:rFonts w:hint="eastAsia" w:ascii="宋体" w:hAnsi="宋体" w:cs="宋体"/>
                <w:bCs/>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w:t>
            </w:r>
            <w:r>
              <w:rPr>
                <w:rFonts w:hint="eastAsia" w:ascii="宋体" w:hAnsi="宋体" w:cs="宋体"/>
                <w:bCs/>
                <w:lang w:val="en-US" w:eastAsia="zh-CN"/>
              </w:rPr>
              <w:t>10</w:t>
            </w:r>
            <w:r>
              <w:rPr>
                <w:rFonts w:hint="eastAsia" w:ascii="宋体" w:hAnsi="宋体" w:cs="宋体"/>
                <w:bCs/>
              </w:rPr>
              <w:t>%的扣除。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360" w:lineRule="exact"/>
              <w:jc w:val="center"/>
              <w:rPr>
                <w:rFonts w:asciiTheme="minorEastAsia" w:hAnsiTheme="minorEastAsia" w:eastAsiaTheme="minorEastAsia" w:cstheme="minorEastAsia"/>
                <w:b/>
                <w:bCs/>
                <w:szCs w:val="21"/>
                <w:highlight w:val="red"/>
              </w:rPr>
            </w:pPr>
            <w:r>
              <w:rPr>
                <w:rFonts w:hint="eastAsia" w:asciiTheme="minorEastAsia" w:hAnsiTheme="minorEastAsia" w:eastAsiaTheme="minorEastAsia" w:cstheme="minorEastAsia"/>
                <w:szCs w:val="21"/>
              </w:rPr>
              <w:t>付款方式</w:t>
            </w:r>
          </w:p>
        </w:tc>
        <w:tc>
          <w:tcPr>
            <w:tcW w:w="6112" w:type="dxa"/>
            <w:vAlign w:val="center"/>
          </w:tcPr>
          <w:p>
            <w:pPr>
              <w:pStyle w:val="36"/>
              <w:snapToGrid w:val="0"/>
              <w:spacing w:line="560" w:lineRule="exact"/>
              <w:rPr>
                <w:rFonts w:hint="default" w:asciiTheme="minorEastAsia" w:hAnsiTheme="minorEastAsia" w:cstheme="minorEastAsia"/>
                <w:b/>
                <w:bCs/>
                <w:color w:val="auto"/>
                <w:szCs w:val="21"/>
                <w:highlight w:val="red"/>
              </w:rPr>
            </w:pPr>
            <w:r>
              <w:rPr>
                <w:rFonts w:hAnsi="宋体" w:cs="宋体"/>
                <w:bCs/>
                <w:color w:val="auto"/>
                <w:kern w:val="2"/>
                <w:sz w:val="21"/>
              </w:rPr>
              <w:t>完成“两评一案”编制及相关批复后付合同价80%，协助采购人完成采购工作，采购人完成签订PPP合同后支付合同价的20%。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rPr>
                <w:rFonts w:ascii="宋体" w:hAnsi="宋体" w:cs="宋体"/>
                <w:bCs/>
              </w:rPr>
            </w:pPr>
            <w:r>
              <w:rPr>
                <w:rFonts w:hint="eastAsia" w:ascii="宋体" w:hAnsi="宋体" w:cs="宋体"/>
                <w:bCs/>
              </w:rPr>
              <w:t>1、招标代理服务费依据国家发展改革委发改价格[2015]299号文件的规定收取，由中标人支付。招标代理费由招标代理机构通知中标企业结清后，领取中标通知书。</w:t>
            </w:r>
          </w:p>
          <w:p>
            <w:pPr>
              <w:pStyle w:val="37"/>
            </w:pPr>
            <w:r>
              <w:rPr>
                <w:rFonts w:hint="eastAsia" w:ascii="宋体" w:hAnsi="宋体" w:cs="宋体"/>
                <w:bCs/>
                <w:kern w:val="2"/>
              </w:rPr>
              <w:t>2、中标人在领取中标通知书时，将投标文件纸质版打印装订（投标文件正本壹份和副本肆份，每册应采用左侧粘贴方式，不得采用活页装订）递交采购人。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112" w:type="dxa"/>
            <w:vAlign w:val="center"/>
          </w:tcPr>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1、未按招标文件明示的规定签字盖章的；</w:t>
            </w:r>
          </w:p>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2、投标文件的关键内容（服务期、质量标准等）未填写或填写字迹模糊、达不到采购要求的；</w:t>
            </w:r>
          </w:p>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3、投标报价超出招标控制价的；</w:t>
            </w:r>
          </w:p>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4、投标人递交两份或多份内容不同的投标文件，或在一份投标文件中对同一招标项目有两个或多个报价，且未声明哪一个有效的；</w:t>
            </w:r>
          </w:p>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5、相关资格证明文件不合格的；</w:t>
            </w:r>
          </w:p>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6、未按要求在报价明细表中标明品牌、型号及技术参数的。</w:t>
            </w:r>
          </w:p>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7、附有采购人不能接受的条件的；</w:t>
            </w:r>
          </w:p>
          <w:p>
            <w:pPr>
              <w:pStyle w:val="24"/>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8、评标过程中，如因两个或两个以上投标人在同一台计算或同一个IP上传投标文件，而被不见面开标系统提示为“投标文件制作机器码一致”的，则视其投标无效。</w:t>
            </w:r>
          </w:p>
          <w:p>
            <w:pPr>
              <w:pStyle w:val="24"/>
              <w:ind w:firstLine="0" w:firstLineChars="0"/>
              <w:rPr>
                <w:b/>
                <w:bCs/>
              </w:rPr>
            </w:pPr>
            <w:r>
              <w:rPr>
                <w:rFonts w:hint="eastAsia" w:asciiTheme="minorEastAsia" w:hAnsiTheme="minorEastAsia" w:eastAsiaTheme="minorEastAsia" w:cstheme="minorEastAsia"/>
                <w:b/>
                <w:bCs/>
                <w:szCs w:val="21"/>
              </w:rPr>
              <w:t>10、投标文件有明显不符合招标文件其它要求和有关法律法规的。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0" w:name="_Toc426369479"/>
      <w:bookmarkStart w:id="11" w:name="_Toc17744"/>
      <w:bookmarkStart w:id="12" w:name="_Toc9048"/>
      <w:bookmarkStart w:id="13" w:name="_Toc23576"/>
      <w:bookmarkStart w:id="14" w:name="_Toc403122491"/>
      <w:bookmarkStart w:id="15" w:name="_Toc23082"/>
      <w:bookmarkStart w:id="16" w:name="_Toc26894"/>
      <w:bookmarkStart w:id="17" w:name="_Toc403122503"/>
      <w:bookmarkStart w:id="18" w:name="_Toc426369491"/>
      <w:r>
        <w:rPr>
          <w:rFonts w:hint="eastAsia" w:asciiTheme="minorEastAsia" w:hAnsiTheme="minorEastAsia" w:eastAsiaTheme="minorEastAsia" w:cstheme="minorEastAsia"/>
          <w:sz w:val="24"/>
          <w:szCs w:val="24"/>
        </w:rPr>
        <w:t>1. 总则</w:t>
      </w:r>
      <w:bookmarkEnd w:id="10"/>
      <w:bookmarkEnd w:id="11"/>
      <w:bookmarkEnd w:id="12"/>
      <w:bookmarkEnd w:id="13"/>
      <w:bookmarkEnd w:id="14"/>
      <w:bookmarkEnd w:id="15"/>
    </w:p>
    <w:p>
      <w:pPr>
        <w:spacing w:line="500" w:lineRule="exact"/>
        <w:ind w:firstLine="482" w:firstLineChars="200"/>
        <w:rPr>
          <w:rFonts w:asciiTheme="minorEastAsia" w:hAnsiTheme="minorEastAsia" w:eastAsiaTheme="minorEastAsia" w:cstheme="minorEastAsia"/>
          <w:b/>
          <w:bCs/>
          <w:sz w:val="24"/>
        </w:rPr>
      </w:pPr>
      <w:bookmarkStart w:id="19" w:name="_Toc426369480"/>
      <w:bookmarkStart w:id="20" w:name="_Toc274249575"/>
      <w:bookmarkStart w:id="21" w:name="_Toc279599771"/>
      <w:bookmarkStart w:id="22" w:name="_Toc403122492"/>
      <w:r>
        <w:rPr>
          <w:rFonts w:hint="eastAsia" w:asciiTheme="minorEastAsia" w:hAnsiTheme="minorEastAsia" w:eastAsiaTheme="minorEastAsia" w:cstheme="minorEastAsia"/>
          <w:b/>
          <w:bCs/>
          <w:sz w:val="24"/>
        </w:rPr>
        <w:t>1.1 项目概况</w:t>
      </w:r>
      <w:bookmarkEnd w:id="19"/>
      <w:bookmarkEnd w:id="20"/>
      <w:bookmarkEnd w:id="21"/>
      <w:bookmarkEnd w:id="2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本招标项目名称：见投标人须知前附表。 </w:t>
      </w:r>
    </w:p>
    <w:p>
      <w:pPr>
        <w:spacing w:line="500" w:lineRule="exact"/>
        <w:ind w:firstLine="482" w:firstLineChars="200"/>
        <w:rPr>
          <w:rFonts w:asciiTheme="minorEastAsia" w:hAnsiTheme="minorEastAsia" w:eastAsiaTheme="minorEastAsia" w:cstheme="minorEastAsia"/>
          <w:b/>
          <w:bCs/>
          <w:sz w:val="24"/>
        </w:rPr>
      </w:pPr>
      <w:bookmarkStart w:id="23" w:name="_Toc279599772"/>
      <w:bookmarkStart w:id="24" w:name="_Toc403122493"/>
      <w:bookmarkStart w:id="25" w:name="_Toc426369481"/>
      <w:bookmarkStart w:id="26" w:name="_Toc274249576"/>
      <w:r>
        <w:rPr>
          <w:rFonts w:hint="eastAsia" w:asciiTheme="minorEastAsia" w:hAnsiTheme="minorEastAsia" w:eastAsiaTheme="minorEastAsia" w:cstheme="minorEastAsia"/>
          <w:b/>
          <w:bCs/>
          <w:sz w:val="24"/>
        </w:rPr>
        <w:t>1.2 资金来源和落实情况</w:t>
      </w:r>
      <w:bookmarkEnd w:id="23"/>
      <w:bookmarkEnd w:id="24"/>
      <w:bookmarkEnd w:id="25"/>
      <w:bookmarkEnd w:id="2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本招标项目的资金落实情况：见投标人须知前附表。 </w:t>
      </w:r>
    </w:p>
    <w:p>
      <w:pPr>
        <w:spacing w:line="500" w:lineRule="exact"/>
        <w:ind w:firstLine="482" w:firstLineChars="200"/>
        <w:rPr>
          <w:rFonts w:asciiTheme="minorEastAsia" w:hAnsiTheme="minorEastAsia" w:eastAsiaTheme="minorEastAsia" w:cstheme="minorEastAsia"/>
          <w:b/>
          <w:bCs/>
          <w:sz w:val="24"/>
        </w:rPr>
      </w:pPr>
      <w:bookmarkStart w:id="27" w:name="_Toc279599773"/>
      <w:bookmarkStart w:id="28" w:name="_Toc426369482"/>
      <w:bookmarkStart w:id="29" w:name="_Toc274249577"/>
      <w:bookmarkStart w:id="30" w:name="_Toc403122494"/>
      <w:r>
        <w:rPr>
          <w:rFonts w:hint="eastAsia" w:asciiTheme="minorEastAsia" w:hAnsiTheme="minorEastAsia" w:eastAsiaTheme="minorEastAsia" w:cstheme="minorEastAsia"/>
          <w:b/>
          <w:bCs/>
          <w:sz w:val="24"/>
        </w:rPr>
        <w:t>1.3 采购内容、服务期和质量</w:t>
      </w:r>
      <w:bookmarkEnd w:id="27"/>
      <w:bookmarkEnd w:id="28"/>
      <w:bookmarkEnd w:id="29"/>
      <w:bookmarkEnd w:id="30"/>
      <w:r>
        <w:rPr>
          <w:rFonts w:hint="eastAsia" w:asciiTheme="minorEastAsia" w:hAnsiTheme="minorEastAsia" w:eastAsiaTheme="minorEastAsia" w:cstheme="minorEastAsia"/>
          <w:b/>
          <w:bCs/>
          <w:sz w:val="24"/>
        </w:rPr>
        <w:t>标准</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本次招标的项目完成期：见投标人须知前附表。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本次招标的质量要求：见投标人须知前附表。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本次招标的质保期要求：见投标人须知前附表。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31" w:name="_Toc426369483"/>
      <w:bookmarkStart w:id="32" w:name="_Toc279599774"/>
      <w:bookmarkStart w:id="33" w:name="_Toc274249578"/>
      <w:bookmarkStart w:id="34" w:name="_Toc403122495"/>
      <w:r>
        <w:rPr>
          <w:rFonts w:hint="eastAsia" w:asciiTheme="minorEastAsia" w:hAnsiTheme="minorEastAsia" w:eastAsiaTheme="minorEastAsia" w:cstheme="minorEastAsia"/>
          <w:b/>
          <w:bCs/>
          <w:sz w:val="24"/>
        </w:rPr>
        <w:t>1.4 投标人资格要求</w:t>
      </w:r>
      <w:bookmarkEnd w:id="31"/>
      <w:bookmarkEnd w:id="32"/>
      <w:bookmarkEnd w:id="33"/>
      <w:bookmarkEnd w:id="3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投标人应具备承担本招标项目的资质条件。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（1）投标人资质条件：见投标人须知前附表； </w:t>
      </w:r>
    </w:p>
    <w:p>
      <w:pPr>
        <w:spacing w:line="440" w:lineRule="exact"/>
        <w:ind w:firstLine="420" w:firstLineChars="200"/>
        <w:rPr>
          <w:rFonts w:asciiTheme="minorEastAsia" w:hAnsiTheme="minorEastAsia" w:eastAsiaTheme="minorEastAsia" w:cstheme="minorEastAsia"/>
          <w:szCs w:val="21"/>
        </w:rPr>
      </w:pPr>
      <w:bookmarkStart w:id="35" w:name="_Toc403122496"/>
      <w:bookmarkStart w:id="36" w:name="_Toc279599775"/>
      <w:bookmarkStart w:id="37"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8" w:name="_Toc426369484"/>
      <w:r>
        <w:rPr>
          <w:rFonts w:hint="eastAsia" w:asciiTheme="minorEastAsia" w:hAnsiTheme="minorEastAsia" w:eastAsiaTheme="minorEastAsia" w:cstheme="minorEastAsia"/>
          <w:b/>
          <w:bCs/>
          <w:sz w:val="24"/>
        </w:rPr>
        <w:t>1.5 费用承担</w:t>
      </w:r>
      <w:bookmarkEnd w:id="35"/>
      <w:bookmarkEnd w:id="36"/>
      <w:bookmarkEnd w:id="37"/>
      <w:bookmarkEnd w:id="3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9" w:name="_Toc426369485"/>
      <w:bookmarkStart w:id="40" w:name="_Toc403122497"/>
      <w:r>
        <w:rPr>
          <w:rFonts w:hint="eastAsia" w:asciiTheme="minorEastAsia" w:hAnsiTheme="minorEastAsia" w:eastAsiaTheme="minorEastAsia" w:cstheme="minorEastAsia"/>
          <w:b/>
          <w:bCs/>
          <w:sz w:val="24"/>
        </w:rPr>
        <w:t>1.6 保密</w:t>
      </w:r>
      <w:bookmarkEnd w:id="39"/>
      <w:bookmarkEnd w:id="4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41" w:name="_Toc279599777"/>
      <w:bookmarkStart w:id="42" w:name="_Toc426369486"/>
      <w:bookmarkStart w:id="43" w:name="_Toc403122498"/>
      <w:bookmarkStart w:id="44" w:name="_Toc274249581"/>
      <w:r>
        <w:rPr>
          <w:rFonts w:hint="eastAsia" w:asciiTheme="minorEastAsia" w:hAnsiTheme="minorEastAsia" w:eastAsiaTheme="minorEastAsia" w:cstheme="minorEastAsia"/>
          <w:b/>
          <w:bCs/>
          <w:sz w:val="24"/>
        </w:rPr>
        <w:t>1.7 语言文字</w:t>
      </w:r>
      <w:bookmarkEnd w:id="41"/>
      <w:bookmarkEnd w:id="42"/>
      <w:bookmarkEnd w:id="43"/>
      <w:bookmarkEnd w:id="44"/>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1.7.1 采购文件以及投标人与采购人、采购代理机构就有关投标事宜的所有来往函电均应使用简体中文书写。</w:t>
      </w:r>
    </w:p>
    <w:p>
      <w:pPr>
        <w:pStyle w:val="6"/>
        <w:ind w:firstLine="420" w:firstLineChars="200"/>
        <w:rPr>
          <w:rFonts w:asciiTheme="minorEastAsia" w:hAnsiTheme="minorEastAsia" w:eastAsiaTheme="minorEastAsia" w:cstheme="minorEastAsia"/>
          <w:b w:val="0"/>
          <w:bCs w:val="0"/>
          <w:sz w:val="21"/>
          <w:szCs w:val="21"/>
        </w:rPr>
      </w:pPr>
      <w:bookmarkStart w:id="45" w:name="_Toc18685"/>
      <w:r>
        <w:rPr>
          <w:rFonts w:hint="eastAsia" w:asciiTheme="minorEastAsia" w:hAnsiTheme="minorEastAsia" w:eastAsiaTheme="minorEastAsia" w:cstheme="minorEastAsia"/>
          <w:b w:val="0"/>
          <w:bCs w:val="0"/>
          <w:sz w:val="21"/>
          <w:szCs w:val="21"/>
        </w:rPr>
        <w:t>1.7.2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bookmarkEnd w:id="45"/>
      <w:bookmarkStart w:id="46" w:name="_Toc426369487"/>
      <w:bookmarkStart w:id="47" w:name="_Toc403122499"/>
    </w:p>
    <w:p>
      <w:pPr>
        <w:pStyle w:val="6"/>
        <w:ind w:firstLine="482" w:firstLineChars="200"/>
        <w:rPr>
          <w:rFonts w:asciiTheme="minorEastAsia" w:hAnsiTheme="minorEastAsia" w:eastAsiaTheme="minorEastAsia" w:cstheme="minorEastAsia"/>
          <w:sz w:val="24"/>
        </w:rPr>
      </w:pPr>
      <w:bookmarkStart w:id="48" w:name="_Toc13161"/>
      <w:r>
        <w:rPr>
          <w:rFonts w:hint="eastAsia" w:asciiTheme="minorEastAsia" w:hAnsiTheme="minorEastAsia" w:eastAsiaTheme="minorEastAsia" w:cstheme="minorEastAsia"/>
          <w:sz w:val="24"/>
        </w:rPr>
        <w:t>1.8 计量单位</w:t>
      </w:r>
      <w:bookmarkEnd w:id="46"/>
      <w:bookmarkEnd w:id="47"/>
      <w:bookmarkEnd w:id="4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1.8.2本响应性文件所表述的时间均为北京时间。</w:t>
      </w:r>
    </w:p>
    <w:p>
      <w:pPr>
        <w:spacing w:line="500" w:lineRule="exact"/>
        <w:ind w:firstLine="482" w:firstLineChars="200"/>
        <w:rPr>
          <w:rFonts w:asciiTheme="minorEastAsia" w:hAnsiTheme="minorEastAsia" w:eastAsiaTheme="minorEastAsia" w:cstheme="minorEastAsia"/>
          <w:b/>
          <w:bCs/>
          <w:sz w:val="24"/>
        </w:rPr>
      </w:pPr>
      <w:bookmarkStart w:id="49" w:name="_Toc274249583"/>
      <w:bookmarkStart w:id="50" w:name="_Toc426369488"/>
      <w:bookmarkStart w:id="51" w:name="_Toc279599779"/>
      <w:bookmarkStart w:id="52" w:name="_Toc403122500"/>
      <w:r>
        <w:rPr>
          <w:rFonts w:hint="eastAsia" w:asciiTheme="minorEastAsia" w:hAnsiTheme="minorEastAsia" w:eastAsiaTheme="minorEastAsia" w:cstheme="minorEastAsia"/>
          <w:b/>
          <w:bCs/>
          <w:sz w:val="24"/>
        </w:rPr>
        <w:t>1.9 踏勘现场</w:t>
      </w:r>
      <w:bookmarkEnd w:id="49"/>
      <w:bookmarkEnd w:id="50"/>
      <w:bookmarkEnd w:id="51"/>
      <w:bookmarkEnd w:id="5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由于项目特殊性，本次招标需投标人自行勘查。 </w:t>
      </w:r>
    </w:p>
    <w:p>
      <w:pPr>
        <w:spacing w:line="500" w:lineRule="exact"/>
        <w:ind w:firstLine="482" w:firstLineChars="200"/>
        <w:rPr>
          <w:rFonts w:asciiTheme="minorEastAsia" w:hAnsiTheme="minorEastAsia" w:eastAsiaTheme="minorEastAsia" w:cstheme="minorEastAsia"/>
          <w:b/>
          <w:bCs/>
          <w:sz w:val="24"/>
        </w:rPr>
      </w:pPr>
      <w:bookmarkStart w:id="53" w:name="_Toc403122501"/>
      <w:bookmarkStart w:id="54" w:name="_Toc274249584"/>
      <w:bookmarkStart w:id="55" w:name="_Toc426369489"/>
      <w:bookmarkStart w:id="56" w:name="_Toc279599780"/>
      <w:r>
        <w:rPr>
          <w:rFonts w:hint="eastAsia" w:asciiTheme="minorEastAsia" w:hAnsiTheme="minorEastAsia" w:eastAsiaTheme="minorEastAsia" w:cstheme="minorEastAsia"/>
          <w:b/>
          <w:bCs/>
          <w:sz w:val="24"/>
        </w:rPr>
        <w:t>1.10 投标预备会</w:t>
      </w:r>
      <w:bookmarkEnd w:id="53"/>
      <w:bookmarkEnd w:id="54"/>
      <w:bookmarkEnd w:id="55"/>
      <w:bookmarkEnd w:id="5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投标人应在投标人须知前附表规定的时间前，以书面形式将提出的问题送达招标代理人。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采购人在投标人须知前附表规定的时间内，将对投标人所提问题的澄清，以书面方式通知所有已领取招标文件的投标人。该澄清内容为招标文件的组成部分。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7" w:name="_Toc274249585"/>
      <w:bookmarkStart w:id="58" w:name="_Toc426369490"/>
      <w:bookmarkStart w:id="59" w:name="_Toc403122502"/>
      <w:bookmarkStart w:id="60" w:name="_Toc279599781"/>
      <w:r>
        <w:rPr>
          <w:rFonts w:hint="eastAsia" w:asciiTheme="minorEastAsia" w:hAnsiTheme="minorEastAsia" w:eastAsiaTheme="minorEastAsia" w:cstheme="minorEastAsia"/>
          <w:b/>
          <w:bCs/>
          <w:sz w:val="24"/>
        </w:rPr>
        <w:t>1.11 分包</w:t>
      </w:r>
      <w:bookmarkEnd w:id="57"/>
      <w:bookmarkEnd w:id="58"/>
      <w:bookmarkEnd w:id="59"/>
      <w:bookmarkEnd w:id="6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61" w:name="_Toc5496"/>
      <w:bookmarkStart w:id="62" w:name="_Toc28663"/>
      <w:bookmarkStart w:id="63" w:name="_Toc9121"/>
      <w:r>
        <w:rPr>
          <w:rFonts w:hint="eastAsia" w:asciiTheme="minorEastAsia" w:hAnsiTheme="minorEastAsia" w:eastAsiaTheme="minorEastAsia" w:cstheme="minorEastAsia"/>
          <w:sz w:val="24"/>
          <w:szCs w:val="24"/>
        </w:rPr>
        <w:t>2. 招标文件</w:t>
      </w:r>
      <w:bookmarkEnd w:id="16"/>
      <w:bookmarkEnd w:id="17"/>
      <w:bookmarkEnd w:id="18"/>
      <w:bookmarkEnd w:id="61"/>
      <w:bookmarkEnd w:id="62"/>
      <w:bookmarkEnd w:id="63"/>
    </w:p>
    <w:p>
      <w:pPr>
        <w:spacing w:line="500" w:lineRule="exact"/>
        <w:ind w:firstLine="482" w:firstLineChars="200"/>
        <w:rPr>
          <w:rFonts w:asciiTheme="minorEastAsia" w:hAnsiTheme="minorEastAsia" w:eastAsiaTheme="minorEastAsia" w:cstheme="minorEastAsia"/>
          <w:b/>
          <w:bCs/>
          <w:sz w:val="24"/>
        </w:rPr>
      </w:pPr>
      <w:bookmarkStart w:id="64" w:name="_Toc426369492"/>
      <w:bookmarkStart w:id="65" w:name="_Toc274249587"/>
      <w:bookmarkStart w:id="66" w:name="_Toc403122504"/>
      <w:bookmarkStart w:id="67" w:name="_Toc279599783"/>
      <w:r>
        <w:rPr>
          <w:rFonts w:hint="eastAsia" w:asciiTheme="minorEastAsia" w:hAnsiTheme="minorEastAsia" w:eastAsiaTheme="minorEastAsia" w:cstheme="minorEastAsia"/>
          <w:b/>
          <w:bCs/>
          <w:sz w:val="24"/>
        </w:rPr>
        <w:t>2.1 招标文件的组成</w:t>
      </w:r>
      <w:bookmarkEnd w:id="64"/>
      <w:bookmarkEnd w:id="65"/>
      <w:bookmarkEnd w:id="66"/>
      <w:bookmarkEnd w:id="6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投标人须知；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68" w:name="_Toc279599784"/>
      <w:bookmarkStart w:id="69" w:name="_Toc426369493"/>
      <w:bookmarkStart w:id="70" w:name="_Toc403122505"/>
      <w:bookmarkStart w:id="71" w:name="_Toc274249588"/>
      <w:r>
        <w:rPr>
          <w:rFonts w:hint="eastAsia" w:asciiTheme="minorEastAsia" w:hAnsiTheme="minorEastAsia" w:eastAsiaTheme="minorEastAsia" w:cstheme="minorEastAsia"/>
          <w:b/>
          <w:bCs/>
          <w:sz w:val="24"/>
        </w:rPr>
        <w:t>2.2 招标文件的澄清</w:t>
      </w:r>
      <w:bookmarkEnd w:id="68"/>
      <w:bookmarkEnd w:id="69"/>
      <w:bookmarkEnd w:id="70"/>
      <w:bookmarkEnd w:id="7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招标文件的澄清将在投标人须知前附表规定的投标截止时间15天前以书面形式发给所有购买招标文件的投标人，但不指明澄清问题的来源。如果澄清发出的时间距投标截止时间不足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投标人在收到澄清后，应在投标人须知前附表规定的时间内以书面形式通知采购人，确认已收到该澄清。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72" w:name="_Toc274249589"/>
      <w:bookmarkStart w:id="73" w:name="_Toc426369494"/>
      <w:bookmarkStart w:id="74" w:name="_Toc279599785"/>
      <w:bookmarkStart w:id="75" w:name="_Toc403122506"/>
      <w:r>
        <w:rPr>
          <w:rFonts w:hint="eastAsia" w:asciiTheme="minorEastAsia" w:hAnsiTheme="minorEastAsia" w:eastAsiaTheme="minorEastAsia" w:cstheme="minorEastAsia"/>
          <w:b/>
          <w:bCs/>
          <w:sz w:val="24"/>
        </w:rPr>
        <w:t>2.3 招标文件的修改</w:t>
      </w:r>
      <w:bookmarkEnd w:id="72"/>
      <w:bookmarkEnd w:id="73"/>
      <w:bookmarkEnd w:id="74"/>
      <w:bookmarkEnd w:id="7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15天前，采购人可以书面形式修改招标文件，并通知所有已购买招标文件的投标人。如果修改招标文件的时间距投标截止时间不足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投标人收到修改内容后，应在投标人须知前附表规定的时间内以书面形式通知采购人，确认已收到该修改。 </w:t>
      </w:r>
      <w:bookmarkStart w:id="76" w:name="_Toc403122507"/>
      <w:bookmarkStart w:id="77" w:name="_Toc23265"/>
      <w:bookmarkStart w:id="78" w:name="_Toc426369495"/>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9" w:name="_Toc22914"/>
      <w:bookmarkStart w:id="80" w:name="_Toc17990"/>
      <w:bookmarkStart w:id="81" w:name="_Toc13865"/>
      <w:r>
        <w:rPr>
          <w:rFonts w:hint="eastAsia" w:asciiTheme="minorEastAsia" w:hAnsiTheme="minorEastAsia" w:eastAsiaTheme="minorEastAsia" w:cstheme="minorEastAsia"/>
          <w:sz w:val="24"/>
          <w:szCs w:val="24"/>
        </w:rPr>
        <w:t>3. 投标文件</w:t>
      </w:r>
      <w:bookmarkEnd w:id="76"/>
      <w:bookmarkEnd w:id="77"/>
      <w:bookmarkEnd w:id="78"/>
      <w:bookmarkEnd w:id="79"/>
      <w:bookmarkEnd w:id="80"/>
      <w:bookmarkEnd w:id="81"/>
    </w:p>
    <w:p>
      <w:pPr>
        <w:spacing w:line="500" w:lineRule="exact"/>
        <w:ind w:firstLine="482" w:firstLineChars="200"/>
        <w:rPr>
          <w:rFonts w:asciiTheme="minorEastAsia" w:hAnsiTheme="minorEastAsia" w:eastAsiaTheme="minorEastAsia" w:cstheme="minorEastAsia"/>
          <w:b/>
          <w:bCs/>
          <w:sz w:val="24"/>
        </w:rPr>
      </w:pPr>
      <w:bookmarkStart w:id="82" w:name="_Toc274249591"/>
      <w:bookmarkStart w:id="83" w:name="_Toc279599787"/>
      <w:bookmarkStart w:id="84" w:name="_Toc426369496"/>
      <w:bookmarkStart w:id="85" w:name="_Toc403122508"/>
      <w:r>
        <w:rPr>
          <w:rFonts w:hint="eastAsia" w:asciiTheme="minorEastAsia" w:hAnsiTheme="minorEastAsia" w:eastAsiaTheme="minorEastAsia" w:cstheme="minorEastAsia"/>
          <w:b/>
          <w:bCs/>
          <w:sz w:val="24"/>
        </w:rPr>
        <w:t>3.1 投标文件的组成</w:t>
      </w:r>
      <w:bookmarkEnd w:id="82"/>
      <w:bookmarkEnd w:id="83"/>
      <w:bookmarkEnd w:id="84"/>
      <w:bookmarkEnd w:id="8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86" w:name="_Toc426369497"/>
      <w:bookmarkStart w:id="87" w:name="_Toc403122509"/>
      <w:bookmarkStart w:id="88" w:name="_Toc274249592"/>
      <w:bookmarkStart w:id="89" w:name="_Toc279599788"/>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四、项目实施方案、措施等</w:t>
      </w:r>
    </w:p>
    <w:p>
      <w:pPr>
        <w:spacing w:line="440" w:lineRule="exact"/>
        <w:ind w:firstLine="420" w:firstLineChars="200"/>
        <w:rPr>
          <w:rFonts w:ascii="宋体" w:hAnsi="宋体" w:cs="宋体"/>
          <w:szCs w:val="21"/>
        </w:rPr>
      </w:pPr>
      <w:r>
        <w:rPr>
          <w:rFonts w:hint="eastAsia" w:ascii="宋体" w:hAnsi="宋体" w:cs="宋体"/>
          <w:szCs w:val="21"/>
        </w:rPr>
        <w:t>五、资格证明文件；</w:t>
      </w:r>
    </w:p>
    <w:p>
      <w:pPr>
        <w:pStyle w:val="2"/>
        <w:spacing w:line="440" w:lineRule="exact"/>
        <w:ind w:firstLineChars="200"/>
        <w:rPr>
          <w:rFonts w:hint="default" w:ascii="宋体" w:hAnsi="宋体" w:eastAsia="宋体" w:cs="宋体"/>
          <w:sz w:val="21"/>
          <w:szCs w:val="21"/>
        </w:rPr>
      </w:pPr>
      <w:r>
        <w:rPr>
          <w:rFonts w:ascii="宋体" w:hAnsi="宋体" w:eastAsia="宋体" w:cs="宋体"/>
          <w:sz w:val="21"/>
          <w:szCs w:val="21"/>
        </w:rPr>
        <w:t>六、投标人服务承诺和优惠承诺</w:t>
      </w:r>
    </w:p>
    <w:p>
      <w:pPr>
        <w:spacing w:line="440" w:lineRule="exact"/>
        <w:ind w:firstLine="420" w:firstLineChars="200"/>
        <w:rPr>
          <w:rFonts w:ascii="宋体" w:hAnsi="宋体" w:cs="宋体"/>
          <w:szCs w:val="21"/>
        </w:rPr>
      </w:pPr>
      <w:r>
        <w:rPr>
          <w:rFonts w:hint="eastAsia" w:ascii="宋体" w:hAnsi="宋体" w:cs="宋体"/>
          <w:szCs w:val="21"/>
        </w:rPr>
        <w:t>七、中小企业声明函（如为中小企业）；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八、残疾人福利性单位声明函（如有）；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九、招标文件要求的或投标人认为需要加以说明的其他内容。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86"/>
      <w:bookmarkEnd w:id="87"/>
      <w:bookmarkEnd w:id="88"/>
      <w:bookmarkEnd w:id="89"/>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3.2.1投标报价包括：投标人的投标报价应包括所有服务工作以及由承包人承担的义务、责任和风险等全部费用。投标人所报的投标价在磋商有效期内是固定不变的，投标人不得以任何理由予以变更。</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3.2.3投标人只能提出一个不变价格，采购人不接受任何选择价。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3.2.4投标人必须对招标范围内的所有服务投标。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3.2.6投标报价原则是各投标人依据自身实力、管理水平，结合企业所在地区的人工工资标准，在确保项目质量，确保项目成本的基础上，自主报价、自负盈亏。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90" w:name="_Toc403122510"/>
      <w:bookmarkStart w:id="91" w:name="_Toc279599789"/>
      <w:bookmarkStart w:id="92" w:name="_Toc274249593"/>
      <w:bookmarkStart w:id="93" w:name="_Toc426369498"/>
      <w:r>
        <w:rPr>
          <w:rFonts w:hint="eastAsia" w:asciiTheme="minorEastAsia" w:hAnsiTheme="minorEastAsia" w:eastAsiaTheme="minorEastAsia" w:cstheme="minorEastAsia"/>
          <w:b/>
          <w:bCs/>
          <w:sz w:val="24"/>
        </w:rPr>
        <w:t>3.3 投标有效期</w:t>
      </w:r>
      <w:bookmarkEnd w:id="90"/>
      <w:bookmarkEnd w:id="91"/>
      <w:bookmarkEnd w:id="92"/>
      <w:bookmarkEnd w:id="93"/>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3.3.1在投标人须知前附表规定的投标有效期内，投标人不得要求撤销或修改其投标文件。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94" w:name="_Toc274249595"/>
      <w:bookmarkStart w:id="95" w:name="_Toc403122512"/>
      <w:bookmarkStart w:id="96" w:name="_Toc279599791"/>
      <w:bookmarkStart w:id="97" w:name="_Toc426369501"/>
      <w:r>
        <w:rPr>
          <w:rFonts w:hint="eastAsia" w:asciiTheme="minorEastAsia" w:hAnsiTheme="minorEastAsia" w:eastAsiaTheme="minorEastAsia" w:cstheme="minorEastAsia"/>
          <w:b/>
          <w:bCs/>
          <w:sz w:val="24"/>
        </w:rPr>
        <w:t>3.5 资格审查资料</w:t>
      </w:r>
      <w:bookmarkEnd w:id="94"/>
      <w:bookmarkEnd w:id="95"/>
      <w:bookmarkEnd w:id="96"/>
      <w:bookmarkEnd w:id="97"/>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3.5.2招标文件规定的投标人资格条件。</w:t>
      </w:r>
    </w:p>
    <w:p>
      <w:pPr>
        <w:spacing w:line="500" w:lineRule="exact"/>
        <w:ind w:firstLine="482" w:firstLineChars="200"/>
        <w:rPr>
          <w:rFonts w:asciiTheme="minorEastAsia" w:hAnsiTheme="minorEastAsia" w:eastAsiaTheme="minorEastAsia" w:cstheme="minorEastAsia"/>
          <w:b/>
          <w:bCs/>
          <w:sz w:val="24"/>
        </w:rPr>
      </w:pPr>
      <w:bookmarkStart w:id="98" w:name="_Toc426369502"/>
      <w:bookmarkStart w:id="99" w:name="_Toc403122513"/>
      <w:bookmarkStart w:id="100" w:name="_Toc274249596"/>
      <w:bookmarkStart w:id="101" w:name="_Toc279599792"/>
      <w:r>
        <w:rPr>
          <w:rFonts w:hint="eastAsia" w:asciiTheme="minorEastAsia" w:hAnsiTheme="minorEastAsia" w:eastAsiaTheme="minorEastAsia" w:cstheme="minorEastAsia"/>
          <w:b/>
          <w:bCs/>
          <w:sz w:val="24"/>
        </w:rPr>
        <w:t>3.6 备选投标方案</w:t>
      </w:r>
      <w:bookmarkEnd w:id="98"/>
      <w:bookmarkEnd w:id="99"/>
      <w:bookmarkEnd w:id="100"/>
      <w:bookmarkEnd w:id="101"/>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投标人不得递交备选投标方案。 </w:t>
      </w:r>
    </w:p>
    <w:p>
      <w:pPr>
        <w:spacing w:line="500" w:lineRule="exact"/>
        <w:ind w:firstLine="482" w:firstLineChars="200"/>
        <w:rPr>
          <w:rFonts w:asciiTheme="minorEastAsia" w:hAnsiTheme="minorEastAsia" w:eastAsiaTheme="minorEastAsia" w:cstheme="minorEastAsia"/>
          <w:b/>
          <w:bCs/>
          <w:sz w:val="24"/>
        </w:rPr>
      </w:pPr>
      <w:bookmarkStart w:id="102" w:name="_Toc279599793"/>
      <w:bookmarkStart w:id="103" w:name="_Toc403122514"/>
      <w:bookmarkStart w:id="104" w:name="_Toc426369503"/>
      <w:bookmarkStart w:id="105" w:name="_Toc274249597"/>
      <w:r>
        <w:rPr>
          <w:rFonts w:hint="eastAsia" w:asciiTheme="minorEastAsia" w:hAnsiTheme="minorEastAsia" w:eastAsiaTheme="minorEastAsia" w:cstheme="minorEastAsia"/>
          <w:b/>
          <w:bCs/>
          <w:sz w:val="24"/>
        </w:rPr>
        <w:t>3.7 投标文件的编制</w:t>
      </w:r>
      <w:bookmarkEnd w:id="102"/>
      <w:bookmarkEnd w:id="103"/>
      <w:bookmarkEnd w:id="104"/>
      <w:bookmarkEnd w:id="10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投标文件应当对招标文件有关服务期、投标有效期、质量要求、采购要求及服务内容、等实质性内容作出响应。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06" w:name="_Toc426369504"/>
      <w:bookmarkStart w:id="107" w:name="_Toc31809"/>
      <w:bookmarkStart w:id="108" w:name="_Toc15900"/>
      <w:bookmarkStart w:id="109" w:name="_Toc403122515"/>
      <w:bookmarkStart w:id="110" w:name="_Toc30100"/>
      <w:bookmarkStart w:id="111" w:name="_Toc26998"/>
      <w:r>
        <w:rPr>
          <w:rFonts w:hint="eastAsia" w:asciiTheme="minorEastAsia" w:hAnsiTheme="minorEastAsia" w:eastAsiaTheme="minorEastAsia" w:cstheme="minorEastAsia"/>
          <w:sz w:val="24"/>
          <w:szCs w:val="24"/>
        </w:rPr>
        <w:t>4. 投标</w:t>
      </w:r>
      <w:bookmarkEnd w:id="106"/>
      <w:bookmarkEnd w:id="107"/>
      <w:bookmarkEnd w:id="108"/>
      <w:bookmarkEnd w:id="109"/>
      <w:bookmarkEnd w:id="110"/>
      <w:bookmarkEnd w:id="111"/>
    </w:p>
    <w:p>
      <w:pPr>
        <w:spacing w:line="500" w:lineRule="exact"/>
        <w:ind w:firstLine="482" w:firstLineChars="200"/>
        <w:rPr>
          <w:rFonts w:asciiTheme="minorEastAsia" w:hAnsiTheme="minorEastAsia" w:eastAsiaTheme="minorEastAsia" w:cstheme="minorEastAsia"/>
          <w:b/>
          <w:bCs/>
          <w:sz w:val="24"/>
        </w:rPr>
      </w:pPr>
      <w:bookmarkStart w:id="112" w:name="_Toc403122516"/>
      <w:bookmarkStart w:id="113" w:name="_Toc274249599"/>
      <w:bookmarkStart w:id="114" w:name="_Toc279599795"/>
      <w:bookmarkStart w:id="115" w:name="_Toc426369505"/>
      <w:r>
        <w:rPr>
          <w:rFonts w:hint="eastAsia" w:asciiTheme="minorEastAsia" w:hAnsiTheme="minorEastAsia" w:eastAsiaTheme="minorEastAsia" w:cstheme="minorEastAsia"/>
          <w:b/>
          <w:bCs/>
          <w:sz w:val="24"/>
        </w:rPr>
        <w:t>4.1 投标文件的密封和标记</w:t>
      </w:r>
      <w:bookmarkEnd w:id="112"/>
      <w:bookmarkEnd w:id="113"/>
      <w:bookmarkEnd w:id="114"/>
      <w:bookmarkEnd w:id="115"/>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16" w:name="_Toc274249600"/>
      <w:bookmarkStart w:id="117" w:name="_Toc426369506"/>
      <w:bookmarkStart w:id="118" w:name="_Toc279599796"/>
      <w:bookmarkStart w:id="119" w:name="_Toc403122517"/>
      <w:r>
        <w:rPr>
          <w:rFonts w:hint="eastAsia" w:asciiTheme="minorEastAsia" w:hAnsiTheme="minorEastAsia" w:eastAsiaTheme="minorEastAsia" w:cstheme="minorEastAsia"/>
          <w:b/>
          <w:bCs/>
          <w:sz w:val="24"/>
        </w:rPr>
        <w:t>4.2 投标文件的递交</w:t>
      </w:r>
      <w:bookmarkEnd w:id="116"/>
      <w:bookmarkEnd w:id="117"/>
      <w:bookmarkEnd w:id="118"/>
      <w:bookmarkEnd w:id="119"/>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提前上传，按要求</w:t>
      </w:r>
      <w:r>
        <w:rPr>
          <w:rFonts w:hint="eastAsia" w:ascii="宋体" w:hAnsi="宋体"/>
          <w:szCs w:val="21"/>
        </w:rPr>
        <w:t>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0" w:name="_Hlt26954862"/>
      <w:bookmarkEnd w:id="120"/>
      <w:bookmarkStart w:id="121" w:name="_Hlt26954754"/>
      <w:bookmarkEnd w:id="121"/>
    </w:p>
    <w:p>
      <w:pPr>
        <w:spacing w:line="500" w:lineRule="exact"/>
        <w:ind w:firstLine="482" w:firstLineChars="200"/>
        <w:rPr>
          <w:rFonts w:asciiTheme="minorEastAsia" w:hAnsiTheme="minorEastAsia" w:eastAsiaTheme="minorEastAsia" w:cstheme="minorEastAsia"/>
          <w:b/>
          <w:bCs/>
          <w:sz w:val="24"/>
        </w:rPr>
      </w:pPr>
      <w:bookmarkStart w:id="122" w:name="_Toc403122518"/>
      <w:bookmarkStart w:id="123" w:name="_Toc426369507"/>
      <w:bookmarkStart w:id="124" w:name="_Toc274249601"/>
      <w:bookmarkStart w:id="125" w:name="_Toc279599797"/>
      <w:r>
        <w:rPr>
          <w:rFonts w:hint="eastAsia" w:asciiTheme="minorEastAsia" w:hAnsiTheme="minorEastAsia" w:eastAsiaTheme="minorEastAsia" w:cstheme="minorEastAsia"/>
          <w:b/>
          <w:bCs/>
          <w:sz w:val="24"/>
        </w:rPr>
        <w:t>4.3 投标文件的修改与撤回</w:t>
      </w:r>
      <w:bookmarkEnd w:id="122"/>
      <w:bookmarkEnd w:id="123"/>
      <w:bookmarkEnd w:id="124"/>
      <w:bookmarkEnd w:id="12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4.3.1  在本章第 2.2.2 项规定的投标截止时间前，投标人可以修改或撤回已递交的投标文件。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投标人修改或撤回已递交投标文件的书面通知应按照本章第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23"/>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26" w:name="_Toc426369508"/>
      <w:bookmarkStart w:id="127" w:name="_Toc5457"/>
      <w:bookmarkStart w:id="128" w:name="_Toc19012"/>
      <w:bookmarkStart w:id="129" w:name="_Toc32449"/>
      <w:bookmarkStart w:id="130" w:name="_Toc403122519"/>
      <w:bookmarkStart w:id="131" w:name="_Toc18170"/>
      <w:r>
        <w:rPr>
          <w:rFonts w:hint="eastAsia" w:asciiTheme="minorEastAsia" w:hAnsiTheme="minorEastAsia" w:eastAsiaTheme="minorEastAsia" w:cstheme="minorEastAsia"/>
          <w:sz w:val="24"/>
          <w:szCs w:val="24"/>
        </w:rPr>
        <w:t>5. 开标</w:t>
      </w:r>
      <w:bookmarkEnd w:id="126"/>
      <w:bookmarkEnd w:id="127"/>
      <w:bookmarkEnd w:id="128"/>
      <w:bookmarkEnd w:id="129"/>
      <w:bookmarkEnd w:id="130"/>
      <w:bookmarkEnd w:id="13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32" w:name="_Toc403122520"/>
      <w:bookmarkStart w:id="133" w:name="_Toc274249603"/>
      <w:bookmarkStart w:id="134" w:name="_Toc279599799"/>
      <w:bookmarkStart w:id="135" w:name="_Toc426369509"/>
      <w:r>
        <w:rPr>
          <w:rFonts w:hint="eastAsia" w:asciiTheme="minorEastAsia" w:hAnsiTheme="minorEastAsia" w:eastAsiaTheme="minorEastAsia" w:cstheme="minorEastAsia"/>
          <w:b/>
          <w:bCs/>
          <w:sz w:val="24"/>
        </w:rPr>
        <w:t>5.2 开标时间和地点</w:t>
      </w:r>
      <w:bookmarkEnd w:id="132"/>
      <w:bookmarkEnd w:id="133"/>
      <w:bookmarkEnd w:id="134"/>
      <w:bookmarkEnd w:id="1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项规定的投标截止时间（开标时间）和投标人须知前附表规定的地点公开开标。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36" w:name="_Toc279599800"/>
      <w:bookmarkStart w:id="137" w:name="_Toc426369510"/>
      <w:bookmarkStart w:id="138" w:name="_Toc403122521"/>
      <w:bookmarkStart w:id="139" w:name="_Toc274249604"/>
      <w:r>
        <w:rPr>
          <w:rFonts w:hint="eastAsia" w:asciiTheme="minorEastAsia" w:hAnsiTheme="minorEastAsia" w:eastAsiaTheme="minorEastAsia" w:cstheme="minorEastAsia"/>
          <w:b/>
          <w:bCs/>
          <w:sz w:val="24"/>
        </w:rPr>
        <w:t>5.3开标程序</w:t>
      </w:r>
      <w:bookmarkEnd w:id="136"/>
      <w:bookmarkEnd w:id="137"/>
      <w:bookmarkEnd w:id="138"/>
      <w:bookmarkEnd w:id="139"/>
    </w:p>
    <w:p>
      <w:pPr>
        <w:spacing w:line="400" w:lineRule="exact"/>
        <w:ind w:firstLine="420" w:firstLineChars="200"/>
        <w:rPr>
          <w:rFonts w:asciiTheme="minorEastAsia" w:hAnsiTheme="minorEastAsia" w:eastAsiaTheme="minorEastAsia" w:cstheme="minorEastAsia"/>
          <w:szCs w:val="21"/>
          <w:lang w:val="zh-CN"/>
        </w:rPr>
      </w:pPr>
      <w:bookmarkStart w:id="140"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zh-CN"/>
        </w:rPr>
        <w:t>）投标人代表、采购人、监标人等有关人员在开标记录上签字确认；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lang w:val="zh-CN"/>
        </w:rPr>
        <w:t>）开标结束。</w:t>
      </w:r>
    </w:p>
    <w:p>
      <w:pPr>
        <w:spacing w:line="400" w:lineRule="exact"/>
        <w:ind w:firstLine="630" w:firstLineChars="3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5.3.</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（2）投标人未按投标人须知前附表规定的时间内解密投标文件的；</w:t>
      </w:r>
    </w:p>
    <w:p>
      <w:pPr>
        <w:spacing w:line="400" w:lineRule="exact"/>
        <w:ind w:firstLine="420" w:firstLineChars="200"/>
        <w:rPr>
          <w:rFonts w:asciiTheme="minorEastAsia" w:hAnsiTheme="minorEastAsia" w:eastAsiaTheme="minorEastAsia" w:cstheme="minorEastAsia"/>
          <w:szCs w:val="21"/>
          <w:lang w:val="zh-CN"/>
        </w:rPr>
      </w:pP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40"/>
    </w:p>
    <w:p>
      <w:pPr>
        <w:spacing w:line="400" w:lineRule="exact"/>
        <w:ind w:firstLine="420" w:firstLineChars="200"/>
        <w:rPr>
          <w:rFonts w:asciiTheme="minorEastAsia" w:hAnsiTheme="minorEastAsia" w:eastAsiaTheme="minorEastAsia" w:cstheme="minorEastAsia"/>
          <w:szCs w:val="21"/>
          <w:lang w:val="zh-CN"/>
        </w:rPr>
      </w:pPr>
      <w:bookmarkStart w:id="141" w:name="_Toc426369512"/>
      <w:bookmarkStart w:id="142" w:name="_Toc12881"/>
      <w:bookmarkStart w:id="143" w:name="_Toc403122522"/>
      <w:bookmarkStart w:id="144" w:name="_Toc21662"/>
      <w:r>
        <w:rPr>
          <w:rFonts w:hint="eastAsia" w:asciiTheme="minorEastAsia" w:hAnsiTheme="minorEastAsia" w:eastAsiaTheme="minorEastAsia" w:cstheme="minorEastAsia"/>
          <w:szCs w:val="21"/>
        </w:rPr>
        <w:t>5.4.1</w:t>
      </w:r>
      <w:r>
        <w:rPr>
          <w:rFonts w:hint="eastAsia" w:asciiTheme="minorEastAsia" w:hAnsiTheme="minorEastAsia" w:eastAsiaTheme="minorEastAsia" w:cstheme="minorEastAsia"/>
          <w:szCs w:val="21"/>
          <w:lang w:val="zh-CN"/>
        </w:rPr>
        <w:t>投标人对开标有异议的，应当在开标现场提出（</w:t>
      </w:r>
      <w:bookmarkStart w:id="145" w:name="_Toc12998"/>
      <w:r>
        <w:rPr>
          <w:rFonts w:hint="eastAsia" w:asciiTheme="minorEastAsia" w:hAnsiTheme="minorEastAsia" w:eastAsiaTheme="minorEastAsia" w:cstheme="minorEastAsia"/>
          <w:szCs w:val="21"/>
          <w:lang w:val="zh-CN"/>
        </w:rPr>
        <w:t>语音异议</w:t>
      </w:r>
      <w:bookmarkEnd w:id="145"/>
      <w:r>
        <w:rPr>
          <w:rFonts w:hint="eastAsia" w:asciiTheme="minorEastAsia" w:hAnsiTheme="minorEastAsia" w:eastAsiaTheme="minorEastAsia" w:cstheme="minorEastAsia"/>
          <w:szCs w:val="21"/>
          <w:lang w:val="zh-CN"/>
        </w:rPr>
        <w:t>、</w:t>
      </w:r>
      <w:bookmarkStart w:id="146" w:name="_Toc20745"/>
      <w:r>
        <w:rPr>
          <w:rFonts w:hint="eastAsia" w:asciiTheme="minorEastAsia" w:hAnsiTheme="minorEastAsia" w:eastAsiaTheme="minorEastAsia" w:cstheme="minorEastAsia"/>
          <w:szCs w:val="21"/>
          <w:lang w:val="zh-CN"/>
        </w:rPr>
        <w:t>文字异议</w:t>
      </w:r>
      <w:bookmarkEnd w:id="146"/>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采购人</w:t>
      </w:r>
      <w:r>
        <w:rPr>
          <w:rFonts w:hint="eastAsia" w:asciiTheme="minorEastAsia" w:hAnsiTheme="minorEastAsia" w:eastAsiaTheme="minorEastAsia" w:cstheme="minorEastAsia"/>
          <w:szCs w:val="21"/>
          <w:lang w:val="zh-CN"/>
        </w:rPr>
        <w:t>当场作出答复，并制作记录。</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5.4.2</w:t>
      </w:r>
      <w:r>
        <w:rPr>
          <w:rFonts w:hint="eastAsia" w:asciiTheme="minorEastAsia" w:hAnsiTheme="minorEastAsia" w:eastAsiaTheme="minorEastAsia" w:cstheme="minorEastAsia"/>
          <w:szCs w:val="21"/>
          <w:lang w:val="zh-CN"/>
        </w:rPr>
        <w:t>开标异常处理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(l）系统服务器发生故障，无法访问或无法使用系统；</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(2） </w:t>
      </w:r>
      <w:r>
        <w:rPr>
          <w:rFonts w:hint="eastAsia" w:asciiTheme="minorEastAsia" w:hAnsiTheme="minorEastAsia" w:eastAsiaTheme="minorEastAsia" w:cstheme="minorEastAsia"/>
          <w:szCs w:val="21"/>
          <w:lang w:val="zh-CN"/>
        </w:rPr>
        <w:t>系统的软件或数据库出现错误，不能进行正常操作；</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）系统发现有安全漏洞，有潜在的泄密危险；</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）出现断电事故且短时间内无法恢复供电；</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（5） </w:t>
      </w:r>
      <w:r>
        <w:rPr>
          <w:rFonts w:hint="eastAsia" w:asciiTheme="minorEastAsia" w:hAnsiTheme="minorEastAsia" w:eastAsiaTheme="minorEastAsia" w:cstheme="minorEastAsia"/>
          <w:szCs w:val="21"/>
          <w:lang w:val="zh-CN"/>
        </w:rPr>
        <w:t>其他无法保证招投标过程正常进行的情形；</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47" w:name="_Toc9927"/>
      <w:bookmarkStart w:id="148" w:name="_Toc13445"/>
      <w:r>
        <w:rPr>
          <w:rFonts w:hint="eastAsia" w:asciiTheme="minorEastAsia" w:hAnsiTheme="minorEastAsia" w:eastAsiaTheme="minorEastAsia" w:cstheme="minorEastAsia"/>
          <w:b/>
          <w:bCs/>
          <w:szCs w:val="21"/>
        </w:rPr>
        <w:t>5.资格审查工作</w:t>
      </w:r>
      <w:bookmarkEnd w:id="147"/>
      <w:bookmarkEnd w:id="148"/>
    </w:p>
    <w:p>
      <w:pPr>
        <w:spacing w:line="400" w:lineRule="exact"/>
        <w:ind w:firstLine="420" w:firstLineChars="200"/>
        <w:rPr>
          <w:rFonts w:asciiTheme="minorEastAsia" w:hAnsiTheme="minorEastAsia" w:eastAsiaTheme="minorEastAsia" w:cstheme="minorEastAsia"/>
          <w:szCs w:val="21"/>
        </w:rPr>
      </w:pPr>
      <w:bookmarkStart w:id="149" w:name="_Toc25275"/>
      <w:bookmarkStart w:id="150" w:name="_Toc15919"/>
      <w:bookmarkStart w:id="151" w:name="_Toc18888"/>
      <w:bookmarkStart w:id="152" w:name="_Toc22488"/>
      <w:bookmarkStart w:id="153" w:name="_Toc25448"/>
      <w:bookmarkStart w:id="154" w:name="_Toc18803"/>
      <w:bookmarkStart w:id="155" w:name="_Toc18806"/>
      <w:r>
        <w:rPr>
          <w:rFonts w:hint="eastAsia" w:asciiTheme="minorEastAsia" w:hAnsiTheme="minorEastAsia" w:eastAsiaTheme="minorEastAsia" w:cstheme="minorEastAsia"/>
          <w:szCs w:val="21"/>
          <w:lang w:val="zh-CN"/>
        </w:rPr>
        <w:t>采购人或代理机构根据有关法律法规和招标文件的规定，对投标人的资格进行审查，审查每个投标人提交的资格证明材料是否齐全、完整、合法、有效。资格性审查通过不足3家的，将不再进行下一步评审。</w:t>
      </w:r>
      <w:bookmarkEnd w:id="149"/>
      <w:bookmarkEnd w:id="150"/>
      <w:bookmarkEnd w:id="151"/>
      <w:bookmarkEnd w:id="152"/>
      <w:bookmarkEnd w:id="153"/>
      <w:bookmarkEnd w:id="154"/>
      <w:bookmarkEnd w:id="155"/>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56" w:name="_Toc21373"/>
      <w:bookmarkStart w:id="157" w:name="_Toc6889"/>
      <w:r>
        <w:rPr>
          <w:rFonts w:hint="eastAsia" w:asciiTheme="minorEastAsia" w:hAnsiTheme="minorEastAsia" w:eastAsiaTheme="minorEastAsia" w:cstheme="minorEastAsia"/>
          <w:sz w:val="24"/>
          <w:szCs w:val="24"/>
        </w:rPr>
        <w:t>6. 评标</w:t>
      </w:r>
      <w:bookmarkEnd w:id="141"/>
      <w:bookmarkEnd w:id="142"/>
      <w:bookmarkEnd w:id="143"/>
      <w:bookmarkEnd w:id="144"/>
      <w:bookmarkEnd w:id="156"/>
      <w:bookmarkEnd w:id="157"/>
    </w:p>
    <w:p>
      <w:pPr>
        <w:spacing w:line="500" w:lineRule="exact"/>
        <w:ind w:firstLine="482" w:firstLineChars="200"/>
        <w:rPr>
          <w:rFonts w:asciiTheme="minorEastAsia" w:hAnsiTheme="minorEastAsia" w:eastAsiaTheme="minorEastAsia" w:cstheme="minorEastAsia"/>
          <w:b/>
          <w:bCs/>
          <w:sz w:val="24"/>
        </w:rPr>
      </w:pPr>
      <w:bookmarkStart w:id="158" w:name="_Toc279599802"/>
      <w:bookmarkStart w:id="159" w:name="_Toc426369513"/>
      <w:bookmarkStart w:id="160" w:name="_Toc403122523"/>
      <w:bookmarkStart w:id="161" w:name="_Toc274249606"/>
      <w:r>
        <w:rPr>
          <w:rFonts w:hint="eastAsia" w:asciiTheme="minorEastAsia" w:hAnsiTheme="minorEastAsia" w:eastAsiaTheme="minorEastAsia" w:cstheme="minorEastAsia"/>
          <w:b/>
          <w:bCs/>
          <w:sz w:val="24"/>
        </w:rPr>
        <w:t>6.1 评标委员会</w:t>
      </w:r>
      <w:bookmarkEnd w:id="158"/>
      <w:bookmarkEnd w:id="159"/>
      <w:bookmarkEnd w:id="160"/>
      <w:bookmarkEnd w:id="16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（1）采购人或投标人的主要负责人的近亲属；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（3）与投标人有经济利益关系，可能影响对投标公正评审的；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62" w:name="_Toc279599803"/>
      <w:bookmarkStart w:id="163" w:name="_Toc426369514"/>
      <w:bookmarkStart w:id="164" w:name="_Toc274249607"/>
      <w:bookmarkStart w:id="165" w:name="_Toc403122524"/>
      <w:r>
        <w:rPr>
          <w:rFonts w:hint="eastAsia" w:asciiTheme="minorEastAsia" w:hAnsiTheme="minorEastAsia" w:eastAsiaTheme="minorEastAsia" w:cstheme="minorEastAsia"/>
          <w:b/>
          <w:bCs/>
          <w:sz w:val="24"/>
        </w:rPr>
        <w:t>6.2 评标原则</w:t>
      </w:r>
      <w:bookmarkEnd w:id="162"/>
      <w:bookmarkEnd w:id="163"/>
      <w:bookmarkEnd w:id="164"/>
      <w:bookmarkEnd w:id="16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400" w:lineRule="exact"/>
        <w:ind w:firstLine="482" w:firstLineChars="200"/>
        <w:rPr>
          <w:rFonts w:asciiTheme="minorEastAsia" w:hAnsiTheme="minorEastAsia" w:eastAsiaTheme="minorEastAsia" w:cstheme="minorEastAsia"/>
          <w:szCs w:val="21"/>
        </w:rPr>
      </w:pPr>
      <w:bookmarkStart w:id="166" w:name="_Toc274249608"/>
      <w:bookmarkStart w:id="167" w:name="_Toc403122525"/>
      <w:bookmarkStart w:id="168" w:name="_Toc426369515"/>
      <w:bookmarkStart w:id="169" w:name="_Toc279599804"/>
      <w:r>
        <w:rPr>
          <w:rFonts w:hint="eastAsia" w:asciiTheme="minorEastAsia" w:hAnsiTheme="minorEastAsia" w:eastAsiaTheme="minorEastAsia" w:cstheme="minorEastAsia"/>
          <w:b/>
          <w:bCs/>
          <w:sz w:val="24"/>
        </w:rPr>
        <w:t>6.3 评标</w:t>
      </w:r>
      <w:bookmarkEnd w:id="166"/>
      <w:bookmarkEnd w:id="167"/>
      <w:bookmarkEnd w:id="168"/>
      <w:bookmarkEnd w:id="16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6.3.1在评审过程中，评标委员会发现投标人有下列情形之一的，视为投标人相互串通投标，按照无效投标处理并依据法律、法规追究其相关责任。具体表现形式如下：</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同投标人的投标文件由同一单位或者个人编制；</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（2）不同投标人委托同一单位或者个人办理投标事宜；</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（3）不同投标人的投标文件载明的项目管理成员或者联系人员为同一人；</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（4）不同投标人的投标文件异常一致或者投标报价呈规律性差异；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（5）不同投标人的投标文件相互混装；</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（6）有证据证明投标人与采购人、采购代理机构或者其他投标人串通的其他情形；</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23"/>
        <w:spacing w:before="120" w:after="120" w:line="500" w:lineRule="exact"/>
        <w:ind w:right="-1029" w:rightChars="-490" w:firstLine="482" w:firstLineChars="200"/>
        <w:jc w:val="both"/>
      </w:pPr>
      <w:bookmarkStart w:id="170" w:name="_Toc21680"/>
      <w:bookmarkStart w:id="171" w:name="_Toc26569"/>
      <w:bookmarkStart w:id="172" w:name="_Toc403122526"/>
      <w:bookmarkStart w:id="173" w:name="_Toc22968"/>
      <w:bookmarkStart w:id="174" w:name="_Toc17811"/>
      <w:bookmarkStart w:id="175" w:name="_Toc426369516"/>
      <w:r>
        <w:rPr>
          <w:rFonts w:hint="eastAsia" w:asciiTheme="minorEastAsia" w:hAnsiTheme="minorEastAsia" w:eastAsiaTheme="minorEastAsia" w:cstheme="minorEastAsia"/>
          <w:sz w:val="24"/>
          <w:szCs w:val="24"/>
        </w:rPr>
        <w:t>7. 合同授予</w:t>
      </w:r>
      <w:bookmarkEnd w:id="170"/>
      <w:bookmarkEnd w:id="171"/>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426369517"/>
      <w:bookmarkStart w:id="177" w:name="_Toc279599806"/>
      <w:bookmarkStart w:id="178" w:name="_Toc274249610"/>
      <w:bookmarkStart w:id="179" w:name="_Toc403122527"/>
      <w:r>
        <w:rPr>
          <w:rFonts w:hint="eastAsia" w:asciiTheme="minorEastAsia" w:hAnsiTheme="minorEastAsia" w:eastAsiaTheme="minorEastAsia" w:cstheme="minorEastAsia"/>
          <w:b/>
          <w:bCs/>
          <w:sz w:val="24"/>
        </w:rPr>
        <w:t>7.1 定标方式</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80" w:name="_Toc403122528"/>
      <w:bookmarkStart w:id="181" w:name="_Toc279599807"/>
      <w:bookmarkStart w:id="182" w:name="_Toc274249611"/>
      <w:bookmarkStart w:id="183" w:name="_Toc426369518"/>
      <w:r>
        <w:rPr>
          <w:rFonts w:hint="eastAsia" w:asciiTheme="minorEastAsia" w:hAnsiTheme="minorEastAsia" w:eastAsiaTheme="minorEastAsia" w:cstheme="minorEastAsia"/>
          <w:b/>
          <w:bCs/>
          <w:sz w:val="24"/>
        </w:rPr>
        <w:t>7.2 中标通知</w:t>
      </w:r>
      <w:bookmarkEnd w:id="180"/>
      <w:bookmarkEnd w:id="181"/>
      <w:bookmarkEnd w:id="182"/>
      <w:bookmarkEnd w:id="18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84" w:name="_Toc279599808"/>
      <w:bookmarkStart w:id="185" w:name="_Toc311550376"/>
      <w:bookmarkStart w:id="186" w:name="_Toc274249612"/>
      <w:bookmarkStart w:id="187" w:name="_Toc426369519"/>
      <w:bookmarkStart w:id="188" w:name="_Toc403122529"/>
      <w:r>
        <w:rPr>
          <w:rFonts w:hint="eastAsia" w:asciiTheme="minorEastAsia" w:hAnsiTheme="minorEastAsia" w:eastAsiaTheme="minorEastAsia" w:cstheme="minorEastAsia"/>
          <w:b/>
          <w:bCs/>
          <w:sz w:val="24"/>
        </w:rPr>
        <w:t>7.3履约</w:t>
      </w:r>
      <w:bookmarkEnd w:id="184"/>
      <w:bookmarkEnd w:id="185"/>
      <w:bookmarkEnd w:id="186"/>
      <w:r>
        <w:rPr>
          <w:rFonts w:hint="eastAsia" w:asciiTheme="minorEastAsia" w:hAnsiTheme="minorEastAsia" w:eastAsiaTheme="minorEastAsia" w:cstheme="minorEastAsia"/>
          <w:b/>
          <w:bCs/>
          <w:sz w:val="24"/>
        </w:rPr>
        <w:t>保证金</w:t>
      </w:r>
      <w:bookmarkEnd w:id="187"/>
      <w:bookmarkEnd w:id="18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7.3.2投标保证金：无</w:t>
      </w:r>
    </w:p>
    <w:p>
      <w:pPr>
        <w:spacing w:line="500" w:lineRule="exact"/>
        <w:ind w:firstLine="482" w:firstLineChars="200"/>
        <w:rPr>
          <w:rFonts w:asciiTheme="minorEastAsia" w:hAnsiTheme="minorEastAsia" w:eastAsiaTheme="minorEastAsia" w:cstheme="minorEastAsia"/>
          <w:b/>
          <w:bCs/>
          <w:sz w:val="24"/>
        </w:rPr>
      </w:pPr>
      <w:bookmarkStart w:id="189" w:name="_Toc274249613"/>
      <w:bookmarkStart w:id="190" w:name="_Toc279599809"/>
      <w:bookmarkStart w:id="191" w:name="_Toc426369520"/>
      <w:bookmarkStart w:id="192" w:name="_Toc403122530"/>
      <w:r>
        <w:rPr>
          <w:rFonts w:hint="eastAsia" w:asciiTheme="minorEastAsia" w:hAnsiTheme="minorEastAsia" w:eastAsiaTheme="minorEastAsia" w:cstheme="minorEastAsia"/>
          <w:b/>
          <w:bCs/>
          <w:sz w:val="24"/>
        </w:rPr>
        <w:t>7.4 签订合同</w:t>
      </w:r>
      <w:bookmarkEnd w:id="189"/>
      <w:bookmarkEnd w:id="190"/>
      <w:bookmarkEnd w:id="191"/>
      <w:bookmarkEnd w:id="19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（当中标人的投标报价高于控制价的95%时，该中标人的中标价按控制价的95%执行）。</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93" w:name="_Toc426369521"/>
      <w:bookmarkStart w:id="194" w:name="_Toc30009"/>
      <w:bookmarkStart w:id="195" w:name="_Toc10541"/>
      <w:bookmarkStart w:id="196" w:name="_Toc18607"/>
      <w:bookmarkStart w:id="197" w:name="_Toc403122531"/>
      <w:bookmarkStart w:id="198" w:name="_Toc10417"/>
      <w:r>
        <w:rPr>
          <w:rFonts w:hint="eastAsia" w:asciiTheme="minorEastAsia" w:hAnsiTheme="minorEastAsia" w:eastAsiaTheme="minorEastAsia" w:cstheme="minorEastAsia"/>
          <w:sz w:val="24"/>
          <w:szCs w:val="24"/>
        </w:rPr>
        <w:t>8. 重新招标</w:t>
      </w:r>
      <w:bookmarkEnd w:id="193"/>
      <w:bookmarkEnd w:id="194"/>
      <w:bookmarkEnd w:id="195"/>
      <w:bookmarkEnd w:id="196"/>
      <w:bookmarkEnd w:id="197"/>
      <w:bookmarkEnd w:id="198"/>
    </w:p>
    <w:p>
      <w:pPr>
        <w:spacing w:line="500" w:lineRule="exact"/>
        <w:ind w:firstLine="482" w:firstLineChars="200"/>
        <w:rPr>
          <w:rFonts w:asciiTheme="minorEastAsia" w:hAnsiTheme="minorEastAsia" w:eastAsiaTheme="minorEastAsia" w:cstheme="minorEastAsia"/>
          <w:b/>
          <w:bCs/>
          <w:sz w:val="24"/>
        </w:rPr>
      </w:pPr>
      <w:bookmarkStart w:id="199" w:name="_Toc274249615"/>
      <w:bookmarkStart w:id="200" w:name="_Toc426369522"/>
      <w:bookmarkStart w:id="201" w:name="_Toc403122532"/>
      <w:bookmarkStart w:id="202" w:name="_Toc279599811"/>
      <w:r>
        <w:rPr>
          <w:rFonts w:hint="eastAsia" w:asciiTheme="minorEastAsia" w:hAnsiTheme="minorEastAsia" w:eastAsiaTheme="minorEastAsia" w:cstheme="minorEastAsia"/>
          <w:b/>
          <w:bCs/>
          <w:sz w:val="24"/>
        </w:rPr>
        <w:t>8.1 重新招标</w:t>
      </w:r>
      <w:bookmarkEnd w:id="199"/>
      <w:bookmarkEnd w:id="200"/>
      <w:bookmarkEnd w:id="201"/>
      <w:bookmarkEnd w:id="20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（1）投标截止时间止，投标人少于3个的；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3" w:name="_Toc10372"/>
      <w:bookmarkStart w:id="204" w:name="_Toc426369523"/>
      <w:bookmarkStart w:id="205" w:name="_Toc23389"/>
      <w:bookmarkStart w:id="206" w:name="_Toc403122533"/>
      <w:bookmarkStart w:id="207" w:name="_Toc3760"/>
      <w:bookmarkStart w:id="208" w:name="_Toc27398"/>
      <w:r>
        <w:rPr>
          <w:rFonts w:hint="eastAsia" w:asciiTheme="minorEastAsia" w:hAnsiTheme="minorEastAsia" w:eastAsiaTheme="minorEastAsia" w:cstheme="minorEastAsia"/>
          <w:sz w:val="24"/>
          <w:szCs w:val="24"/>
        </w:rPr>
        <w:t>9. 纪律和监督</w:t>
      </w:r>
      <w:bookmarkEnd w:id="203"/>
      <w:bookmarkEnd w:id="204"/>
      <w:bookmarkEnd w:id="205"/>
      <w:bookmarkEnd w:id="206"/>
      <w:bookmarkEnd w:id="207"/>
      <w:bookmarkEnd w:id="208"/>
    </w:p>
    <w:p>
      <w:pPr>
        <w:spacing w:line="500" w:lineRule="exact"/>
        <w:ind w:firstLine="482" w:firstLineChars="200"/>
        <w:rPr>
          <w:rFonts w:asciiTheme="minorEastAsia" w:hAnsiTheme="minorEastAsia" w:eastAsiaTheme="minorEastAsia" w:cstheme="minorEastAsia"/>
          <w:b/>
          <w:bCs/>
          <w:sz w:val="24"/>
        </w:rPr>
      </w:pPr>
      <w:bookmarkStart w:id="209" w:name="_Toc279599814"/>
      <w:bookmarkStart w:id="210" w:name="_Toc274249618"/>
      <w:bookmarkStart w:id="211" w:name="_Toc403122534"/>
      <w:bookmarkStart w:id="212" w:name="_Toc426369524"/>
      <w:r>
        <w:rPr>
          <w:rFonts w:hint="eastAsia" w:asciiTheme="minorEastAsia" w:hAnsiTheme="minorEastAsia" w:eastAsiaTheme="minorEastAsia" w:cstheme="minorEastAsia"/>
          <w:b/>
          <w:bCs/>
          <w:sz w:val="24"/>
        </w:rPr>
        <w:t>9.1 对采购人的纪律要求</w:t>
      </w:r>
      <w:bookmarkEnd w:id="209"/>
      <w:bookmarkEnd w:id="210"/>
      <w:bookmarkEnd w:id="211"/>
      <w:bookmarkEnd w:id="21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采购人不得泄漏招标投标活动中应当保密的情况和资料，不得与投标人串通损害国家利益、社会公共利益或者他人合法权益。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213" w:name="_Toc426369525"/>
      <w:bookmarkStart w:id="214" w:name="_Toc274249619"/>
      <w:bookmarkStart w:id="215" w:name="_Toc279599815"/>
      <w:bookmarkStart w:id="216" w:name="_Toc403122535"/>
      <w:r>
        <w:rPr>
          <w:rFonts w:hint="eastAsia" w:asciiTheme="minorEastAsia" w:hAnsiTheme="minorEastAsia" w:eastAsiaTheme="minorEastAsia" w:cstheme="minorEastAsia"/>
          <w:b/>
          <w:bCs/>
          <w:sz w:val="24"/>
        </w:rPr>
        <w:t>9.2 对投标人的纪律要求</w:t>
      </w:r>
      <w:bookmarkEnd w:id="213"/>
      <w:bookmarkEnd w:id="214"/>
      <w:bookmarkEnd w:id="215"/>
      <w:bookmarkEnd w:id="2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投标人不得相互串通投标或者与采购人串通投标，不得向采购人或者评标委员会成员行贿谋取中标，不得以他人名义投标或者以其他方式弄虚作假骗取中标；投标人不得以任何方式干扰、影响评标工作。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217" w:name="_Toc279599816"/>
      <w:bookmarkStart w:id="218" w:name="_Toc426369526"/>
      <w:bookmarkStart w:id="219" w:name="_Toc274249620"/>
      <w:bookmarkStart w:id="220" w:name="_Toc403122536"/>
      <w:r>
        <w:rPr>
          <w:rFonts w:hint="eastAsia" w:asciiTheme="minorEastAsia" w:hAnsiTheme="minorEastAsia" w:eastAsiaTheme="minorEastAsia" w:cstheme="minorEastAsia"/>
          <w:b/>
          <w:bCs/>
          <w:sz w:val="24"/>
        </w:rPr>
        <w:t>9.3 对评标委员会成员的纪律要求</w:t>
      </w:r>
      <w:bookmarkEnd w:id="217"/>
      <w:bookmarkEnd w:id="218"/>
      <w:bookmarkEnd w:id="219"/>
      <w:bookmarkEnd w:id="22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221" w:name="_Toc274249621"/>
      <w:bookmarkStart w:id="222" w:name="_Toc403122537"/>
      <w:bookmarkStart w:id="223" w:name="_Toc426369527"/>
      <w:bookmarkStart w:id="224" w:name="_Toc279599817"/>
      <w:r>
        <w:rPr>
          <w:rFonts w:hint="eastAsia" w:asciiTheme="minorEastAsia" w:hAnsiTheme="minorEastAsia" w:eastAsiaTheme="minorEastAsia" w:cstheme="minorEastAsia"/>
          <w:b/>
          <w:bCs/>
          <w:sz w:val="24"/>
        </w:rPr>
        <w:t>9.4 对与评标活动有关的工作人员的纪律要求</w:t>
      </w:r>
      <w:bookmarkEnd w:id="221"/>
      <w:bookmarkEnd w:id="222"/>
      <w:bookmarkEnd w:id="223"/>
      <w:bookmarkEnd w:id="22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25" w:name="_Toc403122538"/>
      <w:bookmarkStart w:id="226" w:name="_Toc274249622"/>
      <w:bookmarkStart w:id="227" w:name="_Toc426369528"/>
      <w:bookmarkStart w:id="228" w:name="_Toc279599818"/>
      <w:r>
        <w:rPr>
          <w:rFonts w:hint="eastAsia" w:asciiTheme="minorEastAsia" w:hAnsiTheme="minorEastAsia" w:eastAsiaTheme="minorEastAsia" w:cstheme="minorEastAsia"/>
          <w:b/>
          <w:bCs/>
          <w:sz w:val="24"/>
        </w:rPr>
        <w:t>9.5 投诉</w:t>
      </w:r>
      <w:bookmarkEnd w:id="225"/>
      <w:bookmarkEnd w:id="226"/>
      <w:bookmarkEnd w:id="227"/>
      <w:bookmarkEnd w:id="22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投标人和其他利害关系人认为本次招标活动违反法律、法规和规章规定的，有权向有关行政监督部门投诉。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29" w:name="_Toc13281"/>
      <w:bookmarkStart w:id="230" w:name="_Toc5888"/>
      <w:bookmarkStart w:id="231" w:name="_Toc10880"/>
      <w:bookmarkStart w:id="232" w:name="_Toc426369529"/>
      <w:bookmarkStart w:id="233" w:name="_Toc25080"/>
      <w:bookmarkStart w:id="234" w:name="_Toc403122539"/>
      <w:r>
        <w:rPr>
          <w:rFonts w:hint="eastAsia" w:asciiTheme="minorEastAsia" w:hAnsiTheme="minorEastAsia" w:eastAsiaTheme="minorEastAsia" w:cstheme="minorEastAsia"/>
          <w:sz w:val="24"/>
          <w:szCs w:val="24"/>
        </w:rPr>
        <w:t>10. 需要补充的其他内容</w:t>
      </w:r>
      <w:bookmarkEnd w:id="229"/>
      <w:bookmarkEnd w:id="230"/>
      <w:bookmarkEnd w:id="231"/>
      <w:bookmarkEnd w:id="232"/>
      <w:bookmarkEnd w:id="233"/>
      <w:bookmarkEnd w:id="234"/>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（3）投标人与采购人签订合同后，将合同报采购代理机构备案。</w:t>
      </w:r>
    </w:p>
    <w:p>
      <w:pPr>
        <w:pStyle w:val="37"/>
        <w:ind w:firstLine="482" w:firstLineChars="200"/>
        <w:rPr>
          <w:rFonts w:asciiTheme="minorEastAsia" w:hAnsiTheme="minorEastAsia" w:eastAsiaTheme="minorEastAsia" w:cstheme="minorEastAsia"/>
          <w:b/>
          <w:bCs/>
          <w:kern w:val="2"/>
          <w:sz w:val="24"/>
        </w:rPr>
      </w:pPr>
      <w:r>
        <w:rPr>
          <w:rFonts w:hint="eastAsia" w:asciiTheme="minorEastAsia" w:hAnsiTheme="minorEastAsia" w:eastAsiaTheme="minorEastAsia" w:cstheme="minorEastAsia"/>
          <w:b/>
          <w:bCs/>
          <w:kern w:val="2"/>
          <w:sz w:val="24"/>
        </w:rPr>
        <w:t>10.2本招标文件未尽事宜，按《中华人民共和国政府采购法》等法律法规的有关规定执行。</w:t>
      </w:r>
    </w:p>
    <w:p>
      <w:pPr>
        <w:pStyle w:val="3"/>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3"/>
        <w:numPr>
          <w:ilvl w:val="0"/>
          <w:numId w:val="6"/>
        </w:numPr>
        <w:spacing w:line="600" w:lineRule="exact"/>
        <w:ind w:right="-63" w:rightChars="-30"/>
        <w:rPr>
          <w:rFonts w:asciiTheme="minorEastAsia" w:hAnsiTheme="minorEastAsia" w:eastAsiaTheme="minorEastAsia" w:cstheme="minorEastAsia"/>
          <w:sz w:val="36"/>
          <w:szCs w:val="36"/>
        </w:rPr>
      </w:pPr>
      <w:bookmarkStart w:id="235" w:name="_Toc403122540"/>
      <w:bookmarkStart w:id="236" w:name="_Toc426369530"/>
      <w:bookmarkStart w:id="237" w:name="_Toc28433"/>
      <w:bookmarkStart w:id="238" w:name="_Toc2565"/>
      <w:r>
        <w:rPr>
          <w:rFonts w:hint="eastAsia" w:asciiTheme="minorEastAsia" w:hAnsiTheme="minorEastAsia" w:eastAsiaTheme="minorEastAsia" w:cstheme="minorEastAsia"/>
          <w:sz w:val="36"/>
          <w:szCs w:val="36"/>
        </w:rPr>
        <w:t>评标办法</w:t>
      </w:r>
      <w:bookmarkEnd w:id="235"/>
      <w:bookmarkEnd w:id="236"/>
      <w:bookmarkEnd w:id="237"/>
      <w:r>
        <w:rPr>
          <w:rFonts w:hint="eastAsia" w:asciiTheme="minorEastAsia" w:hAnsiTheme="minorEastAsia" w:eastAsiaTheme="minorEastAsia" w:cstheme="minorEastAsia"/>
          <w:sz w:val="36"/>
          <w:szCs w:val="36"/>
        </w:rPr>
        <w:t>（综合评分法）</w:t>
      </w:r>
      <w:bookmarkEnd w:id="238"/>
    </w:p>
    <w:p>
      <w:pPr>
        <w:pStyle w:val="38"/>
        <w:spacing w:line="540" w:lineRule="exact"/>
        <w:jc w:val="center"/>
        <w:outlineLvl w:val="2"/>
        <w:rPr>
          <w:rFonts w:asciiTheme="minorEastAsia" w:hAnsiTheme="minorEastAsia" w:eastAsiaTheme="minorEastAsia" w:cstheme="minorEastAsia"/>
          <w:b/>
          <w:bCs/>
          <w:sz w:val="28"/>
          <w:szCs w:val="28"/>
        </w:rPr>
      </w:pPr>
      <w:bookmarkStart w:id="239" w:name="_Toc17859"/>
      <w:bookmarkStart w:id="240" w:name="_Toc9561"/>
      <w:bookmarkStart w:id="241" w:name="_Toc29947"/>
      <w:bookmarkStart w:id="242" w:name="_Toc30933"/>
      <w:bookmarkStart w:id="243" w:name="_Toc31836"/>
      <w:bookmarkStart w:id="244" w:name="_Toc21885"/>
      <w:bookmarkStart w:id="245" w:name="_Toc16529"/>
      <w:bookmarkStart w:id="246" w:name="_Toc2761070"/>
      <w:r>
        <w:rPr>
          <w:rFonts w:hint="eastAsia" w:asciiTheme="minorEastAsia" w:hAnsiTheme="minorEastAsia" w:eastAsiaTheme="minorEastAsia" w:cstheme="minorEastAsia"/>
          <w:b/>
          <w:bCs/>
          <w:sz w:val="28"/>
          <w:szCs w:val="28"/>
        </w:rPr>
        <w:t>（一）评分办法前附表</w:t>
      </w:r>
      <w:bookmarkEnd w:id="239"/>
      <w:bookmarkEnd w:id="240"/>
      <w:bookmarkEnd w:id="241"/>
      <w:bookmarkEnd w:id="242"/>
      <w:bookmarkEnd w:id="243"/>
      <w:bookmarkEnd w:id="244"/>
    </w:p>
    <w:bookmarkEnd w:id="245"/>
    <w:tbl>
      <w:tblPr>
        <w:tblStyle w:val="25"/>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980"/>
        <w:gridCol w:w="2084"/>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210" w:type="dxa"/>
            <w:vAlign w:val="center"/>
          </w:tcPr>
          <w:p>
            <w:pPr>
              <w:spacing w:line="560" w:lineRule="exact"/>
              <w:jc w:val="center"/>
              <w:rPr>
                <w:rFonts w:asciiTheme="minorEastAsia" w:hAnsiTheme="minorEastAsia" w:eastAsiaTheme="minorEastAsia" w:cstheme="minorEastAsia"/>
                <w:b/>
                <w:sz w:val="24"/>
              </w:rPr>
            </w:pPr>
            <w:bookmarkStart w:id="247" w:name="_Toc31084"/>
            <w:bookmarkStart w:id="248" w:name="_Toc403122541"/>
            <w:bookmarkStart w:id="249" w:name="_Toc426369531"/>
            <w:r>
              <w:rPr>
                <w:rFonts w:hint="eastAsia" w:asciiTheme="minorEastAsia" w:hAnsiTheme="minorEastAsia" w:eastAsiaTheme="minorEastAsia" w:cstheme="minorEastAsia"/>
                <w:b/>
                <w:bCs/>
                <w:sz w:val="24"/>
              </w:rPr>
              <w:t>审查主体</w:t>
            </w:r>
          </w:p>
        </w:tc>
        <w:tc>
          <w:tcPr>
            <w:tcW w:w="3064" w:type="dxa"/>
            <w:gridSpan w:val="2"/>
            <w:vAlign w:val="center"/>
          </w:tcPr>
          <w:p>
            <w:pPr>
              <w:spacing w:line="560" w:lineRule="exact"/>
              <w:ind w:firstLine="562"/>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评审因素</w:t>
            </w:r>
          </w:p>
        </w:tc>
        <w:tc>
          <w:tcPr>
            <w:tcW w:w="5602" w:type="dxa"/>
            <w:vAlign w:val="center"/>
          </w:tcPr>
          <w:p>
            <w:pPr>
              <w:tabs>
                <w:tab w:val="left" w:pos="417"/>
                <w:tab w:val="center" w:pos="2999"/>
              </w:tabs>
              <w:spacing w:line="560" w:lineRule="exact"/>
              <w:ind w:firstLine="562"/>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trPr>
        <w:tc>
          <w:tcPr>
            <w:tcW w:w="1210" w:type="dxa"/>
            <w:vMerge w:val="restart"/>
            <w:vAlign w:val="center"/>
          </w:tcPr>
          <w:p>
            <w:pPr>
              <w:spacing w:line="320" w:lineRule="exact"/>
              <w:jc w:val="center"/>
              <w:rPr>
                <w:rFonts w:ascii="宋体" w:hAnsi="宋体" w:cs="宋体"/>
                <w:szCs w:val="21"/>
              </w:rPr>
            </w:pPr>
            <w:r>
              <w:rPr>
                <w:rFonts w:hint="eastAsia" w:ascii="宋体" w:hAnsi="宋体" w:cs="宋体"/>
                <w:szCs w:val="21"/>
              </w:rPr>
              <w:t>资格审查小组</w:t>
            </w:r>
          </w:p>
        </w:tc>
        <w:tc>
          <w:tcPr>
            <w:tcW w:w="980" w:type="dxa"/>
            <w:vMerge w:val="restart"/>
            <w:vAlign w:val="center"/>
          </w:tcPr>
          <w:p>
            <w:pPr>
              <w:spacing w:line="320" w:lineRule="exact"/>
              <w:jc w:val="center"/>
              <w:rPr>
                <w:rFonts w:ascii="宋体" w:hAnsi="宋体" w:cs="宋体"/>
                <w:szCs w:val="21"/>
              </w:rPr>
            </w:pPr>
            <w:r>
              <w:rPr>
                <w:rFonts w:hint="eastAsia" w:ascii="宋体" w:hAnsi="宋体" w:cs="宋体"/>
                <w:szCs w:val="21"/>
              </w:rPr>
              <w:t>一、资格评审标准</w:t>
            </w:r>
          </w:p>
        </w:tc>
        <w:tc>
          <w:tcPr>
            <w:tcW w:w="2084" w:type="dxa"/>
            <w:vAlign w:val="center"/>
          </w:tcPr>
          <w:p>
            <w:pPr>
              <w:spacing w:line="320" w:lineRule="exact"/>
              <w:jc w:val="center"/>
              <w:rPr>
                <w:rFonts w:ascii="宋体" w:hAnsi="宋体" w:cs="宋体"/>
                <w:szCs w:val="21"/>
              </w:rPr>
            </w:pPr>
            <w:r>
              <w:rPr>
                <w:rFonts w:hint="eastAsia" w:ascii="宋体" w:hAnsi="宋体" w:cs="宋体"/>
                <w:szCs w:val="21"/>
              </w:rPr>
              <w:t>营业执照</w:t>
            </w:r>
          </w:p>
          <w:p>
            <w:pPr>
              <w:spacing w:line="320" w:lineRule="exact"/>
              <w:jc w:val="center"/>
              <w:rPr>
                <w:rFonts w:ascii="宋体" w:hAnsi="宋体" w:cs="宋体"/>
                <w:szCs w:val="21"/>
              </w:rPr>
            </w:pPr>
            <w:r>
              <w:rPr>
                <w:rFonts w:hint="eastAsia" w:ascii="宋体" w:hAnsi="宋体" w:cs="宋体"/>
                <w:szCs w:val="21"/>
              </w:rPr>
              <w:t>（三证合一）</w:t>
            </w:r>
          </w:p>
        </w:tc>
        <w:tc>
          <w:tcPr>
            <w:tcW w:w="5602" w:type="dxa"/>
            <w:vAlign w:val="center"/>
          </w:tcPr>
          <w:p>
            <w:pPr>
              <w:spacing w:line="320" w:lineRule="exact"/>
              <w:jc w:val="center"/>
              <w:rPr>
                <w:rFonts w:ascii="宋体" w:hAnsi="宋体" w:cs="宋体"/>
                <w:szCs w:val="21"/>
              </w:rPr>
            </w:pPr>
            <w:r>
              <w:rPr>
                <w:rFonts w:hint="eastAsia" w:ascii="宋体" w:hAnsi="宋体" w:cs="宋体"/>
                <w:szCs w:val="21"/>
              </w:rPr>
              <w:t>具备有有效的事业单位法人证书或有效的营业执照（三证合一）；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210" w:type="dxa"/>
            <w:vMerge w:val="continue"/>
            <w:vAlign w:val="center"/>
          </w:tcPr>
          <w:p>
            <w:pPr>
              <w:spacing w:line="320" w:lineRule="exact"/>
              <w:jc w:val="center"/>
              <w:rPr>
                <w:rFonts w:ascii="宋体" w:hAnsi="宋体" w:cs="宋体"/>
                <w:szCs w:val="21"/>
              </w:rPr>
            </w:pPr>
          </w:p>
        </w:tc>
        <w:tc>
          <w:tcPr>
            <w:tcW w:w="980" w:type="dxa"/>
            <w:vMerge w:val="continue"/>
            <w:vAlign w:val="center"/>
          </w:tcPr>
          <w:p>
            <w:pPr>
              <w:spacing w:line="320" w:lineRule="exact"/>
              <w:jc w:val="center"/>
              <w:rPr>
                <w:rFonts w:ascii="宋体" w:hAnsi="宋体" w:cs="宋体"/>
                <w:szCs w:val="21"/>
              </w:rPr>
            </w:pPr>
          </w:p>
        </w:tc>
        <w:tc>
          <w:tcPr>
            <w:tcW w:w="2084" w:type="dxa"/>
            <w:vAlign w:val="center"/>
          </w:tcPr>
          <w:p>
            <w:pPr>
              <w:spacing w:line="320" w:lineRule="exact"/>
              <w:jc w:val="center"/>
              <w:rPr>
                <w:rFonts w:ascii="宋体" w:hAnsi="宋体" w:cs="宋体"/>
                <w:szCs w:val="21"/>
              </w:rPr>
            </w:pPr>
            <w:r>
              <w:rPr>
                <w:rFonts w:hint="eastAsia" w:ascii="宋体" w:hAnsi="宋体" w:cs="宋体"/>
                <w:szCs w:val="21"/>
              </w:rPr>
              <w:t>信誉要求</w:t>
            </w:r>
          </w:p>
        </w:tc>
        <w:tc>
          <w:tcPr>
            <w:tcW w:w="5602" w:type="dxa"/>
            <w:vAlign w:val="center"/>
          </w:tcPr>
          <w:p>
            <w:pPr>
              <w:spacing w:line="320" w:lineRule="exact"/>
              <w:jc w:val="center"/>
              <w:rPr>
                <w:rFonts w:ascii="宋体" w:hAnsi="宋体" w:cs="宋体"/>
                <w:szCs w:val="21"/>
              </w:rPr>
            </w:pPr>
            <w:r>
              <w:rPr>
                <w:rFonts w:hint="eastAsia" w:ascii="宋体" w:hAnsi="宋体" w:cs="宋体"/>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exact"/>
        </w:trPr>
        <w:tc>
          <w:tcPr>
            <w:tcW w:w="1210" w:type="dxa"/>
            <w:vMerge w:val="continue"/>
            <w:tcBorders>
              <w:bottom w:val="single" w:color="auto" w:sz="4" w:space="0"/>
            </w:tcBorders>
            <w:vAlign w:val="center"/>
          </w:tcPr>
          <w:p>
            <w:pPr>
              <w:spacing w:line="320" w:lineRule="exact"/>
              <w:jc w:val="center"/>
              <w:rPr>
                <w:rFonts w:ascii="宋体" w:hAnsi="宋体" w:cs="宋体"/>
                <w:szCs w:val="21"/>
              </w:rPr>
            </w:pPr>
          </w:p>
        </w:tc>
        <w:tc>
          <w:tcPr>
            <w:tcW w:w="980" w:type="dxa"/>
            <w:vMerge w:val="continue"/>
            <w:tcBorders>
              <w:bottom w:val="single" w:color="auto" w:sz="4" w:space="0"/>
            </w:tcBorders>
            <w:vAlign w:val="center"/>
          </w:tcPr>
          <w:p>
            <w:pPr>
              <w:spacing w:line="320" w:lineRule="exact"/>
              <w:jc w:val="center"/>
              <w:rPr>
                <w:rFonts w:ascii="宋体" w:hAnsi="宋体" w:cs="宋体"/>
                <w:szCs w:val="21"/>
              </w:rPr>
            </w:pPr>
          </w:p>
        </w:tc>
        <w:tc>
          <w:tcPr>
            <w:tcW w:w="2084" w:type="dxa"/>
            <w:tcBorders>
              <w:bottom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其他要求</w:t>
            </w:r>
          </w:p>
        </w:tc>
        <w:tc>
          <w:tcPr>
            <w:tcW w:w="5602" w:type="dxa"/>
            <w:tcBorders>
              <w:bottom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1210"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评标委员会</w:t>
            </w: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二、形式评审标准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投标人名称</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exact"/>
        </w:trPr>
        <w:tc>
          <w:tcPr>
            <w:tcW w:w="121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投标函签字盖章</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exact"/>
        </w:trPr>
        <w:tc>
          <w:tcPr>
            <w:tcW w:w="121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投标文件格式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21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报价唯一</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exact"/>
        </w:trPr>
        <w:tc>
          <w:tcPr>
            <w:tcW w:w="121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三、响应性评审标准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采购内容</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符合第二章“投标人须知”第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服务期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符合第二章“投标人须知”第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质量标准</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符合第二章“投标人须知”第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质保期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符合第二章“投标人须知”第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商务报价</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投标有效期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符合第二章“投标人须知”第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权利义务</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技术标准和要求</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highlight w:val="none"/>
              </w:rPr>
            </w:pPr>
            <w:r>
              <w:rPr>
                <w:rFonts w:hint="eastAsia" w:ascii="宋体" w:hAnsi="宋体" w:cs="宋体"/>
                <w:szCs w:val="21"/>
                <w:highlight w:val="none"/>
              </w:rPr>
              <w:t>符合第五章“</w:t>
            </w:r>
            <w:r>
              <w:rPr>
                <w:rFonts w:hint="eastAsia" w:ascii="宋体" w:hAnsi="宋体" w:cs="宋体"/>
                <w:szCs w:val="21"/>
                <w:highlight w:val="none"/>
                <w:lang w:val="en-US" w:eastAsia="zh-CN"/>
              </w:rPr>
              <w:t>服务内容及要求</w:t>
            </w:r>
            <w:r>
              <w:rPr>
                <w:rFonts w:hint="eastAsia" w:ascii="宋体" w:hAnsi="宋体" w:cs="宋体"/>
                <w:szCs w:val="21"/>
                <w:highlight w:val="none"/>
              </w:rPr>
              <w:t>”规定，若不符合第五章</w:t>
            </w:r>
            <w:r>
              <w:rPr>
                <w:rFonts w:hint="eastAsia" w:ascii="宋体" w:hAnsi="宋体" w:cs="宋体"/>
                <w:szCs w:val="21"/>
                <w:highlight w:val="none"/>
                <w:lang w:val="en-US" w:eastAsia="zh-CN"/>
              </w:rPr>
              <w:t>服务内容及要求</w:t>
            </w:r>
            <w:r>
              <w:rPr>
                <w:rFonts w:hint="eastAsia" w:ascii="宋体" w:hAnsi="宋体" w:cs="宋体"/>
                <w:szCs w:val="21"/>
                <w:highlight w:val="none"/>
              </w:rPr>
              <w:t>，将不再进行评审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exact"/>
        </w:trPr>
        <w:tc>
          <w:tcPr>
            <w:tcW w:w="121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980" w:type="dxa"/>
            <w:vMerge w:val="continue"/>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cs="宋体"/>
                <w:szCs w:val="21"/>
              </w:rPr>
            </w:pPr>
            <w:r>
              <w:rPr>
                <w:rFonts w:hint="eastAsia" w:ascii="宋体" w:hAnsi="宋体" w:cs="宋体"/>
                <w:szCs w:val="21"/>
              </w:rPr>
              <w:t>投标文件的其他响应</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s="宋体"/>
                <w:szCs w:val="21"/>
              </w:rPr>
            </w:pPr>
            <w:r>
              <w:rPr>
                <w:rFonts w:hint="eastAsia" w:ascii="宋体" w:hAnsi="宋体" w:cs="宋体"/>
                <w:szCs w:val="21"/>
              </w:rPr>
              <w:t>符合法律、法规和招标文件中规定的其他实质性要求的</w:t>
            </w:r>
          </w:p>
        </w:tc>
      </w:tr>
    </w:tbl>
    <w:p>
      <w:pPr>
        <w:spacing w:line="560" w:lineRule="exact"/>
        <w:ind w:firstLine="560"/>
        <w:rPr>
          <w:rFonts w:asciiTheme="minorEastAsia" w:hAnsiTheme="minorEastAsia" w:eastAsiaTheme="minorEastAsia" w:cstheme="minorEastAsia"/>
          <w:vanish/>
          <w:sz w:val="24"/>
        </w:rPr>
      </w:pPr>
    </w:p>
    <w:tbl>
      <w:tblPr>
        <w:tblStyle w:val="25"/>
        <w:tblpPr w:leftFromText="180" w:rightFromText="180" w:vertAnchor="text" w:horzAnchor="page" w:tblpX="1144" w:tblpY="453"/>
        <w:tblOverlap w:val="never"/>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3"/>
        <w:gridCol w:w="1396"/>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213" w:type="dxa"/>
            <w:vAlign w:val="center"/>
          </w:tcPr>
          <w:p>
            <w:pPr>
              <w:autoSpaceDE w:val="0"/>
              <w:autoSpaceDN w:val="0"/>
              <w:adjustRightInd w:val="0"/>
              <w:spacing w:line="560" w:lineRule="exact"/>
              <w:ind w:left="38" w:leftChars="18" w:firstLine="562"/>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项目</w:t>
            </w:r>
          </w:p>
        </w:tc>
        <w:tc>
          <w:tcPr>
            <w:tcW w:w="1396" w:type="dxa"/>
            <w:vAlign w:val="center"/>
          </w:tcPr>
          <w:p>
            <w:pPr>
              <w:autoSpaceDE w:val="0"/>
              <w:autoSpaceDN w:val="0"/>
              <w:adjustRightInd w:val="0"/>
              <w:spacing w:line="56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评分因素</w:t>
            </w:r>
          </w:p>
        </w:tc>
        <w:tc>
          <w:tcPr>
            <w:tcW w:w="6253" w:type="dxa"/>
            <w:vAlign w:val="center"/>
          </w:tcPr>
          <w:p>
            <w:pPr>
              <w:autoSpaceDE w:val="0"/>
              <w:autoSpaceDN w:val="0"/>
              <w:adjustRightInd w:val="0"/>
              <w:spacing w:line="560" w:lineRule="exact"/>
              <w:ind w:left="38" w:leftChars="18" w:firstLine="562"/>
              <w:jc w:val="center"/>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13" w:type="dxa"/>
            <w:vAlign w:val="center"/>
          </w:tcPr>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报价得分（25分）</w:t>
            </w:r>
          </w:p>
        </w:tc>
        <w:tc>
          <w:tcPr>
            <w:tcW w:w="1396" w:type="dxa"/>
            <w:vAlign w:val="center"/>
          </w:tcPr>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投标报价评分标准</w:t>
            </w:r>
          </w:p>
        </w:tc>
        <w:tc>
          <w:tcPr>
            <w:tcW w:w="6253" w:type="dxa"/>
            <w:vAlign w:val="center"/>
          </w:tcPr>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投标报价分采用低价优先法计算，即满足招标文件要求且投标报价最低的为评标基准价，其价格分为满分（即25分）。其他投标人的价格分统一按照下列公式计算：</w:t>
            </w:r>
          </w:p>
          <w:p>
            <w:pPr>
              <w:autoSpaceDE w:val="0"/>
              <w:autoSpaceDN w:val="0"/>
              <w:adjustRightInd w:val="0"/>
              <w:spacing w:line="560" w:lineRule="exact"/>
              <w:ind w:firstLine="560"/>
              <w:rPr>
                <w:rFonts w:asciiTheme="minorEastAsia" w:hAnsiTheme="minorEastAsia" w:eastAsiaTheme="minorEastAsia" w:cstheme="minorEastAsia"/>
                <w:sz w:val="24"/>
                <w:highlight w:val="red"/>
              </w:rPr>
            </w:pPr>
            <w:r>
              <w:rPr>
                <w:rFonts w:hint="eastAsia" w:asciiTheme="minorEastAsia" w:hAnsiTheme="minorEastAsia" w:eastAsiaTheme="minorEastAsia" w:cstheme="minorEastAsia"/>
                <w:sz w:val="24"/>
              </w:rPr>
              <w:t>报价得分=(评标基准价／投标报价)×价格权值（25分）。</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注：以上计算过程中按四舍五入保留两位小数。</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2.对小型或微型企业投标的扶持：（如有）</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2.1投标投标人为小型或微型企业时，报价给予C1的价格扣除（C1的取值为</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%），即：评标价＝投标报价（最后报价）×(1－C1）；</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小微企业应当提供《中小企业声明函》（见格式）。</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2.2按照《政府采购促进中小企业发展管理办法》有关规定，中小企业的标准为：</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2.2.1提供本企业制造的货物、承担的工程或者服务，或者提供其他中小企业制造的货物，不包括提供或使用大型企业注册商标的货物；</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2.2.2本规定所称中小企业划分标准，是指国务院有关部门根据企业从业人员、营业收入、资产总额等指标制定的中小企业划型标准（工信部联企业[2011]300号）；</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2.2.3小型、微型企业提供有中型企业制造的货物的，视同为中型企业；小型、微型、中型企业提供有大型企业制造的货物的，视同为大型企业。</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%的扣除。</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同一投标人，小微企业、监狱、残疾人福利性企业同一产品价格扣除优惠只享受一次，不得重复享受。</w:t>
            </w:r>
          </w:p>
          <w:p>
            <w:pPr>
              <w:autoSpaceDE w:val="0"/>
              <w:autoSpaceDN w:val="0"/>
              <w:adjustRightInd w:val="0"/>
              <w:spacing w:line="560" w:lineRule="exact"/>
              <w:ind w:firstLine="56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213" w:type="dxa"/>
            <w:vMerge w:val="restart"/>
            <w:vAlign w:val="center"/>
          </w:tcPr>
          <w:p>
            <w:pPr>
              <w:widowControl/>
              <w:spacing w:line="560" w:lineRule="exact"/>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Cs/>
                <w:sz w:val="24"/>
              </w:rPr>
              <w:t>技术部分（40分）</w:t>
            </w:r>
          </w:p>
        </w:tc>
        <w:tc>
          <w:tcPr>
            <w:tcW w:w="1396" w:type="dxa"/>
            <w:vMerge w:val="restart"/>
            <w:vAlign w:val="center"/>
          </w:tcPr>
          <w:p>
            <w:pPr>
              <w:autoSpaceDE w:val="0"/>
              <w:autoSpaceDN w:val="0"/>
              <w:adjustRightInd w:val="0"/>
              <w:spacing w:line="560" w:lineRule="exact"/>
              <w:jc w:val="center"/>
              <w:rPr>
                <w:rFonts w:asciiTheme="minorEastAsia" w:hAnsiTheme="minorEastAsia" w:eastAsiaTheme="minorEastAsia" w:cstheme="minorEastAsia"/>
                <w:sz w:val="24"/>
              </w:rPr>
            </w:pPr>
          </w:p>
          <w:p>
            <w:pPr>
              <w:widowControl/>
              <w:spacing w:line="560" w:lineRule="exact"/>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实施方案及保障措施</w:t>
            </w:r>
          </w:p>
          <w:p>
            <w:pPr>
              <w:autoSpaceDE w:val="0"/>
              <w:autoSpaceDN w:val="0"/>
              <w:adjustRightInd w:val="0"/>
              <w:spacing w:line="560" w:lineRule="exact"/>
              <w:jc w:val="center"/>
              <w:rPr>
                <w:rFonts w:asciiTheme="minorEastAsia" w:hAnsiTheme="minorEastAsia" w:eastAsiaTheme="minorEastAsia" w:cstheme="minorEastAsia"/>
                <w:sz w:val="24"/>
              </w:rPr>
            </w:pPr>
          </w:p>
        </w:tc>
        <w:tc>
          <w:tcPr>
            <w:tcW w:w="6253" w:type="dxa"/>
            <w:vAlign w:val="center"/>
          </w:tcPr>
          <w:p>
            <w:pPr>
              <w:autoSpaceDE w:val="0"/>
              <w:autoSpaceDN w:val="0"/>
              <w:adjustRightInd w:val="0"/>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1.针对项目具体的咨询服务方案，包括约谈方式、项目实施机构提供的资料信息、调研措施；优者得6-8分，良好得3-5分，一般得1-2分，不提供不得分。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213" w:type="dxa"/>
            <w:vMerge w:val="continue"/>
            <w:vAlign w:val="center"/>
          </w:tcPr>
          <w:p>
            <w:pPr>
              <w:widowControl/>
              <w:spacing w:line="560" w:lineRule="exact"/>
              <w:ind w:firstLine="562"/>
              <w:jc w:val="center"/>
              <w:rPr>
                <w:rFonts w:asciiTheme="minorEastAsia" w:hAnsiTheme="minorEastAsia" w:eastAsiaTheme="minorEastAsia" w:cstheme="minorEastAsia"/>
                <w:b/>
                <w:sz w:val="24"/>
              </w:rPr>
            </w:pPr>
          </w:p>
        </w:tc>
        <w:tc>
          <w:tcPr>
            <w:tcW w:w="1396" w:type="dxa"/>
            <w:vMerge w:val="continue"/>
            <w:vAlign w:val="center"/>
          </w:tcPr>
          <w:p>
            <w:pPr>
              <w:autoSpaceDE w:val="0"/>
              <w:autoSpaceDN w:val="0"/>
              <w:adjustRightInd w:val="0"/>
              <w:spacing w:line="560" w:lineRule="exact"/>
              <w:rPr>
                <w:rFonts w:asciiTheme="minorEastAsia" w:hAnsiTheme="minorEastAsia" w:eastAsiaTheme="minorEastAsia" w:cstheme="minorEastAsia"/>
                <w:sz w:val="24"/>
              </w:rPr>
            </w:pPr>
          </w:p>
        </w:tc>
        <w:tc>
          <w:tcPr>
            <w:tcW w:w="6253" w:type="dxa"/>
            <w:vAlign w:val="center"/>
          </w:tcPr>
          <w:p>
            <w:pPr>
              <w:autoSpaceDE w:val="0"/>
              <w:autoSpaceDN w:val="0"/>
              <w:adjustRightInd w:val="0"/>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2.实施方案及物有所值报告、财政承受能力报告编制，项目推介、申报方案，协助项目实施机构选定社会资本方法的方案，等进行表述；优者得6-8分，良好得3-5分，一般得1-2分，不提供不得分。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213" w:type="dxa"/>
            <w:vMerge w:val="continue"/>
            <w:vAlign w:val="center"/>
          </w:tcPr>
          <w:p>
            <w:pPr>
              <w:widowControl/>
              <w:spacing w:line="560" w:lineRule="exact"/>
              <w:ind w:firstLine="562"/>
              <w:jc w:val="center"/>
              <w:rPr>
                <w:rFonts w:asciiTheme="minorEastAsia" w:hAnsiTheme="minorEastAsia" w:eastAsiaTheme="minorEastAsia" w:cstheme="minorEastAsia"/>
                <w:b/>
                <w:sz w:val="24"/>
              </w:rPr>
            </w:pPr>
          </w:p>
        </w:tc>
        <w:tc>
          <w:tcPr>
            <w:tcW w:w="1396" w:type="dxa"/>
            <w:vMerge w:val="continue"/>
            <w:vAlign w:val="center"/>
          </w:tcPr>
          <w:p>
            <w:pPr>
              <w:widowControl/>
              <w:spacing w:line="560" w:lineRule="exact"/>
              <w:rPr>
                <w:rFonts w:asciiTheme="minorEastAsia" w:hAnsiTheme="minorEastAsia" w:eastAsiaTheme="minorEastAsia" w:cstheme="minorEastAsia"/>
                <w:sz w:val="24"/>
              </w:rPr>
            </w:pPr>
          </w:p>
        </w:tc>
        <w:tc>
          <w:tcPr>
            <w:tcW w:w="6253" w:type="dxa"/>
            <w:vAlign w:val="center"/>
          </w:tcPr>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3.咨询机构管理体系以及确保上述咨询服务工作质量的措施；优者得6-8分，良好得3-5分，一般得1-2分，不提供不得分。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213" w:type="dxa"/>
            <w:vMerge w:val="continue"/>
            <w:vAlign w:val="center"/>
          </w:tcPr>
          <w:p>
            <w:pPr>
              <w:widowControl/>
              <w:spacing w:line="560" w:lineRule="exact"/>
              <w:ind w:firstLine="562"/>
              <w:jc w:val="center"/>
              <w:rPr>
                <w:rFonts w:asciiTheme="minorEastAsia" w:hAnsiTheme="minorEastAsia" w:eastAsiaTheme="minorEastAsia" w:cstheme="minorEastAsia"/>
                <w:b/>
                <w:sz w:val="24"/>
              </w:rPr>
            </w:pPr>
          </w:p>
        </w:tc>
        <w:tc>
          <w:tcPr>
            <w:tcW w:w="1396" w:type="dxa"/>
            <w:vMerge w:val="continue"/>
            <w:vAlign w:val="center"/>
          </w:tcPr>
          <w:p>
            <w:pPr>
              <w:widowControl/>
              <w:spacing w:line="560" w:lineRule="exact"/>
              <w:rPr>
                <w:rFonts w:asciiTheme="minorEastAsia" w:hAnsiTheme="minorEastAsia" w:eastAsiaTheme="minorEastAsia" w:cstheme="minorEastAsia"/>
                <w:sz w:val="24"/>
              </w:rPr>
            </w:pPr>
          </w:p>
        </w:tc>
        <w:tc>
          <w:tcPr>
            <w:tcW w:w="6253" w:type="dxa"/>
            <w:vAlign w:val="center"/>
          </w:tcPr>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4.组织实施方案、人员安排计划、项目实施组织机构情况、负责人业绩与介绍、进度保证、工作标准与要求；优者得6-8分，良好得3-5分，一般得1-2分，不提供不得分。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213" w:type="dxa"/>
            <w:vMerge w:val="continue"/>
            <w:vAlign w:val="center"/>
          </w:tcPr>
          <w:p>
            <w:pPr>
              <w:widowControl/>
              <w:spacing w:line="560" w:lineRule="exact"/>
              <w:ind w:firstLine="562"/>
              <w:jc w:val="center"/>
              <w:rPr>
                <w:rFonts w:asciiTheme="minorEastAsia" w:hAnsiTheme="minorEastAsia" w:eastAsiaTheme="minorEastAsia" w:cstheme="minorEastAsia"/>
                <w:b/>
                <w:sz w:val="24"/>
              </w:rPr>
            </w:pPr>
          </w:p>
        </w:tc>
        <w:tc>
          <w:tcPr>
            <w:tcW w:w="1396" w:type="dxa"/>
            <w:vMerge w:val="continue"/>
            <w:vAlign w:val="center"/>
          </w:tcPr>
          <w:p>
            <w:pPr>
              <w:widowControl/>
              <w:spacing w:line="560" w:lineRule="exact"/>
              <w:rPr>
                <w:rFonts w:asciiTheme="minorEastAsia" w:hAnsiTheme="minorEastAsia" w:eastAsiaTheme="minorEastAsia" w:cstheme="minorEastAsia"/>
                <w:sz w:val="24"/>
              </w:rPr>
            </w:pPr>
          </w:p>
        </w:tc>
        <w:tc>
          <w:tcPr>
            <w:tcW w:w="6253" w:type="dxa"/>
            <w:vAlign w:val="center"/>
          </w:tcPr>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5.根据实施方案及保障措施，评审其给出的PPP实施方案能否根据政府和社会资本合作（PPP）模式项目的服务需求做出深入分析，思路是否清晰，实施步骤是否明晰，措施是否完善、可行，综合酌情打分；优者得6-8分，良好得3-5分，一般得1-2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213" w:type="dxa"/>
            <w:vMerge w:val="restart"/>
            <w:vAlign w:val="center"/>
          </w:tcPr>
          <w:p>
            <w:pPr>
              <w:widowControl/>
              <w:spacing w:line="560" w:lineRule="exact"/>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商务部分（35分）</w:t>
            </w:r>
          </w:p>
          <w:p>
            <w:pPr>
              <w:widowControl/>
              <w:spacing w:line="560" w:lineRule="exact"/>
              <w:ind w:firstLine="562"/>
              <w:jc w:val="center"/>
              <w:rPr>
                <w:rFonts w:asciiTheme="minorEastAsia" w:hAnsiTheme="minorEastAsia" w:eastAsiaTheme="minorEastAsia" w:cstheme="minorEastAsia"/>
                <w:b/>
                <w:sz w:val="24"/>
              </w:rPr>
            </w:pPr>
          </w:p>
        </w:tc>
        <w:tc>
          <w:tcPr>
            <w:tcW w:w="1396" w:type="dxa"/>
            <w:vAlign w:val="center"/>
          </w:tcPr>
          <w:p>
            <w:pPr>
              <w:widowControl/>
              <w:spacing w:line="5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企业实力（9分）</w:t>
            </w:r>
          </w:p>
        </w:tc>
        <w:tc>
          <w:tcPr>
            <w:tcW w:w="6253" w:type="dxa"/>
            <w:vAlign w:val="center"/>
          </w:tcPr>
          <w:p>
            <w:pPr>
              <w:widowControl/>
              <w:spacing w:line="560" w:lineRule="exact"/>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lang w:val="zh-CN"/>
              </w:rPr>
              <w:t>项目负责人：注册咨询工程师（投资）证书的得</w:t>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lang w:val="zh-CN"/>
              </w:rPr>
              <w:t>分。没有不得分；</w:t>
            </w:r>
          </w:p>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lang w:val="zh-CN"/>
              </w:rPr>
              <w:t>项目负责人具有类似</w:t>
            </w:r>
            <w:r>
              <w:rPr>
                <w:rFonts w:hint="eastAsia" w:asciiTheme="minorEastAsia" w:hAnsiTheme="minorEastAsia" w:eastAsiaTheme="minorEastAsia" w:cstheme="minorEastAsia"/>
                <w:sz w:val="24"/>
              </w:rPr>
              <w:t>业绩得3分（提供咨询师工程师（投资）执业注册</w:t>
            </w:r>
            <w:r>
              <w:rPr>
                <w:rFonts w:hint="eastAsia" w:asciiTheme="minorEastAsia" w:hAnsiTheme="minorEastAsia" w:eastAsiaTheme="minorEastAsia" w:cstheme="minorEastAsia"/>
                <w:sz w:val="24"/>
                <w:highlight w:val="none"/>
              </w:rPr>
              <w:t>业绩签章、合</w:t>
            </w:r>
            <w:r>
              <w:rPr>
                <w:rFonts w:hint="eastAsia" w:asciiTheme="minorEastAsia" w:hAnsiTheme="minorEastAsia" w:eastAsiaTheme="minorEastAsia" w:cstheme="minorEastAsia"/>
                <w:sz w:val="24"/>
              </w:rPr>
              <w:t>同）；</w:t>
            </w:r>
          </w:p>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w:t>
            </w:r>
            <w:r>
              <w:rPr>
                <w:rFonts w:hint="eastAsia" w:asciiTheme="minorEastAsia" w:hAnsiTheme="minorEastAsia" w:eastAsiaTheme="minorEastAsia" w:cstheme="minorEastAsia"/>
                <w:sz w:val="24"/>
                <w:lang w:val="zh-CN"/>
              </w:rPr>
              <w:t>拟派团队成员：每拥有1名咨询工程师（投资）得1分,拥有1名高级职称人员（包括高级经济师、高级会计师、高级工程师等）得2分，最高得4分。</w:t>
            </w:r>
            <w:r>
              <w:rPr>
                <w:rFonts w:hint="eastAsia" w:asciiTheme="minorEastAsia" w:hAnsiTheme="minorEastAsia" w:eastAsiaTheme="minorEastAsia" w:cstheme="minorEastAsia"/>
                <w:sz w:val="24"/>
              </w:rPr>
              <w:t xml:space="preserve">  </w:t>
            </w:r>
          </w:p>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zh-CN"/>
              </w:rPr>
              <w:t>（一人多证不重复计算。需提供以上人员证件及劳动合同）</w:t>
            </w:r>
            <w:r>
              <w:rPr>
                <w:rFonts w:hint="eastAsia" w:asciiTheme="minorEastAsia" w:hAnsiTheme="minorEastAsia" w:eastAsiaTheme="minorEastAsia" w:cstheme="minor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13" w:type="dxa"/>
            <w:vMerge w:val="continue"/>
            <w:vAlign w:val="center"/>
          </w:tcPr>
          <w:p>
            <w:pPr>
              <w:widowControl/>
              <w:spacing w:line="560" w:lineRule="exact"/>
              <w:ind w:firstLine="562"/>
              <w:jc w:val="center"/>
              <w:rPr>
                <w:rFonts w:asciiTheme="minorEastAsia" w:hAnsiTheme="minorEastAsia" w:eastAsiaTheme="minorEastAsia" w:cstheme="minorEastAsia"/>
                <w:b/>
                <w:sz w:val="24"/>
              </w:rPr>
            </w:pPr>
          </w:p>
        </w:tc>
        <w:tc>
          <w:tcPr>
            <w:tcW w:w="1396" w:type="dxa"/>
            <w:vAlign w:val="center"/>
          </w:tcPr>
          <w:p>
            <w:pPr>
              <w:pStyle w:val="48"/>
              <w:spacing w:before="1" w:line="5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企业业绩（</w:t>
            </w:r>
            <w:r>
              <w:rPr>
                <w:rFonts w:hint="eastAsia" w:asciiTheme="minorEastAsia" w:hAnsiTheme="minorEastAsia" w:eastAsiaTheme="minorEastAsia" w:cstheme="minorEastAsia"/>
                <w:sz w:val="24"/>
                <w:lang w:val="en-US"/>
              </w:rPr>
              <w:t>15</w:t>
            </w:r>
            <w:r>
              <w:rPr>
                <w:rFonts w:hint="eastAsia" w:asciiTheme="minorEastAsia" w:hAnsiTheme="minorEastAsia" w:eastAsiaTheme="minorEastAsia" w:cstheme="minorEastAsia"/>
                <w:sz w:val="24"/>
              </w:rPr>
              <w:t>分）</w:t>
            </w:r>
          </w:p>
        </w:tc>
        <w:tc>
          <w:tcPr>
            <w:tcW w:w="6253" w:type="dxa"/>
            <w:vAlign w:val="center"/>
          </w:tcPr>
          <w:p>
            <w:pPr>
              <w:widowControl/>
              <w:spacing w:line="60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20</w:t>
            </w:r>
            <w:r>
              <w:rPr>
                <w:rFonts w:asciiTheme="minorEastAsia" w:hAnsiTheme="minorEastAsia" w:eastAsiaTheme="minorEastAsia" w:cstheme="minorEastAsia"/>
                <w:color w:val="auto"/>
                <w:sz w:val="24"/>
              </w:rPr>
              <w:t>17</w:t>
            </w:r>
            <w:r>
              <w:rPr>
                <w:rFonts w:hint="eastAsia" w:asciiTheme="minorEastAsia" w:hAnsiTheme="minorEastAsia" w:eastAsiaTheme="minorEastAsia" w:cstheme="minorEastAsia"/>
                <w:color w:val="auto"/>
                <w:sz w:val="24"/>
              </w:rPr>
              <w:t>年至今每拥有一个落地P</w:t>
            </w:r>
            <w:r>
              <w:rPr>
                <w:rFonts w:asciiTheme="minorEastAsia" w:hAnsiTheme="minorEastAsia" w:eastAsiaTheme="minorEastAsia" w:cstheme="minorEastAsia"/>
                <w:color w:val="auto"/>
                <w:sz w:val="24"/>
              </w:rPr>
              <w:t>PP</w:t>
            </w:r>
            <w:r>
              <w:rPr>
                <w:rFonts w:hint="eastAsia" w:asciiTheme="minorEastAsia" w:hAnsiTheme="minorEastAsia" w:eastAsiaTheme="minorEastAsia" w:cstheme="minorEastAsia"/>
                <w:color w:val="auto"/>
                <w:sz w:val="24"/>
              </w:rPr>
              <w:t>项目得</w:t>
            </w:r>
            <w:r>
              <w:rPr>
                <w:rFonts w:asciiTheme="minorEastAsia" w:hAnsiTheme="minorEastAsia" w:eastAsiaTheme="minorEastAsia" w:cstheme="minorEastAsia"/>
                <w:color w:val="auto"/>
                <w:sz w:val="24"/>
              </w:rPr>
              <w:t>3</w:t>
            </w:r>
            <w:r>
              <w:rPr>
                <w:rFonts w:hint="eastAsia" w:asciiTheme="minorEastAsia" w:hAnsiTheme="minorEastAsia" w:eastAsiaTheme="minorEastAsia" w:cstheme="minorEastAsia"/>
                <w:color w:val="auto"/>
                <w:sz w:val="24"/>
              </w:rPr>
              <w:t>分，最高得6分。</w:t>
            </w:r>
          </w:p>
          <w:p>
            <w:pPr>
              <w:pStyle w:val="2"/>
              <w:ind w:firstLine="0" w:firstLineChars="0"/>
              <w:rPr>
                <w:rFonts w:hint="default" w:eastAsiaTheme="minorEastAsia"/>
                <w:color w:val="auto"/>
              </w:rPr>
            </w:pPr>
            <w:r>
              <w:rPr>
                <w:rFonts w:asciiTheme="minorEastAsia" w:hAnsiTheme="minorEastAsia" w:eastAsiaTheme="minorEastAsia" w:cstheme="minorEastAsia"/>
                <w:color w:val="auto"/>
                <w:sz w:val="24"/>
              </w:rPr>
              <w:t>2018年以来每拥有一个进入财政部PPP管理库项目业绩的，每个得3分，最高得9分（提供PPP咨询合同、服务项目在财政部PPP管理库截图、服务PPP项目社会资本方中标公告）。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213" w:type="dxa"/>
            <w:vMerge w:val="continue"/>
            <w:vAlign w:val="center"/>
          </w:tcPr>
          <w:p>
            <w:pPr>
              <w:widowControl/>
              <w:spacing w:line="560" w:lineRule="exact"/>
              <w:ind w:firstLine="562"/>
              <w:jc w:val="center"/>
              <w:rPr>
                <w:rFonts w:asciiTheme="minorEastAsia" w:hAnsiTheme="minorEastAsia" w:eastAsiaTheme="minorEastAsia" w:cstheme="minorEastAsia"/>
                <w:b/>
                <w:sz w:val="24"/>
              </w:rPr>
            </w:pPr>
          </w:p>
        </w:tc>
        <w:tc>
          <w:tcPr>
            <w:tcW w:w="1396" w:type="dxa"/>
            <w:vAlign w:val="center"/>
          </w:tcPr>
          <w:p>
            <w:pPr>
              <w:spacing w:line="560" w:lineRule="exact"/>
              <w:jc w:val="center"/>
              <w:rPr>
                <w:rFonts w:ascii="黑体" w:hAnsi="黑体" w:eastAsia="黑体" w:cs="黑体"/>
                <w:sz w:val="22"/>
                <w:szCs w:val="22"/>
              </w:rPr>
            </w:pPr>
            <w:r>
              <w:rPr>
                <w:rFonts w:hint="eastAsia" w:ascii="黑体" w:hAnsi="黑体" w:eastAsia="黑体" w:cs="黑体"/>
                <w:sz w:val="22"/>
                <w:szCs w:val="22"/>
              </w:rPr>
              <w:t>投标人专家情况</w:t>
            </w:r>
          </w:p>
          <w:p>
            <w:pPr>
              <w:spacing w:line="5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zh-CN"/>
              </w:rPr>
              <w:t>（</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zh-CN"/>
              </w:rPr>
              <w:t>分）</w:t>
            </w:r>
          </w:p>
        </w:tc>
        <w:tc>
          <w:tcPr>
            <w:tcW w:w="6253" w:type="dxa"/>
            <w:vAlign w:val="center"/>
          </w:tcPr>
          <w:p>
            <w:pPr>
              <w:widowControl/>
              <w:spacing w:line="560" w:lineRule="exac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投标人每有一位财政部PPP入库专家得2分，最高得6分。（须提供河南省财政厅PPP推介专家库的网页截图和社保或劳动合同证明）。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213" w:type="dxa"/>
            <w:vMerge w:val="continue"/>
            <w:vAlign w:val="center"/>
          </w:tcPr>
          <w:p>
            <w:pPr>
              <w:widowControl/>
              <w:spacing w:line="560" w:lineRule="exact"/>
              <w:ind w:firstLine="562"/>
              <w:rPr>
                <w:rFonts w:asciiTheme="minorEastAsia" w:hAnsiTheme="minorEastAsia" w:eastAsiaTheme="minorEastAsia" w:cstheme="minorEastAsia"/>
                <w:b/>
                <w:sz w:val="24"/>
              </w:rPr>
            </w:pPr>
          </w:p>
        </w:tc>
        <w:tc>
          <w:tcPr>
            <w:tcW w:w="1396" w:type="dxa"/>
            <w:vAlign w:val="center"/>
          </w:tcPr>
          <w:p>
            <w:pPr>
              <w:spacing w:line="560" w:lineRule="exact"/>
              <w:jc w:val="center"/>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lang w:val="zh-CN"/>
              </w:rPr>
              <w:t>服务承诺（</w:t>
            </w:r>
            <w:r>
              <w:rPr>
                <w:rFonts w:hint="eastAsia" w:asciiTheme="minorEastAsia" w:hAnsiTheme="minorEastAsia" w:eastAsiaTheme="minorEastAsia" w:cstheme="minorEastAsia"/>
                <w:color w:val="auto"/>
                <w:sz w:val="24"/>
              </w:rPr>
              <w:t>5分</w:t>
            </w:r>
            <w:r>
              <w:rPr>
                <w:rFonts w:hint="eastAsia" w:asciiTheme="minorEastAsia" w:hAnsiTheme="minorEastAsia" w:eastAsiaTheme="minorEastAsia" w:cstheme="minorEastAsia"/>
                <w:color w:val="auto"/>
                <w:sz w:val="24"/>
                <w:lang w:val="zh-CN"/>
              </w:rPr>
              <w:t>）</w:t>
            </w:r>
          </w:p>
        </w:tc>
        <w:tc>
          <w:tcPr>
            <w:tcW w:w="6253" w:type="dxa"/>
            <w:vAlign w:val="center"/>
          </w:tcPr>
          <w:p>
            <w:pPr>
              <w:widowControl/>
              <w:spacing w:line="56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针对本项目提供的服务承诺，优者得4-5分，良好得2-3分，一般得1分，不提供不得分</w:t>
            </w:r>
          </w:p>
        </w:tc>
      </w:tr>
    </w:tbl>
    <w:p>
      <w:pPr>
        <w:pStyle w:val="3"/>
        <w:rPr>
          <w:rFonts w:asciiTheme="minorEastAsia" w:hAnsiTheme="minorEastAsia" w:eastAsiaTheme="minorEastAsia" w:cstheme="minorEastAsia"/>
          <w:sz w:val="24"/>
        </w:rPr>
      </w:pPr>
    </w:p>
    <w:p>
      <w:pPr>
        <w:pStyle w:val="21"/>
        <w:rPr>
          <w:rFonts w:asciiTheme="minorEastAsia" w:hAnsiTheme="minorEastAsia" w:eastAsiaTheme="minorEastAsia" w:cstheme="minorEastAsia"/>
          <w:sz w:val="24"/>
        </w:rPr>
      </w:pPr>
    </w:p>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50" w:name="_Toc21064"/>
      <w:bookmarkStart w:id="251" w:name="_Toc19403"/>
      <w:bookmarkStart w:id="252" w:name="_Toc465502579"/>
      <w:bookmarkStart w:id="253" w:name="_Toc454147538"/>
      <w:bookmarkStart w:id="254" w:name="_Toc466017207"/>
      <w:r>
        <w:rPr>
          <w:rFonts w:hint="eastAsia" w:ascii="宋体" w:hAnsi="宋体" w:cs="仿宋_GB2312"/>
          <w:b/>
          <w:sz w:val="28"/>
          <w:szCs w:val="28"/>
        </w:rPr>
        <w:t xml:space="preserve"> </w:t>
      </w:r>
      <w:bookmarkStart w:id="255" w:name="_Toc19346"/>
      <w:bookmarkStart w:id="256" w:name="_Toc6843"/>
      <w:r>
        <w:rPr>
          <w:rFonts w:hint="eastAsia" w:ascii="宋体" w:hAnsi="宋体" w:cs="仿宋_GB2312"/>
          <w:b/>
          <w:sz w:val="28"/>
          <w:szCs w:val="28"/>
        </w:rPr>
        <w:t>评标准则和评标方法</w:t>
      </w:r>
      <w:bookmarkEnd w:id="250"/>
      <w:bookmarkEnd w:id="251"/>
      <w:bookmarkEnd w:id="252"/>
      <w:bookmarkEnd w:id="253"/>
      <w:bookmarkEnd w:id="254"/>
      <w:bookmarkEnd w:id="255"/>
      <w:bookmarkEnd w:id="256"/>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57" w:name="_Toc13195"/>
      <w:bookmarkStart w:id="258" w:name="_Toc454147539"/>
      <w:bookmarkStart w:id="259" w:name="_Toc4593"/>
      <w:bookmarkStart w:id="260" w:name="_Toc7951"/>
      <w:bookmarkStart w:id="261" w:name="_Toc466017208"/>
      <w:bookmarkStart w:id="262" w:name="_Toc15449"/>
      <w:bookmarkStart w:id="263" w:name="_Toc465502580"/>
      <w:r>
        <w:rPr>
          <w:rFonts w:hint="eastAsia" w:ascii="宋体" w:hAnsi="宋体" w:cs="仿宋_GB2312"/>
          <w:b/>
          <w:sz w:val="28"/>
          <w:szCs w:val="28"/>
        </w:rPr>
        <w:t>评审标准</w:t>
      </w:r>
      <w:bookmarkEnd w:id="257"/>
      <w:bookmarkEnd w:id="258"/>
      <w:bookmarkEnd w:id="259"/>
      <w:bookmarkEnd w:id="260"/>
      <w:bookmarkEnd w:id="261"/>
      <w:bookmarkEnd w:id="262"/>
      <w:bookmarkEnd w:id="263"/>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评分标准：详见《评分办法前附表》报价部分、技术部分、商务部分评审因素。</w:t>
      </w:r>
    </w:p>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64" w:name="_Toc11065"/>
      <w:bookmarkStart w:id="265" w:name="_Toc19609"/>
      <w:bookmarkStart w:id="266" w:name="_Toc28348"/>
      <w:r>
        <w:rPr>
          <w:rFonts w:hint="eastAsia" w:ascii="宋体" w:hAnsi="宋体" w:cs="仿宋_GB2312"/>
          <w:b/>
          <w:sz w:val="28"/>
          <w:szCs w:val="28"/>
        </w:rPr>
        <w:t>评标程序</w:t>
      </w:r>
      <w:bookmarkEnd w:id="264"/>
      <w:bookmarkEnd w:id="265"/>
      <w:bookmarkEnd w:id="266"/>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未按照招标文件规定要求签署、盖章的；</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w:t>
      </w:r>
      <w:r>
        <w:rPr>
          <w:rFonts w:hint="eastAsia"/>
        </w:rPr>
        <w:t>的</w:t>
      </w:r>
      <w:r>
        <w:rPr>
          <w:rFonts w:hint="eastAsia"/>
          <w:lang w:val="zh-CN"/>
        </w:rPr>
        <w:t>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pPr>
      <w:r>
        <w:rPr>
          <w:rFonts w:hint="eastAsia"/>
        </w:rPr>
        <w:t xml:space="preserve">3.4.1 </w:t>
      </w:r>
      <w:r>
        <w:rPr>
          <w:rFonts w:hint="eastAsia"/>
          <w:lang w:val="zh-CN"/>
        </w:rPr>
        <w:t>投标人得分=投标报价得分+</w:t>
      </w:r>
      <w:r>
        <w:rPr>
          <w:rFonts w:hint="eastAsia"/>
        </w:rPr>
        <w:t>技术部分得分</w:t>
      </w:r>
      <w:r>
        <w:rPr>
          <w:rFonts w:hint="eastAsia"/>
          <w:lang w:val="zh-CN"/>
        </w:rPr>
        <w:t>+</w:t>
      </w:r>
      <w:r>
        <w:rPr>
          <w:rFonts w:hint="eastAsia"/>
        </w:rPr>
        <w:t>商务部分得分</w:t>
      </w:r>
    </w:p>
    <w:p>
      <w:pPr>
        <w:adjustRightInd w:val="0"/>
        <w:snapToGrid w:val="0"/>
        <w:spacing w:line="560" w:lineRule="exact"/>
        <w:rPr>
          <w:lang w:val="zh-CN"/>
        </w:rPr>
      </w:pP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67" w:name="_Toc28863"/>
      <w:bookmarkStart w:id="268" w:name="_Toc11630"/>
      <w:bookmarkStart w:id="269" w:name="_Toc54"/>
      <w:bookmarkStart w:id="270" w:name="_Toc7468"/>
      <w:bookmarkStart w:id="271" w:name="_Toc16293"/>
      <w:bookmarkStart w:id="272" w:name="_Toc17922"/>
      <w:bookmarkStart w:id="273" w:name="_Toc19590"/>
      <w:r>
        <w:rPr>
          <w:rFonts w:hint="eastAsia"/>
          <w:b/>
          <w:bCs/>
          <w:sz w:val="24"/>
        </w:rPr>
        <w:t>3.6 保密及其他注意事项</w:t>
      </w:r>
      <w:bookmarkEnd w:id="267"/>
      <w:bookmarkEnd w:id="268"/>
      <w:bookmarkEnd w:id="269"/>
      <w:bookmarkEnd w:id="270"/>
      <w:bookmarkEnd w:id="271"/>
      <w:bookmarkEnd w:id="272"/>
      <w:bookmarkEnd w:id="273"/>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23"/>
        <w:numPr>
          <w:ilvl w:val="0"/>
          <w:numId w:val="6"/>
        </w:numPr>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 </w:t>
      </w:r>
      <w:bookmarkStart w:id="274" w:name="_Toc9424"/>
      <w:r>
        <w:rPr>
          <w:rFonts w:hint="eastAsia" w:asciiTheme="minorEastAsia" w:hAnsiTheme="minorEastAsia" w:eastAsiaTheme="minorEastAsia" w:cstheme="minorEastAsia"/>
          <w:sz w:val="36"/>
          <w:szCs w:val="36"/>
        </w:rPr>
        <w:t>合同条款及格式</w:t>
      </w:r>
      <w:bookmarkEnd w:id="247"/>
      <w:bookmarkEnd w:id="248"/>
      <w:bookmarkEnd w:id="249"/>
      <w:bookmarkEnd w:id="274"/>
    </w:p>
    <w:p>
      <w:r>
        <w:rPr>
          <w:rFonts w:hint="eastAsia"/>
        </w:rPr>
        <w:t xml:space="preserve">                                 </w:t>
      </w:r>
      <w:r>
        <w:rPr>
          <w:rFonts w:hint="eastAsia"/>
          <w:b/>
          <w:bCs/>
        </w:rPr>
        <w:t xml:space="preserve">  （仅供参考）</w:t>
      </w:r>
    </w:p>
    <w:p>
      <w:pPr>
        <w:adjustRightInd w:val="0"/>
        <w:spacing w:line="360" w:lineRule="auto"/>
        <w:ind w:firstLine="480" w:firstLineChars="200"/>
        <w:textAlignment w:val="baseline"/>
        <w:rPr>
          <w:rFonts w:ascii="宋体" w:hAnsi="宋体" w:cs="宋体"/>
          <w:sz w:val="24"/>
        </w:rPr>
      </w:pPr>
      <w:bookmarkStart w:id="275" w:name="_Toc12807"/>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委托方（甲方）：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受托方（乙方）：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经甲乙双方协商一致，根据《中华人民共和国合同法》等法律、法规、规章的有关规定，按照平等自愿、互惠互利的原则，甲方委托乙方提供专项管理咨询相关服务。为明确双方的权责，特签订此合同。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第一条 服务项目的内容、期限及地点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 本合同服务的项目：</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本次服务项目为：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 本次服务项目的内容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为博爱县拟实施的PPP模式项目（***PPP项目）提供方案设计、物有所值评价、财政承受能力论证、实施方案的编制、合同制定与谈判等方面的专业服务。</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在该PPP项目全生命周期中，乙方提供PPP项目咨询服务（含中期调整和后期评估），确保服务过程符合有关法律、法规的要求，切实维护双方权益。乙方提供具体服务如下：</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（1）开展调查，全面收集项目相关资料和基础数据；</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（2）编制项目初步实施方案、产出物说明、物有所值评价和财政承受能力论证；</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（3）制定PPP项目详细实施方案；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（4）协助招标人与社会资本谈判，每一轮谈判结束后编制谈判备忘录，并根据谈判结果整理文件，拟订PPP项目合同，协助政府方和社会资本或其设立的项目公司完成相应的PPP合同签署；</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（5）确定PPP项目社会资本采购方式、项目运作方式、交易结构及重要边界条件，完成财务测算；</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（6）应招标人要求，就PPP项目所涉及的其它商务、财务、法律问题提供专业咨询意见与建议及服务；</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（7）其他相关咨询服务，（本项目不含招标代理服务）。</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 本合同的服务期限为：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自本合同生效之日起，至甲乙双方协商一致、终止乙方对****PPP工程项目提供咨询服务结束之日止。</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4. 服务地点：博爱县。</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第二条 合同金额</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本项目PPP咨询服务费用为大写：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第三条服务措施、服务结果及服务质量标准、服务承诺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 服务措施及服务结果</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（1）通过尽职调查，就项目的背景资料、前期准备、项目实施环境、条件、投资融资、政府意向、社会资本关注度等要素和边界条件与甲方及具体项目实施机构充分沟通。</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服务结果：全面、真实、准确了解此拟实施PPP项目情况，就此项目的核心要素与甲方及具体项目实施机构达成共识。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构建此拟实施PPP项目的财务模型，就项目基本情况、PPP要素信息、项目总投资概算和建设资金来源规划、项目收入和项目运营成本、政府建设投入和政府运营补贴等进行全面细致的分析论证；编制项目的《物有所值评价和财政承受能力论证报告》并提交项目实施机构和甲方审核。</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服务结果：协助甲方组织相关部门对此拟实施PPP项目的《物有所值评价和财政承受能力论证报告》进行验证、评审，并协助甲方撰写《评审报告》和批复意见。</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制定拟实施PPP项目的《项目实施方案》，就项目概况、产出说明、风险分配基本框架、项目运作方式、交易结果、合同体系、监管架构、采购方式选择等核心内容进行方案设计。</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服务结果：协助甲方组织相关专家对《项目实施方案》的核心内容进行评审论证；协助甲方草拟评审论证后的某PPP项目需县政府常务会议核准事项的汇报材料，作为咨询服务机构列席县政府常务会议有关PPP项目的议题研究、解答政府领导的提问；协助甲方取得政府批复或《会议纪要》。</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协助甲方及具体项目实施机构与社会资本谈判，编制《谈判要点》、协助甲方组成并参与谈判小组、协助甲方组织召开谈判小组预备会、提请谈判小组对谈判的重点难点和焦点问题进行梳理会商，形成谈判预案；协助甲方及具体项目实施机构与中标社会资本候选人进行正式谈判，就不一致意见编写《谈判备忘录》。</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服务结果：编制某PPP项目《政府核准事项与谈判结果差异表》并协助甲方及具体项目实施机构向政府汇报并解释，协助政府与中标社会资本方草签《PPP项目合同》。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2.服务质量标准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（1）符合性：咨询服务和招标代理服务严格依法依规，符合国家、财政部、河南省等相关法律法规、政策文件、标准规程的要求，不出现重大和明显的法律、财务、政府采购等方面的瑕疵。</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（2）规范性：在项目识别、项目准备和项目采购的各个阶段，按照相关规定规范操作，做到服务规范、工作规范、程序规范、文件资料规范、档案收集整理规范、服务人员行为举止规范。</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（3）及时性：做到咨询服务人员及时到位，按照本合同约定和甲方的要求，及时完成各阶段的服务工作，保持和甲方的经常性沟通联系，解决项目实施中出现的各种问题。</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（4）协调性：与甲方建立良好的沟通协调机制，保持项目实施中各项工作的协调有序、通达顺畅；咨询服务工作认真细致、平滑无缝衔接，不出现工作各环节、各文件、各结论的矛盾和问题。</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（5）真实性：工作科学严谨，不主观臆断、不道听途说、不弄虚作假、不模棱两可努力收集和掌握真实、准确的资料和数据，为拟实施PPP项目的落地签约奠定良好的基础。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3.服务承诺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咨询服务工作尽心尽职，以公允、公平、公正为执业准则，不为了迁就项目中标签约而做出有损于甲方和博爱县政府利益的方案设计，也不一味追求减轻政府义务而使方案设计过渡偏离社会资本投资的保值增值，而导致项目采购搁浅、流产。</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（2）招标代理服务恪尽职守，以保密、严谨和程序规范为执业准则，不做“量身定制”的政府采购方案，不串通意向社会资本投资人进行围标、串标，保证充分竞争、公平竞争。</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第四条 双方的责任、义务和权利</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 xml:space="preserve">    1. 甲方的责任、义务和权利</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（1）甲方及具体项目实施机构和相关职能部门应按要求向乙方提供完成PPP咨询服务所需的基本数据资料和相关资料，并对其合法性、真实性和完整性负责；</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（2）现场咨询服务时，甲方负责提供必要的办公场所以及合同中未提及但乙方开展工作所必须的、必要的协助；</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（3）根据项目要求及进度，负责协调和处理与相关部门的工作关系，确保相关审核和确认文件的及时获得；</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（4）甲方应制定部门和专人负责与乙方的沟通联系；</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（5）按本合同约定支付咨询服务价款；</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（6）负责审查乙方的服务成果，并有权要求乙方对不合适的数据测算和方案设计进行修正、调整。</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 xml:space="preserve"> 2. 乙方的责任、义务和权利</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（1）在PPP项目方案设计中，应公允公平地维护甲方和博爱县政府的利益；</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（2）在约定的条件满足和商定时间内，完成并按时提交具体PPP项目咨询服务的成果；</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（3）勤勉尽责，确保服务质量，努力实现PPP项目的物有所值、投融资成本即政府负担合理偏低和社会资本投资人综合实力较优；</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（4）严守工作中知悉的PPP项目不得公开的秘密；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（5）按本合同约定及时收取甲方应付的咨询服务费用。</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第五条 合同约定事项的变更和解除</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本合同一经签订，任何一方不得单方面变更或解除该合同，发生下列情况之一的，双方可协商变更或解除合同：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订立合同所依据的国家政策、法规、计划发生变化，导致合同不能继续履行的；</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由于不可抗力或意外事故导致合同全部或部分无法履行的；</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由于咨询服务目标已被他人先行实现或有关成果已被申请专利或公开，继续履行合同已无必要；</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国家政策发生重大变化，导致合同必须作相应修改；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由于乙方未能按合同要求履行合同或是由于其他原因，导致咨询达不到约定目标的；</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合同约定的其他情况。</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除本合同已有约定外，任何一方要求变更或解除业务合同的，应提前10日书面通知对方，协商解决。因变更或解除合同，导致一方遭受损失的，除按合同约定和依法可免除责任的情形以外，应由责任方负责赔偿。在解除合同通知发出后，甲方有权停止向乙方支付后续服务费用。</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第六条付款方式</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 付款方式按照服务进度约定如下：</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（1）完成“两评一案”编制及相关批复后付合同价80%，协助采购人完成采购工作，采购人完成签订PPP合同后支付合同价的20%；</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（2）乙方完成受托咨询服务过程中发生的差旅费、工本费、劳务费、应缴税金、双评评审专家费等各项成本支出，均包括在服务价款中，由乙方自行负担，甲方协助安排。</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（3）乙方收取甲方的进度付款，应向甲方开具《收款收据》；全部收齐甲方咨询服务价款后，应一次性向甲方开具正规税务发票。</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第七条 争议解决</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本合同执行过程中，任何一方发生违约、以及发生未在本合同约定的事项或情形（含不可抗力），均由双方友好协商解决；协商不能达成一致的，按《合同法》的有关规定执行。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第八条 其他</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 本合同依据的政府采购文件（博政采购（2022）43号）和乙方的响应文件作为本合同的附件，均为合同的有效组成部分；附件中未明确约定但本合同具体约定的、以及附件约定内容与本合同约定内容不一致的，以本合同为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2. 本合同执行过程中，所有经双方签署确认的补充协议，均为本合同的有效组成部分。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第九条 合同生效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1. 本合同订立时间：2022年   月    日</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 xml:space="preserve">2. 本合同签订地点：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3. 本合同经甲乙双方盖章和法定代表人或其授权代表签字（或盖章）后生效。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4. 本合同一式肆份，双方各执贰份，具有同等法律效力。</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十、合同生效及其它：</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甲方：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地址：</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地址：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法定代表人：                   法定代表人：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委托代理人：                   委托代理人：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电话：</w:t>
      </w:r>
      <w:r>
        <w:rPr>
          <w:rFonts w:hint="eastAsia" w:ascii="宋体" w:hAnsi="宋体" w:cs="宋体"/>
          <w:sz w:val="24"/>
        </w:rPr>
        <w:tab/>
      </w:r>
      <w:r>
        <w:rPr>
          <w:rFonts w:hint="eastAsia" w:ascii="宋体" w:hAnsi="宋体" w:cs="宋体"/>
          <w:sz w:val="24"/>
        </w:rPr>
        <w:t xml:space="preserve">                         电话：</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开户银行：</w:t>
      </w:r>
      <w:r>
        <w:rPr>
          <w:rFonts w:hint="eastAsia" w:ascii="宋体" w:hAnsi="宋体" w:cs="宋体"/>
          <w:sz w:val="24"/>
        </w:rPr>
        <w:tab/>
      </w:r>
      <w:r>
        <w:rPr>
          <w:rFonts w:hint="eastAsia" w:ascii="宋体" w:hAnsi="宋体" w:cs="宋体"/>
          <w:sz w:val="24"/>
        </w:rPr>
        <w:t xml:space="preserve">                  开户银行：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银行账号：</w:t>
      </w:r>
      <w:r>
        <w:rPr>
          <w:rFonts w:hint="eastAsia" w:ascii="宋体" w:hAnsi="宋体" w:cs="宋体"/>
          <w:sz w:val="24"/>
        </w:rPr>
        <w:tab/>
      </w:r>
      <w:r>
        <w:rPr>
          <w:rFonts w:hint="eastAsia" w:ascii="宋体" w:hAnsi="宋体" w:cs="宋体"/>
          <w:sz w:val="24"/>
        </w:rPr>
        <w:t xml:space="preserve">                  银行账号：</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签约时间：                     签约地点：</w:t>
      </w:r>
    </w:p>
    <w:p>
      <w:pPr>
        <w:adjustRightInd w:val="0"/>
        <w:spacing w:line="360" w:lineRule="auto"/>
        <w:ind w:firstLine="480" w:firstLineChars="200"/>
        <w:textAlignment w:val="baseline"/>
        <w:rPr>
          <w:rFonts w:ascii="宋体" w:hAnsi="宋体" w:cs="宋体"/>
          <w:b/>
          <w:bCs/>
          <w:sz w:val="24"/>
        </w:rPr>
      </w:pPr>
      <w:r>
        <w:rPr>
          <w:rFonts w:hint="eastAsia" w:ascii="黑体" w:hAnsi="黑体" w:eastAsia="黑体" w:cs="黑体"/>
          <w:sz w:val="24"/>
        </w:rPr>
        <w:t>重要提示：</w:t>
      </w:r>
      <w:r>
        <w:rPr>
          <w:rFonts w:hint="eastAsia" w:ascii="宋体" w:hAnsi="宋体" w:cs="宋体"/>
          <w:b/>
          <w:bCs/>
          <w:sz w:val="24"/>
        </w:rPr>
        <w:t>以上合同文本作为签订合同的重要依据，涉及付款方式、投标人名称等实质性内容不得变更。</w:t>
      </w:r>
    </w:p>
    <w:p>
      <w:pPr>
        <w:pStyle w:val="11"/>
        <w:jc w:val="center"/>
        <w:outlineLvl w:val="0"/>
        <w:rPr>
          <w:b/>
          <w:bCs/>
          <w:sz w:val="32"/>
          <w:szCs w:val="32"/>
        </w:rPr>
      </w:pPr>
    </w:p>
    <w:p>
      <w:pPr>
        <w:pStyle w:val="11"/>
        <w:jc w:val="center"/>
        <w:outlineLvl w:val="0"/>
        <w:rPr>
          <w:b/>
          <w:bCs/>
          <w:sz w:val="32"/>
          <w:szCs w:val="32"/>
        </w:rPr>
      </w:pPr>
    </w:p>
    <w:p>
      <w:pPr>
        <w:pStyle w:val="11"/>
        <w:jc w:val="center"/>
        <w:outlineLvl w:val="0"/>
        <w:rPr>
          <w:b/>
          <w:bCs/>
          <w:sz w:val="32"/>
          <w:szCs w:val="32"/>
        </w:rPr>
      </w:pPr>
    </w:p>
    <w:p>
      <w:pPr>
        <w:pStyle w:val="11"/>
        <w:jc w:val="center"/>
        <w:outlineLvl w:val="0"/>
        <w:rPr>
          <w:b/>
          <w:bCs/>
          <w:sz w:val="32"/>
          <w:szCs w:val="32"/>
        </w:rPr>
      </w:pPr>
    </w:p>
    <w:p>
      <w:pPr>
        <w:pStyle w:val="11"/>
        <w:jc w:val="center"/>
        <w:outlineLvl w:val="0"/>
        <w:rPr>
          <w:b/>
          <w:bCs/>
          <w:sz w:val="32"/>
          <w:szCs w:val="32"/>
        </w:rPr>
      </w:pPr>
    </w:p>
    <w:p>
      <w:pPr>
        <w:pStyle w:val="11"/>
        <w:jc w:val="center"/>
        <w:outlineLvl w:val="0"/>
        <w:rPr>
          <w:b/>
          <w:bCs/>
          <w:sz w:val="32"/>
          <w:szCs w:val="32"/>
        </w:rPr>
      </w:pPr>
    </w:p>
    <w:p>
      <w:pPr>
        <w:pStyle w:val="11"/>
        <w:jc w:val="center"/>
        <w:outlineLvl w:val="0"/>
        <w:rPr>
          <w:b/>
          <w:bCs/>
          <w:sz w:val="32"/>
          <w:szCs w:val="32"/>
        </w:rPr>
      </w:pPr>
    </w:p>
    <w:p>
      <w:pPr>
        <w:pStyle w:val="11"/>
        <w:jc w:val="center"/>
        <w:outlineLvl w:val="0"/>
        <w:rPr>
          <w:b/>
          <w:bCs/>
          <w:sz w:val="32"/>
          <w:szCs w:val="32"/>
        </w:rPr>
      </w:pPr>
      <w:bookmarkStart w:id="276" w:name="_Toc18602"/>
      <w:r>
        <w:rPr>
          <w:rFonts w:hint="eastAsia"/>
          <w:b/>
          <w:bCs/>
          <w:sz w:val="32"/>
          <w:szCs w:val="32"/>
        </w:rPr>
        <w:t>第五章服务内容及需求</w:t>
      </w:r>
      <w:bookmarkEnd w:id="276"/>
    </w:p>
    <w:bookmarkEnd w:id="275"/>
    <w:p>
      <w:pPr>
        <w:numPr>
          <w:ilvl w:val="0"/>
          <w:numId w:val="10"/>
        </w:numPr>
        <w:tabs>
          <w:tab w:val="left" w:pos="6705"/>
        </w:tabs>
        <w:spacing w:line="360" w:lineRule="auto"/>
        <w:ind w:left="420" w:hanging="420" w:hangingChars="200"/>
        <w:rPr>
          <w:rFonts w:ascii="宋体" w:hAnsi="宋体"/>
          <w:szCs w:val="21"/>
        </w:rPr>
      </w:pPr>
      <w:bookmarkStart w:id="277" w:name="_Toc426369533"/>
      <w:bookmarkStart w:id="278" w:name="_Toc7906"/>
      <w:bookmarkStart w:id="279" w:name="_Toc403122572"/>
      <w:r>
        <w:rPr>
          <w:rFonts w:hint="eastAsia" w:ascii="宋体" w:hAnsi="宋体"/>
          <w:szCs w:val="21"/>
        </w:rPr>
        <w:t>项目名称：博爱县农村人居环境综合整治项目选取PPP咨询服务机构采购项目</w:t>
      </w:r>
    </w:p>
    <w:p>
      <w:pPr>
        <w:tabs>
          <w:tab w:val="left" w:pos="6705"/>
        </w:tabs>
        <w:spacing w:line="360" w:lineRule="auto"/>
        <w:rPr>
          <w:rFonts w:ascii="宋体" w:hAnsi="宋体"/>
          <w:szCs w:val="21"/>
        </w:rPr>
      </w:pPr>
      <w:r>
        <w:rPr>
          <w:rFonts w:hint="eastAsia" w:ascii="宋体" w:hAnsi="宋体"/>
          <w:szCs w:val="21"/>
        </w:rPr>
        <w:t>二、项目预算：80万元；</w:t>
      </w:r>
    </w:p>
    <w:p>
      <w:pPr>
        <w:tabs>
          <w:tab w:val="left" w:pos="6705"/>
        </w:tabs>
        <w:spacing w:line="360" w:lineRule="auto"/>
        <w:rPr>
          <w:rFonts w:ascii="宋体" w:hAnsi="宋体"/>
          <w:szCs w:val="21"/>
        </w:rPr>
      </w:pPr>
      <w:r>
        <w:rPr>
          <w:rFonts w:hint="eastAsia" w:ascii="宋体" w:hAnsi="宋体"/>
          <w:szCs w:val="21"/>
        </w:rPr>
        <w:t>项目内容：</w:t>
      </w:r>
    </w:p>
    <w:p>
      <w:pPr>
        <w:tabs>
          <w:tab w:val="left" w:pos="6705"/>
        </w:tabs>
        <w:spacing w:line="360" w:lineRule="auto"/>
        <w:rPr>
          <w:rFonts w:ascii="宋体" w:hAnsi="宋体"/>
          <w:szCs w:val="21"/>
        </w:rPr>
      </w:pPr>
      <w:r>
        <w:rPr>
          <w:rFonts w:hint="eastAsia" w:ascii="宋体" w:hAnsi="宋体"/>
          <w:szCs w:val="21"/>
        </w:rPr>
        <w:t xml:space="preserve">博爱县农村人居环境综合整治项目选取PPP咨询服务机构采购项目，主要承担该项目的财务顾问、商务顾问及法律顾问的职责，具体服务内容包括： </w:t>
      </w:r>
    </w:p>
    <w:p>
      <w:pPr>
        <w:tabs>
          <w:tab w:val="left" w:pos="6705"/>
        </w:tabs>
        <w:spacing w:line="360" w:lineRule="auto"/>
        <w:rPr>
          <w:rFonts w:ascii="宋体" w:hAnsi="宋体"/>
          <w:szCs w:val="21"/>
        </w:rPr>
      </w:pPr>
      <w:r>
        <w:rPr>
          <w:rFonts w:hint="eastAsia" w:ascii="宋体" w:hAnsi="宋体"/>
          <w:szCs w:val="21"/>
        </w:rPr>
        <w:t>(1)主要负责协助确定适合本项目实际情况、可操作的投融资模型，从PPP项目发起至项目投入运营整个过程或其中相关环节给予指导；完成《项目物有所值评价报告》、《项目财政承受能力分析报告》、《项目实施方案》、《项目财务分析报告》、《项目公司章程》等文件；</w:t>
      </w:r>
    </w:p>
    <w:p>
      <w:pPr>
        <w:tabs>
          <w:tab w:val="left" w:pos="6705"/>
        </w:tabs>
        <w:spacing w:line="360" w:lineRule="auto"/>
        <w:rPr>
          <w:rFonts w:ascii="宋体" w:hAnsi="宋体"/>
          <w:szCs w:val="21"/>
        </w:rPr>
      </w:pPr>
      <w:r>
        <w:rPr>
          <w:rFonts w:hint="eastAsia" w:ascii="宋体" w:hAnsi="宋体"/>
          <w:szCs w:val="21"/>
        </w:rPr>
        <w:t>(2)谈判前相关文件资料的准备；</w:t>
      </w:r>
    </w:p>
    <w:p>
      <w:pPr>
        <w:tabs>
          <w:tab w:val="left" w:pos="6705"/>
        </w:tabs>
        <w:spacing w:line="360" w:lineRule="auto"/>
        <w:rPr>
          <w:rFonts w:ascii="宋体" w:hAnsi="宋体"/>
          <w:szCs w:val="21"/>
        </w:rPr>
      </w:pPr>
      <w:r>
        <w:rPr>
          <w:rFonts w:hint="eastAsia" w:ascii="宋体" w:hAnsi="宋体"/>
          <w:szCs w:val="21"/>
        </w:rPr>
        <w:t>(3)协助招商过程的协议谈判和财务谈判，协助合同签署；</w:t>
      </w:r>
    </w:p>
    <w:p>
      <w:pPr>
        <w:tabs>
          <w:tab w:val="left" w:pos="6705"/>
        </w:tabs>
        <w:spacing w:line="360" w:lineRule="auto"/>
        <w:rPr>
          <w:rFonts w:ascii="宋体" w:hAnsi="宋体"/>
          <w:szCs w:val="21"/>
        </w:rPr>
      </w:pPr>
      <w:r>
        <w:rPr>
          <w:rFonts w:hint="eastAsia" w:ascii="宋体" w:hAnsi="宋体"/>
          <w:szCs w:val="21"/>
        </w:rPr>
        <w:t>(4)应采购人要求，就本项目所涉及的其他商务、财务、法律问题提供专业咨询意见与建议等服务；</w:t>
      </w:r>
    </w:p>
    <w:p>
      <w:pPr>
        <w:tabs>
          <w:tab w:val="left" w:pos="6705"/>
        </w:tabs>
        <w:spacing w:line="360" w:lineRule="auto"/>
        <w:rPr>
          <w:rFonts w:ascii="宋体" w:hAnsi="宋体"/>
          <w:szCs w:val="21"/>
        </w:rPr>
      </w:pPr>
      <w:r>
        <w:rPr>
          <w:rFonts w:hint="eastAsia" w:ascii="宋体" w:hAnsi="宋体"/>
          <w:szCs w:val="21"/>
        </w:rPr>
        <w:t>(5) 协助政府实施机构推进相关申报工作，确保项目进入河南省财政厅PPP项目库；</w:t>
      </w:r>
    </w:p>
    <w:p>
      <w:pPr>
        <w:tabs>
          <w:tab w:val="left" w:pos="6705"/>
        </w:tabs>
        <w:spacing w:line="360" w:lineRule="auto"/>
        <w:rPr>
          <w:rFonts w:ascii="宋体" w:hAnsi="宋体"/>
          <w:szCs w:val="21"/>
        </w:rPr>
      </w:pPr>
      <w:r>
        <w:rPr>
          <w:rFonts w:hint="eastAsia" w:ascii="宋体" w:hAnsi="宋体"/>
          <w:szCs w:val="21"/>
        </w:rPr>
        <w:t>(6) 其它。</w:t>
      </w:r>
    </w:p>
    <w:p>
      <w:pPr>
        <w:tabs>
          <w:tab w:val="left" w:pos="6705"/>
        </w:tabs>
        <w:spacing w:line="360" w:lineRule="auto"/>
        <w:rPr>
          <w:rFonts w:ascii="宋体" w:hAnsi="宋体"/>
          <w:szCs w:val="21"/>
        </w:rPr>
      </w:pPr>
      <w:r>
        <w:rPr>
          <w:rFonts w:hint="eastAsia" w:ascii="宋体" w:hAnsi="宋体"/>
          <w:szCs w:val="21"/>
        </w:rPr>
        <w:t>四、任务书</w:t>
      </w:r>
    </w:p>
    <w:p>
      <w:pPr>
        <w:tabs>
          <w:tab w:val="left" w:pos="6705"/>
        </w:tabs>
        <w:spacing w:line="360" w:lineRule="auto"/>
        <w:rPr>
          <w:rFonts w:ascii="宋体" w:hAnsi="宋体"/>
          <w:szCs w:val="21"/>
        </w:rPr>
      </w:pPr>
      <w:r>
        <w:rPr>
          <w:rFonts w:hint="eastAsia" w:ascii="宋体" w:hAnsi="宋体"/>
          <w:szCs w:val="21"/>
        </w:rPr>
        <w:t>1.总则</w:t>
      </w:r>
    </w:p>
    <w:p>
      <w:pPr>
        <w:tabs>
          <w:tab w:val="left" w:pos="6705"/>
        </w:tabs>
        <w:spacing w:line="360" w:lineRule="auto"/>
        <w:rPr>
          <w:rFonts w:ascii="宋体" w:hAnsi="宋体"/>
          <w:szCs w:val="21"/>
        </w:rPr>
      </w:pPr>
      <w:r>
        <w:rPr>
          <w:rFonts w:hint="eastAsia" w:ascii="宋体" w:hAnsi="宋体"/>
          <w:szCs w:val="21"/>
        </w:rPr>
        <w:t>第1条  本次招标是为了提高焦作市生态环境局博爱分局和社会资本合作(PPP)项目开发、实施的质量与效率，为博爱县农村人居环境综合整治项目的开展提供全过程咨询服务。中标人将承担博爱县农村人居环境综合整治项目的牵头顾问和投融资顾问工作，负责就焦作市生态环境局博爱分局启动的博爱县农村人居环境综合整治项目开展全过程的专业咨询服务，包括财务、法律、技术等方面。中标人要负责编制项目实施方案、合同文本等法律文件，完成项目财务测算和财务分析、财政可承受能力分析等相关法规政策要求和项目需要的咨询服务工作；协助招标代理机构实施社会投资人招标、谈判、磋商等引入程序，直至政府和社会投资人成功签约，并对项目后期的合同执行、政府监管等方面提供必要的咨询和建议。</w:t>
      </w:r>
    </w:p>
    <w:p>
      <w:pPr>
        <w:tabs>
          <w:tab w:val="left" w:pos="6705"/>
        </w:tabs>
        <w:spacing w:line="360" w:lineRule="auto"/>
        <w:rPr>
          <w:rFonts w:ascii="宋体" w:hAnsi="宋体"/>
          <w:szCs w:val="21"/>
        </w:rPr>
      </w:pPr>
      <w:r>
        <w:rPr>
          <w:rFonts w:hint="eastAsia" w:ascii="宋体" w:hAnsi="宋体"/>
          <w:szCs w:val="21"/>
        </w:rPr>
        <w:t>第2条  焦作市生态环境局博爱分局负责本项目的组织编制、技术审查和上报审批等技术协调工作。</w:t>
      </w:r>
    </w:p>
    <w:p>
      <w:pPr>
        <w:tabs>
          <w:tab w:val="left" w:pos="6705"/>
        </w:tabs>
        <w:spacing w:line="360" w:lineRule="auto"/>
        <w:rPr>
          <w:rFonts w:ascii="宋体" w:hAnsi="宋体"/>
          <w:szCs w:val="21"/>
        </w:rPr>
      </w:pPr>
      <w:r>
        <w:rPr>
          <w:rFonts w:hint="eastAsia" w:ascii="宋体" w:hAnsi="宋体"/>
          <w:szCs w:val="21"/>
        </w:rPr>
        <w:t>第3条  承接本项目技术咨询的单位被视为承认本任务书所有条款，并按本任务书规定的条款完成项目编制工作。</w:t>
      </w:r>
    </w:p>
    <w:p>
      <w:pPr>
        <w:tabs>
          <w:tab w:val="left" w:pos="6705"/>
        </w:tabs>
        <w:spacing w:line="360" w:lineRule="auto"/>
        <w:rPr>
          <w:rFonts w:ascii="宋体" w:hAnsi="宋体"/>
          <w:szCs w:val="21"/>
        </w:rPr>
      </w:pPr>
      <w:bookmarkStart w:id="280" w:name="_Toc322442910"/>
      <w:bookmarkStart w:id="281" w:name="_Toc246760206"/>
      <w:bookmarkStart w:id="282" w:name="_Toc322442791"/>
      <w:bookmarkStart w:id="283" w:name="_Toc490726175"/>
      <w:bookmarkStart w:id="284" w:name="_Toc490726444"/>
      <w:r>
        <w:rPr>
          <w:rFonts w:hint="eastAsia" w:ascii="宋体" w:hAnsi="宋体"/>
          <w:szCs w:val="21"/>
        </w:rPr>
        <w:t xml:space="preserve">2.  </w:t>
      </w:r>
      <w:bookmarkEnd w:id="280"/>
      <w:bookmarkEnd w:id="281"/>
      <w:bookmarkEnd w:id="282"/>
      <w:r>
        <w:rPr>
          <w:rFonts w:hint="eastAsia" w:ascii="宋体" w:hAnsi="宋体"/>
          <w:szCs w:val="21"/>
        </w:rPr>
        <w:t>咨询的内容、方式和要求</w:t>
      </w:r>
      <w:bookmarkEnd w:id="283"/>
      <w:bookmarkEnd w:id="284"/>
    </w:p>
    <w:p>
      <w:pPr>
        <w:tabs>
          <w:tab w:val="left" w:pos="6705"/>
        </w:tabs>
        <w:spacing w:line="360" w:lineRule="auto"/>
        <w:rPr>
          <w:rFonts w:ascii="宋体" w:hAnsi="宋体"/>
          <w:szCs w:val="21"/>
        </w:rPr>
      </w:pPr>
      <w:r>
        <w:rPr>
          <w:rFonts w:hint="eastAsia" w:ascii="宋体" w:hAnsi="宋体"/>
          <w:szCs w:val="21"/>
        </w:rPr>
        <w:t>第4条  《博爱县农村人居环境综合整治项目选取PPP咨询服务机构采购项目》应该包括以下内容：</w:t>
      </w:r>
    </w:p>
    <w:p>
      <w:pPr>
        <w:tabs>
          <w:tab w:val="left" w:pos="6705"/>
        </w:tabs>
        <w:spacing w:line="360" w:lineRule="auto"/>
        <w:rPr>
          <w:rFonts w:ascii="宋体" w:hAnsi="宋体"/>
          <w:szCs w:val="21"/>
        </w:rPr>
      </w:pPr>
      <w:r>
        <w:rPr>
          <w:rFonts w:hint="eastAsia" w:ascii="宋体" w:hAnsi="宋体"/>
          <w:szCs w:val="21"/>
        </w:rPr>
        <w:t>第一阶段：项目识别阶段</w:t>
      </w:r>
    </w:p>
    <w:p>
      <w:pPr>
        <w:tabs>
          <w:tab w:val="left" w:pos="6705"/>
        </w:tabs>
        <w:spacing w:line="360" w:lineRule="auto"/>
        <w:rPr>
          <w:rFonts w:ascii="宋体" w:hAnsi="宋体"/>
          <w:szCs w:val="21"/>
        </w:rPr>
      </w:pPr>
      <w:r>
        <w:rPr>
          <w:rFonts w:hint="eastAsia" w:ascii="宋体" w:hAnsi="宋体"/>
          <w:szCs w:val="21"/>
        </w:rPr>
        <w:t>1、召开项目启动会，确定双方项目工作小组成员名单，介绍项目计划安排，项目正式启动；</w:t>
      </w:r>
    </w:p>
    <w:p>
      <w:pPr>
        <w:tabs>
          <w:tab w:val="left" w:pos="6705"/>
        </w:tabs>
        <w:spacing w:line="360" w:lineRule="auto"/>
        <w:rPr>
          <w:rFonts w:ascii="宋体" w:hAnsi="宋体"/>
          <w:szCs w:val="21"/>
        </w:rPr>
      </w:pPr>
      <w:r>
        <w:rPr>
          <w:rFonts w:hint="eastAsia" w:ascii="宋体" w:hAnsi="宋体"/>
          <w:szCs w:val="21"/>
        </w:rPr>
        <w:t>2、协助甲方构建项目PPP运作前期推进协调机制；</w:t>
      </w:r>
    </w:p>
    <w:p>
      <w:pPr>
        <w:tabs>
          <w:tab w:val="left" w:pos="6705"/>
        </w:tabs>
        <w:spacing w:line="360" w:lineRule="auto"/>
        <w:rPr>
          <w:rFonts w:ascii="宋体" w:hAnsi="宋体"/>
          <w:szCs w:val="21"/>
        </w:rPr>
      </w:pPr>
      <w:r>
        <w:rPr>
          <w:rFonts w:hint="eastAsia" w:ascii="宋体" w:hAnsi="宋体"/>
          <w:szCs w:val="21"/>
        </w:rPr>
        <w:t>3、尽职调研，收集项目相关资料，进行人员访谈；</w:t>
      </w:r>
    </w:p>
    <w:p>
      <w:pPr>
        <w:tabs>
          <w:tab w:val="left" w:pos="6705"/>
        </w:tabs>
        <w:spacing w:line="360" w:lineRule="auto"/>
        <w:rPr>
          <w:rFonts w:ascii="宋体" w:hAnsi="宋体"/>
          <w:szCs w:val="21"/>
        </w:rPr>
      </w:pPr>
      <w:r>
        <w:rPr>
          <w:rFonts w:hint="eastAsia" w:ascii="宋体" w:hAnsi="宋体"/>
          <w:szCs w:val="21"/>
        </w:rPr>
        <w:t>4、编制《项目物有所值评价报告》及《项目财政承受能力分析报告》；</w:t>
      </w:r>
    </w:p>
    <w:p>
      <w:pPr>
        <w:tabs>
          <w:tab w:val="left" w:pos="6705"/>
        </w:tabs>
        <w:spacing w:line="360" w:lineRule="auto"/>
        <w:rPr>
          <w:rFonts w:ascii="宋体" w:hAnsi="宋体"/>
          <w:szCs w:val="21"/>
        </w:rPr>
      </w:pPr>
      <w:r>
        <w:rPr>
          <w:rFonts w:hint="eastAsia" w:ascii="宋体" w:hAnsi="宋体"/>
          <w:szCs w:val="21"/>
        </w:rPr>
        <w:t>5、编制《项目初步实施方案》；</w:t>
      </w:r>
    </w:p>
    <w:p>
      <w:pPr>
        <w:tabs>
          <w:tab w:val="left" w:pos="6705"/>
        </w:tabs>
        <w:spacing w:line="360" w:lineRule="auto"/>
        <w:rPr>
          <w:rFonts w:ascii="宋体" w:hAnsi="宋体"/>
          <w:szCs w:val="21"/>
        </w:rPr>
      </w:pPr>
      <w:r>
        <w:rPr>
          <w:rFonts w:hint="eastAsia" w:ascii="宋体" w:hAnsi="宋体"/>
          <w:szCs w:val="21"/>
        </w:rPr>
        <w:t xml:space="preserve">工作成果：完成《项目建议书》、《项目初步实施方案》、《项目产出说明》、《项目物有所值评价报告》、《项目财政承受能力分析报告》。 </w:t>
      </w:r>
    </w:p>
    <w:p>
      <w:pPr>
        <w:tabs>
          <w:tab w:val="left" w:pos="6705"/>
        </w:tabs>
        <w:spacing w:line="360" w:lineRule="auto"/>
        <w:rPr>
          <w:rFonts w:ascii="宋体" w:hAnsi="宋体"/>
          <w:szCs w:val="21"/>
        </w:rPr>
      </w:pPr>
      <w:r>
        <w:rPr>
          <w:rFonts w:hint="eastAsia" w:ascii="宋体" w:hAnsi="宋体"/>
          <w:szCs w:val="21"/>
        </w:rPr>
        <w:t>第二阶段：项目准备阶段</w:t>
      </w:r>
    </w:p>
    <w:p>
      <w:pPr>
        <w:tabs>
          <w:tab w:val="left" w:pos="6705"/>
        </w:tabs>
        <w:spacing w:line="360" w:lineRule="auto"/>
        <w:rPr>
          <w:rFonts w:ascii="宋体" w:hAnsi="宋体"/>
          <w:szCs w:val="21"/>
        </w:rPr>
      </w:pPr>
      <w:r>
        <w:rPr>
          <w:rFonts w:hint="eastAsia" w:ascii="宋体" w:hAnsi="宋体"/>
          <w:szCs w:val="21"/>
        </w:rPr>
        <w:t>1、编制《项目实施方案》；</w:t>
      </w:r>
    </w:p>
    <w:p>
      <w:pPr>
        <w:tabs>
          <w:tab w:val="left" w:pos="6705"/>
        </w:tabs>
        <w:spacing w:line="360" w:lineRule="auto"/>
        <w:rPr>
          <w:rFonts w:ascii="宋体" w:hAnsi="宋体"/>
          <w:szCs w:val="21"/>
        </w:rPr>
      </w:pPr>
      <w:r>
        <w:rPr>
          <w:rFonts w:hint="eastAsia" w:ascii="宋体" w:hAnsi="宋体"/>
          <w:szCs w:val="21"/>
        </w:rPr>
        <w:t>2、进行项目推介，完善实施方案；</w:t>
      </w:r>
    </w:p>
    <w:p>
      <w:pPr>
        <w:tabs>
          <w:tab w:val="left" w:pos="6705"/>
        </w:tabs>
        <w:spacing w:line="360" w:lineRule="auto"/>
        <w:rPr>
          <w:rFonts w:ascii="宋体" w:hAnsi="宋体"/>
          <w:szCs w:val="21"/>
        </w:rPr>
      </w:pPr>
      <w:r>
        <w:rPr>
          <w:rFonts w:hint="eastAsia" w:ascii="宋体" w:hAnsi="宋体"/>
          <w:szCs w:val="21"/>
        </w:rPr>
        <w:t>3、协助财政部门进行《项目实施方案》验证审核。</w:t>
      </w:r>
    </w:p>
    <w:p>
      <w:pPr>
        <w:tabs>
          <w:tab w:val="left" w:pos="6705"/>
        </w:tabs>
        <w:spacing w:line="360" w:lineRule="auto"/>
        <w:rPr>
          <w:rFonts w:ascii="宋体" w:hAnsi="宋体"/>
          <w:szCs w:val="21"/>
        </w:rPr>
      </w:pPr>
      <w:r>
        <w:rPr>
          <w:rFonts w:hint="eastAsia" w:ascii="宋体" w:hAnsi="宋体"/>
          <w:szCs w:val="21"/>
        </w:rPr>
        <w:t>工作成果：正式《项目实施方案》</w:t>
      </w:r>
    </w:p>
    <w:p>
      <w:pPr>
        <w:tabs>
          <w:tab w:val="left" w:pos="6705"/>
        </w:tabs>
        <w:spacing w:line="360" w:lineRule="auto"/>
        <w:rPr>
          <w:rFonts w:ascii="宋体" w:hAnsi="宋体"/>
          <w:szCs w:val="21"/>
        </w:rPr>
      </w:pPr>
      <w:r>
        <w:rPr>
          <w:rFonts w:hint="eastAsia" w:ascii="宋体" w:hAnsi="宋体"/>
          <w:szCs w:val="21"/>
        </w:rPr>
        <w:t>第三阶段：项目招标阶段</w:t>
      </w:r>
    </w:p>
    <w:p>
      <w:pPr>
        <w:tabs>
          <w:tab w:val="left" w:pos="6705"/>
        </w:tabs>
        <w:spacing w:line="360" w:lineRule="auto"/>
        <w:rPr>
          <w:rFonts w:ascii="宋体" w:hAnsi="宋体"/>
          <w:szCs w:val="21"/>
        </w:rPr>
      </w:pPr>
      <w:r>
        <w:rPr>
          <w:rFonts w:hint="eastAsia" w:ascii="宋体" w:hAnsi="宋体"/>
          <w:szCs w:val="21"/>
        </w:rPr>
        <w:t>1、协助招标机构编制招标文件；</w:t>
      </w:r>
    </w:p>
    <w:p>
      <w:pPr>
        <w:tabs>
          <w:tab w:val="left" w:pos="6705"/>
        </w:tabs>
        <w:spacing w:line="360" w:lineRule="auto"/>
        <w:rPr>
          <w:rFonts w:ascii="宋体" w:hAnsi="宋体"/>
          <w:szCs w:val="21"/>
        </w:rPr>
      </w:pPr>
      <w:r>
        <w:rPr>
          <w:rFonts w:hint="eastAsia" w:ascii="宋体" w:hAnsi="宋体"/>
          <w:szCs w:val="21"/>
        </w:rPr>
        <w:t>2、起草《PPP项目合同》或《特许经营协议》或《服务协议》并经甲方审核；</w:t>
      </w:r>
    </w:p>
    <w:p>
      <w:pPr>
        <w:tabs>
          <w:tab w:val="left" w:pos="6705"/>
        </w:tabs>
        <w:spacing w:line="360" w:lineRule="auto"/>
        <w:rPr>
          <w:rFonts w:ascii="宋体" w:hAnsi="宋体"/>
          <w:szCs w:val="21"/>
        </w:rPr>
      </w:pPr>
      <w:r>
        <w:rPr>
          <w:rFonts w:hint="eastAsia" w:ascii="宋体" w:hAnsi="宋体"/>
          <w:szCs w:val="21"/>
        </w:rPr>
        <w:t>工作成果：《PPP项目协议》</w:t>
      </w:r>
    </w:p>
    <w:p>
      <w:pPr>
        <w:tabs>
          <w:tab w:val="left" w:pos="6705"/>
        </w:tabs>
        <w:spacing w:line="360" w:lineRule="auto"/>
        <w:rPr>
          <w:rFonts w:ascii="宋体" w:hAnsi="宋体"/>
          <w:szCs w:val="21"/>
        </w:rPr>
      </w:pPr>
      <w:r>
        <w:rPr>
          <w:rFonts w:hint="eastAsia" w:ascii="宋体" w:hAnsi="宋体"/>
          <w:szCs w:val="21"/>
        </w:rPr>
        <w:t>第四阶段：响应文件的评审及谈判阶段</w:t>
      </w:r>
    </w:p>
    <w:p>
      <w:pPr>
        <w:tabs>
          <w:tab w:val="left" w:pos="6705"/>
        </w:tabs>
        <w:spacing w:line="360" w:lineRule="auto"/>
        <w:rPr>
          <w:rFonts w:ascii="宋体" w:hAnsi="宋体"/>
          <w:szCs w:val="21"/>
        </w:rPr>
      </w:pPr>
      <w:r>
        <w:rPr>
          <w:rFonts w:hint="eastAsia" w:ascii="宋体" w:hAnsi="宋体"/>
          <w:szCs w:val="21"/>
        </w:rPr>
        <w:t>1、协助成立谈判工作组，起草谈判方案，沟通谈判计划、策略和注意事项；</w:t>
      </w:r>
    </w:p>
    <w:p>
      <w:pPr>
        <w:tabs>
          <w:tab w:val="left" w:pos="6705"/>
        </w:tabs>
        <w:spacing w:line="360" w:lineRule="auto"/>
        <w:rPr>
          <w:rFonts w:ascii="宋体" w:hAnsi="宋体"/>
          <w:szCs w:val="21"/>
        </w:rPr>
      </w:pPr>
      <w:r>
        <w:rPr>
          <w:rFonts w:hint="eastAsia" w:ascii="宋体" w:hAnsi="宋体"/>
          <w:szCs w:val="21"/>
        </w:rPr>
        <w:t>2、协助甲方组织项目谈判，促成各方达成一致，做好谈判记录；</w:t>
      </w:r>
    </w:p>
    <w:p>
      <w:pPr>
        <w:tabs>
          <w:tab w:val="left" w:pos="6705"/>
        </w:tabs>
        <w:spacing w:line="360" w:lineRule="auto"/>
        <w:rPr>
          <w:rFonts w:ascii="宋体" w:hAnsi="宋体"/>
          <w:szCs w:val="21"/>
        </w:rPr>
      </w:pPr>
      <w:r>
        <w:rPr>
          <w:rFonts w:hint="eastAsia" w:ascii="宋体" w:hAnsi="宋体"/>
          <w:szCs w:val="21"/>
        </w:rPr>
        <w:t>3、协助甲方与拟选择社会资本签订《谈判备忘录》。</w:t>
      </w:r>
    </w:p>
    <w:p>
      <w:pPr>
        <w:tabs>
          <w:tab w:val="left" w:pos="6705"/>
        </w:tabs>
        <w:spacing w:line="360" w:lineRule="auto"/>
        <w:rPr>
          <w:rFonts w:ascii="宋体" w:hAnsi="宋体"/>
          <w:szCs w:val="21"/>
        </w:rPr>
      </w:pPr>
      <w:r>
        <w:rPr>
          <w:rFonts w:hint="eastAsia" w:ascii="宋体" w:hAnsi="宋体"/>
          <w:szCs w:val="21"/>
        </w:rPr>
        <w:t>工作成果：初步确定拟选择的社会资本，签订《谈判备忘录》</w:t>
      </w:r>
    </w:p>
    <w:p>
      <w:pPr>
        <w:tabs>
          <w:tab w:val="left" w:pos="6705"/>
        </w:tabs>
        <w:spacing w:line="360" w:lineRule="auto"/>
        <w:rPr>
          <w:rFonts w:ascii="宋体" w:hAnsi="宋体"/>
          <w:szCs w:val="21"/>
        </w:rPr>
      </w:pPr>
      <w:r>
        <w:rPr>
          <w:rFonts w:hint="eastAsia" w:ascii="宋体" w:hAnsi="宋体"/>
          <w:szCs w:val="21"/>
        </w:rPr>
        <w:t>第五阶段：项目公司组建及协议签署</w:t>
      </w:r>
    </w:p>
    <w:p>
      <w:pPr>
        <w:tabs>
          <w:tab w:val="left" w:pos="6705"/>
        </w:tabs>
        <w:spacing w:line="360" w:lineRule="auto"/>
        <w:rPr>
          <w:rFonts w:ascii="宋体" w:hAnsi="宋体"/>
          <w:szCs w:val="21"/>
        </w:rPr>
      </w:pPr>
      <w:r>
        <w:rPr>
          <w:rFonts w:hint="eastAsia" w:ascii="宋体" w:hAnsi="宋体"/>
          <w:szCs w:val="21"/>
        </w:rPr>
        <w:t>1、修订《PPP项目合同》或《特许经营协议》或《服务协议》和《项目公司章程》；</w:t>
      </w:r>
    </w:p>
    <w:p>
      <w:pPr>
        <w:tabs>
          <w:tab w:val="left" w:pos="6705"/>
        </w:tabs>
        <w:spacing w:line="360" w:lineRule="auto"/>
        <w:rPr>
          <w:rFonts w:ascii="宋体" w:hAnsi="宋体"/>
          <w:szCs w:val="21"/>
        </w:rPr>
      </w:pPr>
      <w:r>
        <w:rPr>
          <w:rFonts w:hint="eastAsia" w:ascii="宋体" w:hAnsi="宋体"/>
          <w:szCs w:val="21"/>
        </w:rPr>
        <w:t>2、将拟定的《PPP项目合同》或《特许经营协议》或《服务协议》对外公示；</w:t>
      </w:r>
    </w:p>
    <w:p>
      <w:pPr>
        <w:tabs>
          <w:tab w:val="left" w:pos="6705"/>
        </w:tabs>
        <w:spacing w:line="360" w:lineRule="auto"/>
        <w:rPr>
          <w:rFonts w:ascii="宋体" w:hAnsi="宋体"/>
          <w:szCs w:val="21"/>
        </w:rPr>
      </w:pPr>
      <w:r>
        <w:rPr>
          <w:rFonts w:hint="eastAsia" w:ascii="宋体" w:hAnsi="宋体"/>
          <w:szCs w:val="21"/>
        </w:rPr>
        <w:t>3、将招标结果和拟定的《PPP项目合同》或《特许经营协议》或《服务协议》报叶县政府审批；</w:t>
      </w:r>
    </w:p>
    <w:p>
      <w:pPr>
        <w:tabs>
          <w:tab w:val="left" w:pos="6705"/>
        </w:tabs>
        <w:spacing w:line="360" w:lineRule="auto"/>
        <w:rPr>
          <w:rFonts w:ascii="宋体" w:hAnsi="宋体"/>
          <w:szCs w:val="21"/>
        </w:rPr>
      </w:pPr>
      <w:r>
        <w:rPr>
          <w:rFonts w:hint="eastAsia" w:ascii="宋体" w:hAnsi="宋体"/>
          <w:szCs w:val="21"/>
        </w:rPr>
        <w:t>4、协助甲方、社会资本、项目公司签署《PPP项目合同》；</w:t>
      </w:r>
    </w:p>
    <w:p>
      <w:pPr>
        <w:tabs>
          <w:tab w:val="left" w:pos="6705"/>
        </w:tabs>
        <w:spacing w:line="360" w:lineRule="auto"/>
        <w:rPr>
          <w:rFonts w:ascii="宋体" w:hAnsi="宋体"/>
          <w:szCs w:val="21"/>
        </w:rPr>
      </w:pPr>
      <w:r>
        <w:rPr>
          <w:rFonts w:hint="eastAsia" w:ascii="宋体" w:hAnsi="宋体"/>
          <w:szCs w:val="21"/>
        </w:rPr>
        <w:t>5、将正式签署的《PPP项目合同》在省级以上人民政府财政部门指定的媒体上公示。</w:t>
      </w:r>
    </w:p>
    <w:p>
      <w:pPr>
        <w:tabs>
          <w:tab w:val="left" w:pos="6705"/>
        </w:tabs>
        <w:spacing w:line="360" w:lineRule="auto"/>
        <w:rPr>
          <w:rFonts w:ascii="宋体" w:hAnsi="宋体"/>
          <w:szCs w:val="21"/>
        </w:rPr>
      </w:pPr>
      <w:r>
        <w:rPr>
          <w:rFonts w:hint="eastAsia" w:ascii="宋体" w:hAnsi="宋体"/>
          <w:szCs w:val="21"/>
        </w:rPr>
        <w:t>工作成果：确定中选社会资本及本项目政府和社会资本的合作框架，完成项目公司的组建，签署《PPP项目合同》并对外公示。</w:t>
      </w:r>
    </w:p>
    <w:p>
      <w:pPr>
        <w:tabs>
          <w:tab w:val="left" w:pos="6705"/>
        </w:tabs>
        <w:spacing w:line="360" w:lineRule="auto"/>
        <w:rPr>
          <w:rFonts w:ascii="宋体" w:hAnsi="宋体"/>
          <w:szCs w:val="21"/>
        </w:rPr>
      </w:pPr>
      <w:r>
        <w:rPr>
          <w:rFonts w:hint="eastAsia" w:ascii="宋体" w:hAnsi="宋体"/>
          <w:szCs w:val="21"/>
        </w:rPr>
        <w:t>第5条  本项目应遵守国家和博爱县的相关法规、规范和技术标准。</w:t>
      </w:r>
    </w:p>
    <w:p>
      <w:pPr>
        <w:tabs>
          <w:tab w:val="left" w:pos="6705"/>
        </w:tabs>
        <w:spacing w:line="360" w:lineRule="auto"/>
        <w:rPr>
          <w:rFonts w:ascii="宋体" w:hAnsi="宋体"/>
          <w:szCs w:val="21"/>
        </w:rPr>
      </w:pPr>
      <w:bookmarkStart w:id="285" w:name="_Toc246760207"/>
      <w:bookmarkStart w:id="286" w:name="_Toc490726176"/>
      <w:bookmarkStart w:id="287" w:name="_Toc322442911"/>
      <w:bookmarkStart w:id="288" w:name="_Toc490726445"/>
      <w:bookmarkStart w:id="289" w:name="_Toc322442792"/>
      <w:r>
        <w:rPr>
          <w:rFonts w:hint="eastAsia" w:ascii="宋体" w:hAnsi="宋体"/>
          <w:szCs w:val="21"/>
        </w:rPr>
        <w:t>3.  技术咨询编制内容要求</w:t>
      </w:r>
      <w:bookmarkEnd w:id="285"/>
      <w:bookmarkEnd w:id="286"/>
      <w:bookmarkEnd w:id="287"/>
      <w:bookmarkEnd w:id="288"/>
      <w:bookmarkEnd w:id="289"/>
    </w:p>
    <w:p>
      <w:pPr>
        <w:tabs>
          <w:tab w:val="left" w:pos="6705"/>
        </w:tabs>
        <w:spacing w:line="360" w:lineRule="auto"/>
        <w:rPr>
          <w:rFonts w:ascii="宋体" w:hAnsi="宋体"/>
          <w:szCs w:val="21"/>
        </w:rPr>
      </w:pPr>
      <w:r>
        <w:rPr>
          <w:rFonts w:hint="eastAsia" w:ascii="宋体" w:hAnsi="宋体"/>
          <w:szCs w:val="21"/>
        </w:rPr>
        <w:t>第6条  《博爱县农村人居环境综合整治项目选取PPP咨询服务机构采购项目》的内容和深度应达到国家相关政策要求，主体完整，数据准确。</w:t>
      </w:r>
    </w:p>
    <w:p>
      <w:pPr>
        <w:tabs>
          <w:tab w:val="left" w:pos="6705"/>
        </w:tabs>
        <w:spacing w:line="360" w:lineRule="auto"/>
        <w:rPr>
          <w:rFonts w:ascii="宋体" w:hAnsi="宋体"/>
          <w:szCs w:val="21"/>
        </w:rPr>
      </w:pPr>
      <w:r>
        <w:rPr>
          <w:rFonts w:hint="eastAsia" w:ascii="宋体" w:hAnsi="宋体"/>
          <w:szCs w:val="21"/>
        </w:rPr>
        <w:t>第7条  《实施方案》完整性和可行性</w:t>
      </w:r>
    </w:p>
    <w:p>
      <w:pPr>
        <w:tabs>
          <w:tab w:val="left" w:pos="6705"/>
        </w:tabs>
        <w:spacing w:line="360" w:lineRule="auto"/>
        <w:rPr>
          <w:rFonts w:ascii="宋体" w:hAnsi="宋体"/>
          <w:szCs w:val="21"/>
        </w:rPr>
      </w:pPr>
      <w:r>
        <w:rPr>
          <w:rFonts w:hint="eastAsia" w:ascii="宋体" w:hAnsi="宋体"/>
          <w:szCs w:val="21"/>
        </w:rPr>
        <w:t>1、投入产出。包括项目建设基本功能、建设规模、建设内容、建设标准、初步建设方案及工艺方案、经营服务标准、投资规模等。</w:t>
      </w:r>
    </w:p>
    <w:p>
      <w:pPr>
        <w:tabs>
          <w:tab w:val="left" w:pos="6705"/>
        </w:tabs>
        <w:spacing w:line="360" w:lineRule="auto"/>
        <w:rPr>
          <w:rFonts w:ascii="宋体" w:hAnsi="宋体"/>
          <w:szCs w:val="21"/>
        </w:rPr>
      </w:pPr>
      <w:r>
        <w:rPr>
          <w:rFonts w:hint="eastAsia" w:ascii="宋体" w:hAnsi="宋体"/>
          <w:szCs w:val="21"/>
        </w:rPr>
        <w:t>2、经济可行性。包括运作模式、经济及交易结构等。</w:t>
      </w:r>
    </w:p>
    <w:p>
      <w:pPr>
        <w:tabs>
          <w:tab w:val="left" w:pos="6705"/>
        </w:tabs>
        <w:spacing w:line="360" w:lineRule="auto"/>
        <w:rPr>
          <w:rFonts w:ascii="宋体" w:hAnsi="宋体"/>
          <w:szCs w:val="21"/>
        </w:rPr>
      </w:pPr>
      <w:r>
        <w:rPr>
          <w:rFonts w:hint="eastAsia" w:ascii="宋体" w:hAnsi="宋体"/>
          <w:szCs w:val="21"/>
        </w:rPr>
        <w:t>3、法律完备性。包括项目实施方案是否符合PPP法律框架要求，以及风险分配、交易结构、合同体系等。</w:t>
      </w:r>
    </w:p>
    <w:p>
      <w:pPr>
        <w:tabs>
          <w:tab w:val="left" w:pos="6705"/>
        </w:tabs>
        <w:spacing w:line="360" w:lineRule="auto"/>
        <w:rPr>
          <w:rFonts w:ascii="宋体" w:hAnsi="宋体"/>
          <w:szCs w:val="21"/>
        </w:rPr>
      </w:pPr>
      <w:r>
        <w:rPr>
          <w:rFonts w:hint="eastAsia" w:ascii="宋体" w:hAnsi="宋体"/>
          <w:szCs w:val="21"/>
        </w:rPr>
        <w:t>4、可操作性。包括监管架构、招标方式选择等。</w:t>
      </w:r>
    </w:p>
    <w:p>
      <w:pPr>
        <w:tabs>
          <w:tab w:val="left" w:pos="6705"/>
        </w:tabs>
        <w:spacing w:line="360" w:lineRule="auto"/>
        <w:rPr>
          <w:rFonts w:ascii="宋体" w:hAnsi="宋体"/>
          <w:szCs w:val="21"/>
        </w:rPr>
      </w:pPr>
      <w:r>
        <w:rPr>
          <w:rFonts w:hint="eastAsia" w:ascii="宋体" w:hAnsi="宋体"/>
          <w:szCs w:val="21"/>
        </w:rPr>
        <w:t>5、PPP方案应优化风险分配，提高项目建设质量和运营效率，促进创新和竞争等。</w:t>
      </w:r>
    </w:p>
    <w:p>
      <w:pPr>
        <w:tabs>
          <w:tab w:val="left" w:pos="6705"/>
        </w:tabs>
        <w:spacing w:line="360" w:lineRule="auto"/>
        <w:rPr>
          <w:rFonts w:ascii="宋体" w:hAnsi="宋体"/>
          <w:szCs w:val="21"/>
        </w:rPr>
      </w:pPr>
      <w:r>
        <w:rPr>
          <w:rFonts w:hint="eastAsia" w:ascii="宋体" w:hAnsi="宋体"/>
          <w:szCs w:val="21"/>
        </w:rPr>
        <w:t xml:space="preserve">6、PPP项目要素完备性。 </w:t>
      </w:r>
    </w:p>
    <w:p>
      <w:pPr>
        <w:tabs>
          <w:tab w:val="left" w:pos="6705"/>
        </w:tabs>
        <w:spacing w:line="360" w:lineRule="auto"/>
        <w:rPr>
          <w:rFonts w:ascii="宋体" w:hAnsi="宋体"/>
          <w:szCs w:val="21"/>
        </w:rPr>
      </w:pPr>
      <w:bookmarkStart w:id="290" w:name="_Toc322442793"/>
      <w:bookmarkStart w:id="291" w:name="_Toc490726177"/>
      <w:bookmarkStart w:id="292" w:name="_Toc322442912"/>
      <w:bookmarkStart w:id="293" w:name="_Toc246760208"/>
      <w:bookmarkStart w:id="294" w:name="_Toc490726446"/>
      <w:r>
        <w:rPr>
          <w:rFonts w:hint="eastAsia" w:ascii="宋体" w:hAnsi="宋体"/>
          <w:szCs w:val="21"/>
        </w:rPr>
        <w:t>第8条  提交成果的规定</w:t>
      </w:r>
      <w:bookmarkEnd w:id="290"/>
      <w:bookmarkEnd w:id="291"/>
      <w:bookmarkEnd w:id="292"/>
      <w:bookmarkEnd w:id="293"/>
      <w:bookmarkEnd w:id="294"/>
    </w:p>
    <w:p>
      <w:pPr>
        <w:tabs>
          <w:tab w:val="left" w:pos="6705"/>
        </w:tabs>
        <w:spacing w:line="360" w:lineRule="auto"/>
        <w:rPr>
          <w:rFonts w:ascii="宋体" w:hAnsi="宋体"/>
          <w:szCs w:val="21"/>
        </w:rPr>
      </w:pPr>
      <w:r>
        <w:rPr>
          <w:rFonts w:hint="eastAsia" w:ascii="宋体" w:hAnsi="宋体"/>
          <w:szCs w:val="21"/>
        </w:rPr>
        <w:t>1、投标人向采购人提供纸质版和1份电子版。</w:t>
      </w:r>
    </w:p>
    <w:p>
      <w:pPr>
        <w:tabs>
          <w:tab w:val="left" w:pos="6705"/>
        </w:tabs>
        <w:spacing w:line="360" w:lineRule="auto"/>
        <w:rPr>
          <w:rFonts w:ascii="宋体" w:hAnsi="宋体"/>
          <w:szCs w:val="21"/>
        </w:rPr>
      </w:pPr>
      <w:r>
        <w:rPr>
          <w:rFonts w:hint="eastAsia" w:ascii="宋体" w:hAnsi="宋体"/>
          <w:szCs w:val="21"/>
        </w:rPr>
        <w:t>2、投标人编制方案应符合国家有关技术规范要求，并根据采购人对报告编写提出的合理要求进行修改和补充。</w:t>
      </w:r>
    </w:p>
    <w:p>
      <w:pPr>
        <w:tabs>
          <w:tab w:val="left" w:pos="6705"/>
        </w:tabs>
        <w:spacing w:line="360" w:lineRule="auto"/>
        <w:rPr>
          <w:rFonts w:ascii="宋体" w:hAnsi="宋体"/>
          <w:szCs w:val="21"/>
        </w:rPr>
      </w:pPr>
      <w:bookmarkStart w:id="295" w:name="_Toc322442914"/>
      <w:bookmarkStart w:id="296" w:name="_Toc246760210"/>
      <w:bookmarkStart w:id="297" w:name="_Toc490726178"/>
      <w:bookmarkStart w:id="298" w:name="_Toc322442795"/>
      <w:bookmarkStart w:id="299" w:name="_Toc490726447"/>
      <w:r>
        <w:rPr>
          <w:rFonts w:hint="eastAsia" w:ascii="宋体" w:hAnsi="宋体"/>
          <w:szCs w:val="21"/>
        </w:rPr>
        <w:t>5.附  则</w:t>
      </w:r>
      <w:bookmarkEnd w:id="295"/>
      <w:bookmarkEnd w:id="296"/>
      <w:bookmarkEnd w:id="297"/>
      <w:bookmarkEnd w:id="298"/>
      <w:bookmarkEnd w:id="299"/>
    </w:p>
    <w:p>
      <w:pPr>
        <w:tabs>
          <w:tab w:val="left" w:pos="6705"/>
        </w:tabs>
        <w:spacing w:line="360" w:lineRule="auto"/>
        <w:rPr>
          <w:rFonts w:ascii="宋体" w:hAnsi="宋体"/>
          <w:szCs w:val="21"/>
        </w:rPr>
      </w:pPr>
      <w:r>
        <w:rPr>
          <w:rFonts w:hint="eastAsia" w:ascii="宋体" w:hAnsi="宋体"/>
          <w:szCs w:val="21"/>
        </w:rPr>
        <w:t>1、承接单位如对本任务书有疑问，应在接到任务书后以书面形式提出，组织单位在收到意见后将以口头或书面形式做出答复。</w:t>
      </w:r>
    </w:p>
    <w:p>
      <w:pPr>
        <w:tabs>
          <w:tab w:val="left" w:pos="6705"/>
        </w:tabs>
        <w:spacing w:line="360" w:lineRule="auto"/>
        <w:rPr>
          <w:rFonts w:ascii="宋体" w:hAnsi="宋体"/>
          <w:szCs w:val="21"/>
        </w:rPr>
      </w:pPr>
      <w:r>
        <w:rPr>
          <w:rFonts w:hint="eastAsia" w:ascii="宋体" w:hAnsi="宋体"/>
          <w:szCs w:val="21"/>
        </w:rPr>
        <w:t>2、承接单位所提交的项目成果有下列情形之一的视为成果无效，按技术服务合同承担相应责任。</w:t>
      </w:r>
    </w:p>
    <w:p>
      <w:pPr>
        <w:tabs>
          <w:tab w:val="left" w:pos="6705"/>
        </w:tabs>
        <w:spacing w:line="360" w:lineRule="auto"/>
        <w:rPr>
          <w:rFonts w:ascii="宋体" w:hAnsi="宋体"/>
          <w:szCs w:val="21"/>
        </w:rPr>
      </w:pPr>
      <w:r>
        <w:rPr>
          <w:rFonts w:hint="eastAsia" w:ascii="宋体" w:hAnsi="宋体"/>
          <w:szCs w:val="21"/>
        </w:rPr>
        <w:t>（1）提交的项目成果不符合本任务书规定的；</w:t>
      </w:r>
    </w:p>
    <w:p>
      <w:pPr>
        <w:tabs>
          <w:tab w:val="left" w:pos="6705"/>
        </w:tabs>
        <w:spacing w:line="360" w:lineRule="auto"/>
        <w:rPr>
          <w:rFonts w:ascii="宋体" w:hAnsi="宋体"/>
          <w:szCs w:val="21"/>
        </w:rPr>
      </w:pPr>
      <w:r>
        <w:rPr>
          <w:rFonts w:hint="eastAsia" w:ascii="宋体" w:hAnsi="宋体"/>
          <w:szCs w:val="21"/>
        </w:rPr>
        <w:t>（2）提交的项目成果文字辨认不清，内容不全或粗制滥造的；</w:t>
      </w:r>
    </w:p>
    <w:p>
      <w:pPr>
        <w:tabs>
          <w:tab w:val="left" w:pos="6705"/>
        </w:tabs>
        <w:spacing w:line="360" w:lineRule="auto"/>
        <w:rPr>
          <w:rFonts w:ascii="宋体" w:hAnsi="宋体"/>
          <w:szCs w:val="21"/>
        </w:rPr>
      </w:pPr>
      <w:r>
        <w:rPr>
          <w:rFonts w:hint="eastAsia" w:ascii="宋体" w:hAnsi="宋体"/>
          <w:szCs w:val="21"/>
        </w:rPr>
        <w:t>（3）未经组织单位同意逾期上报编制成果的。</w:t>
      </w:r>
    </w:p>
    <w:p>
      <w:pPr>
        <w:tabs>
          <w:tab w:val="left" w:pos="6705"/>
        </w:tabs>
        <w:spacing w:line="360" w:lineRule="auto"/>
        <w:rPr>
          <w:rFonts w:ascii="宋体" w:hAnsi="宋体"/>
          <w:szCs w:val="21"/>
        </w:rPr>
      </w:pPr>
      <w:r>
        <w:rPr>
          <w:rFonts w:hint="eastAsia" w:ascii="宋体" w:hAnsi="宋体"/>
          <w:szCs w:val="21"/>
        </w:rPr>
        <w:t>（4）未盖有承接单位公章或编制人员未签署。</w:t>
      </w:r>
    </w:p>
    <w:p>
      <w:pPr>
        <w:pStyle w:val="3"/>
        <w:rPr>
          <w:rFonts w:ascii="宋体" w:hAnsi="宋体"/>
          <w:szCs w:val="21"/>
        </w:rPr>
      </w:pPr>
      <w:r>
        <w:rPr>
          <w:rFonts w:hint="eastAsia" w:ascii="宋体" w:hAnsi="宋体"/>
          <w:szCs w:val="21"/>
        </w:rPr>
        <w:t xml:space="preserve"> 3、本任务书解释权归焦作市生态环境局博爱分局</w:t>
      </w:r>
    </w:p>
    <w:p>
      <w:bookmarkStart w:id="300" w:name="_Toc18577"/>
    </w:p>
    <w:p/>
    <w:p/>
    <w:p/>
    <w:p/>
    <w:p/>
    <w:p/>
    <w:p/>
    <w:p/>
    <w:p>
      <w:pPr>
        <w:pStyle w:val="2"/>
        <w:ind w:firstLine="320"/>
        <w:rPr>
          <w:rFonts w:hint="default"/>
        </w:rPr>
      </w:pPr>
    </w:p>
    <w:p/>
    <w:p>
      <w:pPr>
        <w:pStyle w:val="2"/>
        <w:ind w:firstLine="320"/>
        <w:rPr>
          <w:rFonts w:hint="default"/>
        </w:rPr>
      </w:pPr>
    </w:p>
    <w:p/>
    <w:p>
      <w:pPr>
        <w:pStyle w:val="2"/>
        <w:ind w:firstLine="320"/>
        <w:rPr>
          <w:rFonts w:hint="default"/>
        </w:rPr>
      </w:pPr>
    </w:p>
    <w:p/>
    <w:p>
      <w:pPr>
        <w:pStyle w:val="2"/>
        <w:ind w:firstLine="320"/>
        <w:rPr>
          <w:rFonts w:hint="default"/>
        </w:rPr>
      </w:pPr>
    </w:p>
    <w:p/>
    <w:p/>
    <w:p/>
    <w:p/>
    <w:p>
      <w:pPr>
        <w:pStyle w:val="5"/>
        <w:spacing w:before="0" w:after="0" w:line="360" w:lineRule="auto"/>
        <w:ind w:firstLine="643" w:firstLineChars="200"/>
        <w:rPr>
          <w:sz w:val="32"/>
          <w:szCs w:val="32"/>
        </w:rPr>
      </w:pPr>
      <w:r>
        <w:rPr>
          <w:rFonts w:hint="eastAsia"/>
          <w:sz w:val="32"/>
          <w:szCs w:val="32"/>
        </w:rPr>
        <w:t>第六章 质疑与投诉</w:t>
      </w:r>
      <w:bookmarkEnd w:id="300"/>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
        <w:spacing w:line="360" w:lineRule="auto"/>
        <w:ind w:firstLine="480" w:firstLineChars="200"/>
        <w:rPr>
          <w:rFonts w:hint="default" w:ascii="宋体" w:hAnsi="宋体" w:eastAsia="宋体" w:cs="宋体"/>
          <w:sz w:val="24"/>
        </w:rPr>
      </w:pPr>
      <w:r>
        <w:rPr>
          <w:rFonts w:ascii="宋体" w:hAnsi="宋体" w:eastAsia="宋体" w:cs="宋体"/>
          <w:sz w:val="24"/>
        </w:rPr>
        <w:t>1. 参与政府采购活动的投标人认为采购文件、采购过程、中标或者成交结果使自己的权益受到损害的，可以在知道或者应知其权益受到损害之日起7个工作日内，以书面形式向采购人、采购代理机构提出质疑。</w:t>
      </w:r>
    </w:p>
    <w:p>
      <w:pPr>
        <w:pStyle w:val="24"/>
        <w:spacing w:line="360" w:lineRule="auto"/>
        <w:ind w:firstLine="480"/>
        <w:rPr>
          <w:rFonts w:ascii="宋体" w:hAnsi="宋体" w:cs="宋体"/>
          <w:sz w:val="24"/>
        </w:rPr>
      </w:pPr>
      <w:r>
        <w:rPr>
          <w:rFonts w:hint="eastAsia" w:ascii="宋体" w:hAnsi="宋体" w:cs="宋体"/>
          <w:sz w:val="24"/>
        </w:rPr>
        <w:t>2. 投标人提出质疑应当提交质疑函和必要的证明材料。政府采购投标人质疑函范本下载地址：</w:t>
      </w:r>
    </w:p>
    <w:p>
      <w:pPr>
        <w:pStyle w:val="24"/>
        <w:spacing w:line="360" w:lineRule="auto"/>
        <w:ind w:left="420" w:leftChars="200" w:firstLine="0" w:firstLineChars="0"/>
        <w:rPr>
          <w:rFonts w:ascii="宋体" w:hAnsi="宋体" w:cs="宋体"/>
          <w:sz w:val="24"/>
        </w:rPr>
      </w:pPr>
      <w:r>
        <w:fldChar w:fldCharType="begin"/>
      </w:r>
      <w:r>
        <w:instrText xml:space="preserve"> HYPERLINK "http://download.ccgp.gov.cn/2018/zhiyihanfanben.zip；" </w:instrText>
      </w:r>
      <w:r>
        <w:fldChar w:fldCharType="separate"/>
      </w:r>
      <w:r>
        <w:rPr>
          <w:rStyle w:val="28"/>
          <w:rFonts w:hint="eastAsia" w:ascii="宋体" w:hAnsi="宋体" w:cs="宋体"/>
          <w:color w:val="auto"/>
          <w:sz w:val="24"/>
        </w:rPr>
        <w:t>http://download.ccgp.gov.cn/2018/zhiyihanfanben.zip；</w:t>
      </w:r>
      <w:r>
        <w:rPr>
          <w:rStyle w:val="28"/>
          <w:rFonts w:hint="eastAsia" w:ascii="宋体" w:hAnsi="宋体" w:cs="宋体"/>
          <w:color w:val="auto"/>
          <w:sz w:val="24"/>
        </w:rPr>
        <w:fldChar w:fldCharType="end"/>
      </w:r>
    </w:p>
    <w:p>
      <w:pPr>
        <w:numPr>
          <w:ilvl w:val="0"/>
          <w:numId w:val="11"/>
        </w:numPr>
        <w:spacing w:line="360" w:lineRule="auto"/>
        <w:ind w:firstLine="480" w:firstLineChars="200"/>
        <w:rPr>
          <w:rFonts w:ascii="宋体" w:hAnsi="宋体" w:cs="宋体"/>
          <w:sz w:val="24"/>
        </w:rPr>
      </w:pPr>
      <w:r>
        <w:rPr>
          <w:rFonts w:hint="eastAsia" w:ascii="宋体" w:hAnsi="宋体" w:cs="宋体"/>
          <w:sz w:val="24"/>
        </w:rPr>
        <w:t>采购人、采购代理机构不得拒收质疑投标人在法定质疑期内发出的质疑函，应当在收到质疑函后7个工作日内作出答复，并以书面形式通知质疑投标人和其他有关投标人。</w:t>
      </w:r>
    </w:p>
    <w:p>
      <w:pPr>
        <w:numPr>
          <w:ilvl w:val="0"/>
          <w:numId w:val="11"/>
        </w:numPr>
        <w:spacing w:line="360" w:lineRule="auto"/>
        <w:ind w:firstLine="480" w:firstLineChars="200"/>
        <w:rPr>
          <w:rFonts w:ascii="宋体" w:hAnsi="宋体" w:cs="宋体"/>
          <w:sz w:val="24"/>
        </w:rPr>
      </w:pPr>
      <w:r>
        <w:rPr>
          <w:rFonts w:hint="eastAsia" w:ascii="宋体" w:hAnsi="宋体" w:cs="宋体"/>
          <w:sz w:val="24"/>
        </w:rPr>
        <w:t>投标人提出质疑应当提交质疑函和必要的证明材料。质疑函应当包括下列内容：</w:t>
      </w:r>
    </w:p>
    <w:p>
      <w:pPr>
        <w:numPr>
          <w:ilvl w:val="1"/>
          <w:numId w:val="11"/>
        </w:numPr>
        <w:spacing w:line="360" w:lineRule="auto"/>
        <w:ind w:left="420" w:leftChars="200"/>
        <w:rPr>
          <w:rFonts w:ascii="宋体" w:hAnsi="宋体" w:cs="宋体"/>
          <w:sz w:val="24"/>
        </w:rPr>
      </w:pPr>
      <w:r>
        <w:rPr>
          <w:rFonts w:hint="eastAsia" w:ascii="宋体" w:hAnsi="宋体" w:cs="宋体"/>
          <w:sz w:val="24"/>
        </w:rPr>
        <w:t>投标人的姓名或者名称、地址、邮编、联系人及联系电话；</w:t>
      </w:r>
    </w:p>
    <w:p>
      <w:pPr>
        <w:numPr>
          <w:ilvl w:val="1"/>
          <w:numId w:val="11"/>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11"/>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11"/>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11"/>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11"/>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11"/>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11"/>
        </w:numPr>
        <w:spacing w:line="360" w:lineRule="auto"/>
        <w:ind w:left="420" w:leftChars="200"/>
        <w:rPr>
          <w:rFonts w:ascii="宋体" w:hAnsi="宋体" w:cs="宋体"/>
          <w:sz w:val="24"/>
        </w:rPr>
      </w:pPr>
      <w:r>
        <w:rPr>
          <w:rFonts w:hint="eastAsia" w:ascii="宋体" w:hAnsi="宋体" w:cs="宋体"/>
          <w:sz w:val="24"/>
        </w:rPr>
        <w:t>以上资料一式二份（采购人、采购代理机构各执一份）。</w:t>
      </w:r>
    </w:p>
    <w:p>
      <w:pPr>
        <w:numPr>
          <w:ilvl w:val="0"/>
          <w:numId w:val="11"/>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
        <w:spacing w:line="360" w:lineRule="auto"/>
        <w:ind w:firstLine="480" w:firstLineChars="200"/>
        <w:rPr>
          <w:rFonts w:hint="default" w:ascii="宋体" w:hAnsi="宋体" w:eastAsia="宋体" w:cs="宋体"/>
          <w:sz w:val="24"/>
        </w:rPr>
      </w:pPr>
      <w:r>
        <w:rPr>
          <w:rFonts w:ascii="宋体" w:hAnsi="宋体" w:eastAsia="宋体" w:cs="宋体"/>
          <w:sz w:val="24"/>
        </w:rPr>
        <w:t>1、质疑投标人对采购人、采购代理机构的答复不满意，或者采购人、采购代理机构未在规定时间内作出答复的，可以在答复期满后15个工作日内向本办法第六条规定的财政部门提起投诉。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2、质疑投标人对采购人、采购代理机构的答复不满意，或者采购人、采购代理机构未在规定时间内作出答复的，可以在答复期满后15个工作日内向财政部门提起投诉。</w:t>
      </w:r>
    </w:p>
    <w:p>
      <w:pPr>
        <w:pStyle w:val="2"/>
        <w:spacing w:line="360" w:lineRule="auto"/>
        <w:ind w:firstLine="480" w:firstLineChars="200"/>
        <w:rPr>
          <w:rFonts w:hint="default" w:ascii="宋体" w:hAnsi="宋体" w:eastAsia="宋体" w:cs="宋体"/>
          <w:sz w:val="24"/>
        </w:rPr>
      </w:pPr>
      <w:r>
        <w:rPr>
          <w:rFonts w:ascii="宋体" w:hAnsi="宋体" w:eastAsia="宋体" w:cs="宋体"/>
          <w:sz w:val="24"/>
        </w:rPr>
        <w:t>3、投诉人投诉时,应当提交投诉书和必要的证明材料，并按照被投诉采购人、采购代理机构（以下简称被投诉人）和与投诉事项有关的投标人数量提供投诉书的副本。政府采购投标人投诉书范本下载地址：</w:t>
      </w:r>
    </w:p>
    <w:p>
      <w:pPr>
        <w:pStyle w:val="2"/>
        <w:spacing w:line="360" w:lineRule="auto"/>
        <w:ind w:firstLine="640" w:firstLineChars="200"/>
        <w:rPr>
          <w:rFonts w:hint="default" w:ascii="宋体" w:hAnsi="宋体" w:eastAsia="宋体" w:cs="宋体"/>
          <w:sz w:val="24"/>
        </w:rPr>
      </w:pPr>
      <w:r>
        <w:fldChar w:fldCharType="begin"/>
      </w:r>
      <w:r>
        <w:instrText xml:space="preserve"> HYPERLINK "http://download.ccgp.gov.cn/2018/tousushufanben.zip" </w:instrText>
      </w:r>
      <w:r>
        <w:fldChar w:fldCharType="separate"/>
      </w:r>
      <w:r>
        <w:rPr>
          <w:rStyle w:val="28"/>
          <w:rFonts w:ascii="宋体" w:hAnsi="宋体" w:eastAsia="宋体" w:cs="宋体"/>
          <w:color w:val="auto"/>
          <w:sz w:val="24"/>
        </w:rPr>
        <w:t>http://download.ccgp.gov.cn/2018/tousushufanben.zip</w:t>
      </w:r>
      <w:r>
        <w:rPr>
          <w:rStyle w:val="28"/>
          <w:rFonts w:ascii="宋体" w:hAnsi="宋体" w:eastAsia="宋体" w:cs="宋体"/>
          <w:color w:val="auto"/>
          <w:sz w:val="24"/>
        </w:rPr>
        <w:fldChar w:fldCharType="end"/>
      </w:r>
    </w:p>
    <w:p>
      <w:pPr>
        <w:numPr>
          <w:ilvl w:val="0"/>
          <w:numId w:val="2"/>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4"/>
        <w:spacing w:line="360" w:lineRule="auto"/>
        <w:ind w:firstLine="480"/>
        <w:rPr>
          <w:rFonts w:ascii="宋体" w:hAnsi="宋体" w:cs="宋体"/>
          <w:sz w:val="24"/>
        </w:rPr>
      </w:pPr>
    </w:p>
    <w:p>
      <w:pPr>
        <w:pStyle w:val="5"/>
        <w:spacing w:before="0" w:after="0" w:line="360" w:lineRule="auto"/>
        <w:ind w:firstLine="480" w:firstLineChars="200"/>
        <w:jc w:val="both"/>
        <w:rPr>
          <w:rFonts w:ascii="宋体" w:hAnsi="宋体" w:cs="宋体"/>
          <w:b w:val="0"/>
          <w:bCs w:val="0"/>
          <w:sz w:val="24"/>
          <w:szCs w:val="24"/>
        </w:rPr>
      </w:pPr>
      <w:bookmarkStart w:id="301" w:name="_Toc3437"/>
      <w:r>
        <w:rPr>
          <w:rFonts w:hint="eastAsia" w:ascii="宋体" w:hAnsi="宋体" w:cs="宋体"/>
          <w:b w:val="0"/>
          <w:bCs w:val="0"/>
          <w:sz w:val="24"/>
          <w:szCs w:val="24"/>
        </w:rPr>
        <w:t>投诉联系电话：0391-8683273  地址：博爱县机关综合办公楼主楼1213室</w:t>
      </w:r>
      <w:bookmarkEnd w:id="301"/>
      <w:r>
        <w:rPr>
          <w:rFonts w:hint="eastAsia" w:ascii="宋体" w:hAnsi="宋体" w:cs="宋体"/>
          <w:b w:val="0"/>
          <w:bCs w:val="0"/>
          <w:sz w:val="24"/>
          <w:szCs w:val="24"/>
        </w:rPr>
        <w:t xml:space="preserve"> </w:t>
      </w:r>
    </w:p>
    <w:p>
      <w:pPr>
        <w:rPr>
          <w:rFonts w:ascii="宋体" w:hAnsi="宋体" w:cs="宋体"/>
          <w:sz w:val="24"/>
        </w:rPr>
      </w:pPr>
    </w:p>
    <w:p>
      <w:pPr>
        <w:pStyle w:val="6"/>
      </w:pPr>
    </w:p>
    <w:p/>
    <w:p>
      <w:pPr>
        <w:pStyle w:val="6"/>
      </w:pPr>
    </w:p>
    <w:p/>
    <w:p>
      <w:pPr>
        <w:pStyle w:val="6"/>
      </w:pPr>
    </w:p>
    <w:p/>
    <w:p>
      <w:pPr>
        <w:pStyle w:val="6"/>
      </w:pPr>
    </w:p>
    <w:p>
      <w:pPr>
        <w:pStyle w:val="21"/>
      </w:pPr>
    </w:p>
    <w:p>
      <w:pPr>
        <w:pStyle w:val="2"/>
        <w:spacing w:line="360" w:lineRule="auto"/>
        <w:ind w:firstLine="643" w:firstLineChars="200"/>
        <w:jc w:val="center"/>
        <w:rPr>
          <w:rFonts w:hint="default" w:asciiTheme="majorEastAsia" w:hAnsiTheme="majorEastAsia" w:eastAsiaTheme="majorEastAsia" w:cstheme="majorEastAsia"/>
          <w:b/>
          <w:bCs/>
          <w:szCs w:val="32"/>
        </w:rPr>
      </w:pPr>
      <w:r>
        <w:rPr>
          <w:rFonts w:asciiTheme="majorEastAsia" w:hAnsiTheme="majorEastAsia" w:eastAsiaTheme="majorEastAsia" w:cstheme="majorEastAsia"/>
          <w:b/>
          <w:bCs/>
          <w:szCs w:val="32"/>
        </w:rPr>
        <w:t>第七章 履约验收</w:t>
      </w:r>
    </w:p>
    <w:p>
      <w:pPr>
        <w:pStyle w:val="24"/>
      </w:pPr>
    </w:p>
    <w:p>
      <w:pPr>
        <w:pStyle w:val="2"/>
        <w:spacing w:line="360" w:lineRule="auto"/>
        <w:ind w:firstLine="480" w:firstLineChars="200"/>
        <w:rPr>
          <w:rFonts w:hint="default" w:ascii="Times New Roman" w:eastAsia="宋体"/>
          <w:sz w:val="24"/>
        </w:rPr>
      </w:pPr>
      <w:r>
        <w:rPr>
          <w:sz w:val="24"/>
        </w:rPr>
        <w:t>投标人</w:t>
      </w:r>
      <w:r>
        <w:rPr>
          <w:rFonts w:ascii="Times New Roman" w:eastAsia="宋体"/>
          <w:sz w:val="24"/>
        </w:rPr>
        <w:t>履约完成后，向采购人提出验收建议，采购人自收到验收建议之日起五个工作日内，采购人组织投标人参与，共同完成验收。技术复杂、专业性强等项目可适当延长验收时间。验收流程如下：</w:t>
      </w:r>
    </w:p>
    <w:p>
      <w:pPr>
        <w:pStyle w:val="2"/>
        <w:numPr>
          <w:ilvl w:val="0"/>
          <w:numId w:val="12"/>
        </w:numPr>
        <w:spacing w:line="360" w:lineRule="auto"/>
        <w:ind w:firstLine="480" w:firstLineChars="200"/>
        <w:rPr>
          <w:rFonts w:hint="default" w:ascii="Times New Roman" w:eastAsia="宋体"/>
          <w:sz w:val="24"/>
        </w:rPr>
      </w:pPr>
      <w:r>
        <w:rPr>
          <w:rFonts w:ascii="Times New Roman" w:eastAsia="宋体"/>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
        <w:numPr>
          <w:ilvl w:val="0"/>
          <w:numId w:val="12"/>
        </w:numPr>
        <w:spacing w:line="360" w:lineRule="auto"/>
        <w:ind w:firstLine="480" w:firstLineChars="200"/>
        <w:rPr>
          <w:rFonts w:hint="default" w:ascii="Times New Roman" w:eastAsia="宋体"/>
          <w:sz w:val="24"/>
        </w:rPr>
      </w:pPr>
      <w:r>
        <w:rPr>
          <w:rFonts w:ascii="Times New Roman" w:eastAsia="宋体"/>
          <w:sz w:val="24"/>
        </w:rPr>
        <w:t>完善验收方式。对于采购人和使用人分离的采购项目，应邀请使用人参与验收。采购人可邀请参与本项目的其他投标人或第三方机构及专家参与验收。相关验收意见作为验收书的参考资料。政府向社会公众提供的公共服务项目，验收时应邀请服务对象参与并出具意见，验收结果应在焦作市政府采购网公示。</w:t>
      </w:r>
    </w:p>
    <w:p>
      <w:pPr>
        <w:pStyle w:val="2"/>
        <w:numPr>
          <w:ilvl w:val="0"/>
          <w:numId w:val="12"/>
        </w:numPr>
        <w:spacing w:line="360" w:lineRule="auto"/>
        <w:ind w:firstLine="480" w:firstLineChars="200"/>
        <w:rPr>
          <w:rFonts w:hint="default" w:ascii="Times New Roman" w:eastAsia="宋体"/>
          <w:sz w:val="24"/>
        </w:rPr>
      </w:pPr>
      <w:r>
        <w:rPr>
          <w:rFonts w:ascii="Times New Roman" w:eastAsia="宋体"/>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
        <w:numPr>
          <w:ilvl w:val="0"/>
          <w:numId w:val="12"/>
        </w:numPr>
        <w:spacing w:line="360" w:lineRule="auto"/>
        <w:ind w:firstLine="480" w:firstLineChars="200"/>
        <w:rPr>
          <w:rFonts w:hint="default" w:ascii="Times New Roman" w:eastAsia="宋体"/>
          <w:sz w:val="24"/>
        </w:rPr>
      </w:pPr>
      <w:r>
        <w:rPr>
          <w:rFonts w:ascii="Times New Roman" w:eastAsia="宋体"/>
          <w:sz w:val="24"/>
        </w:rPr>
        <w:t>落实履约验收责任。验收合格的项目，采购人应当按照合同约定及时支付资金。验收不合格的项目，采购人应当依法及时处理。合同履行、违约责任和解决争议的方式使用《中华人民共和国民法典》。投标人在履约过程中有政府采购法律法规规定的违法委会情形，采购人应及时报财政部门。</w:t>
      </w:r>
    </w:p>
    <w:p>
      <w:pPr>
        <w:pStyle w:val="3"/>
      </w:pPr>
    </w:p>
    <w:p>
      <w:pPr>
        <w:pStyle w:val="21"/>
      </w:pPr>
    </w:p>
    <w:p>
      <w:pPr>
        <w:pStyle w:val="3"/>
      </w:pPr>
    </w:p>
    <w:p>
      <w:pPr>
        <w:pStyle w:val="23"/>
        <w:spacing w:line="600" w:lineRule="exact"/>
        <w:ind w:right="-63" w:rightChars="-30"/>
        <w:rPr>
          <w:rFonts w:asciiTheme="minorEastAsia" w:hAnsiTheme="minorEastAsia" w:eastAsiaTheme="minorEastAsia" w:cstheme="minorEastAsia"/>
          <w:sz w:val="36"/>
          <w:szCs w:val="36"/>
        </w:rPr>
      </w:pPr>
      <w:bookmarkStart w:id="302" w:name="_Toc7253"/>
      <w:r>
        <w:rPr>
          <w:rFonts w:hint="eastAsia" w:asciiTheme="minorEastAsia" w:hAnsiTheme="minorEastAsia" w:eastAsiaTheme="minorEastAsia" w:cstheme="minorEastAsia"/>
          <w:sz w:val="36"/>
          <w:szCs w:val="36"/>
        </w:rPr>
        <w:t>第八章  投标文件格式</w:t>
      </w:r>
      <w:bookmarkEnd w:id="277"/>
      <w:bookmarkEnd w:id="278"/>
      <w:bookmarkEnd w:id="279"/>
      <w:bookmarkEnd w:id="302"/>
    </w:p>
    <w:p>
      <w:pPr>
        <w:rPr>
          <w:rFonts w:asciiTheme="minorEastAsia" w:hAnsiTheme="minorEastAsia" w:eastAsiaTheme="minorEastAsia" w:cstheme="minorEastAsia"/>
        </w:rPr>
      </w:pPr>
      <w:bookmarkStart w:id="303" w:name="_Toc402961301"/>
      <w:bookmarkStart w:id="304" w:name="_Toc403122573"/>
      <w:bookmarkStart w:id="305" w:name="_Toc18905"/>
      <w:bookmarkStart w:id="306" w:name="_Toc27452"/>
    </w:p>
    <w:bookmarkEnd w:id="303"/>
    <w:bookmarkEnd w:id="304"/>
    <w:bookmarkEnd w:id="305"/>
    <w:bookmarkEnd w:id="306"/>
    <w:p>
      <w:pPr>
        <w:ind w:firstLine="2891" w:firstLineChars="800"/>
        <w:rPr>
          <w:rFonts w:asciiTheme="minorEastAsia" w:hAnsiTheme="minorEastAsia" w:eastAsiaTheme="minorEastAsia" w:cstheme="minorEastAsia"/>
        </w:rPr>
      </w:pPr>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24"/>
      </w:pPr>
    </w:p>
    <w:p>
      <w:pPr>
        <w:pStyle w:val="24"/>
      </w:pPr>
    </w:p>
    <w:p>
      <w:pPr>
        <w:pStyle w:val="24"/>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pStyle w:val="9"/>
      </w:pPr>
      <w:r>
        <w:rPr>
          <w:rFonts w:hint="eastAsia" w:asciiTheme="minorEastAsia" w:hAnsiTheme="minorEastAsia" w:eastAsiaTheme="minorEastAsia" w:cstheme="minorEastAsia"/>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5"/>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5"/>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5"/>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307" w:name="_Toc31547"/>
      <w:bookmarkStart w:id="308" w:name="_Toc2130"/>
      <w:bookmarkStart w:id="309" w:name="_Toc5525"/>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310" w:name="_Toc1921"/>
      <w:r>
        <w:rPr>
          <w:rFonts w:hint="eastAsia" w:asciiTheme="minorEastAsia" w:hAnsiTheme="minorEastAsia" w:eastAsiaTheme="minorEastAsia" w:cstheme="minorEastAsia"/>
          <w:b/>
          <w:bCs/>
          <w:sz w:val="30"/>
          <w:szCs w:val="30"/>
        </w:rPr>
        <w:t>一、投标函</w:t>
      </w:r>
      <w:bookmarkEnd w:id="307"/>
      <w:r>
        <w:rPr>
          <w:rFonts w:hint="eastAsia" w:asciiTheme="minorEastAsia" w:hAnsiTheme="minorEastAsia" w:eastAsiaTheme="minorEastAsia" w:cstheme="minorEastAsia"/>
          <w:b/>
          <w:bCs/>
          <w:sz w:val="30"/>
          <w:szCs w:val="30"/>
        </w:rPr>
        <w:t>及开标一览表</w:t>
      </w:r>
      <w:bookmarkEnd w:id="308"/>
      <w:bookmarkEnd w:id="309"/>
      <w:bookmarkEnd w:id="310"/>
    </w:p>
    <w:p>
      <w:pPr>
        <w:jc w:val="center"/>
        <w:outlineLvl w:val="2"/>
        <w:rPr>
          <w:rFonts w:asciiTheme="minorEastAsia" w:hAnsiTheme="minorEastAsia" w:eastAsiaTheme="minorEastAsia" w:cstheme="minorEastAsia"/>
          <w:b/>
          <w:bCs/>
          <w:sz w:val="28"/>
        </w:rPr>
      </w:pPr>
      <w:bookmarkStart w:id="311" w:name="_Toc15513"/>
      <w:bookmarkStart w:id="312" w:name="_Toc28684"/>
      <w:bookmarkStart w:id="313" w:name="_Toc600"/>
      <w:bookmarkStart w:id="314" w:name="_Toc27218"/>
      <w:bookmarkStart w:id="315" w:name="_Toc12044"/>
      <w:r>
        <w:rPr>
          <w:rFonts w:hint="eastAsia" w:asciiTheme="minorEastAsia" w:hAnsiTheme="minorEastAsia" w:eastAsiaTheme="minorEastAsia" w:cstheme="minorEastAsia"/>
          <w:b/>
          <w:sz w:val="28"/>
          <w:szCs w:val="28"/>
        </w:rPr>
        <w:t>（一）投标函</w:t>
      </w:r>
      <w:bookmarkEnd w:id="311"/>
      <w:bookmarkEnd w:id="312"/>
      <w:bookmarkEnd w:id="313"/>
      <w:bookmarkEnd w:id="314"/>
      <w:bookmarkEnd w:id="315"/>
    </w:p>
    <w:p>
      <w:pPr>
        <w:pStyle w:val="6"/>
        <w:ind w:left="720"/>
      </w:pPr>
    </w:p>
    <w:p>
      <w:pPr>
        <w:widowControl/>
        <w:spacing w:line="360" w:lineRule="auto"/>
        <w:ind w:firstLine="562"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
        <w:spacing w:line="360" w:lineRule="auto"/>
        <w:ind w:firstLine="480" w:firstLineChars="200"/>
        <w:rPr>
          <w:rFonts w:hint="default" w:asciiTheme="minorEastAsia" w:hAnsiTheme="minorEastAsia" w:eastAsiaTheme="minorEastAsia" w:cstheme="minorEastAsia"/>
        </w:rPr>
      </w:pPr>
      <w:r>
        <w:rPr>
          <w:rFonts w:asciiTheme="minorEastAsia" w:hAnsiTheme="minorEastAsia" w:eastAsiaTheme="minorEastAsia" w:cstheme="minorEastAsia"/>
          <w:sz w:val="24"/>
        </w:rPr>
        <w:t xml:space="preserve">我单位已收到的 </w:t>
      </w:r>
      <w:r>
        <w:rPr>
          <w:rFonts w:asciiTheme="minorEastAsia" w:hAnsiTheme="minorEastAsia" w:eastAsiaTheme="minorEastAsia" w:cstheme="minorEastAsia"/>
          <w:sz w:val="24"/>
          <w:u w:val="single"/>
        </w:rPr>
        <w:t xml:space="preserve">                        </w:t>
      </w:r>
      <w:r>
        <w:rPr>
          <w:rFonts w:asciiTheme="minorEastAsia" w:hAnsiTheme="minorEastAsia" w:eastAsiaTheme="minorEastAsia" w:cstheme="minorEastAsia"/>
          <w:sz w:val="24"/>
        </w:rPr>
        <w:t>项目（采购编号：</w:t>
      </w:r>
      <w:r>
        <w:rPr>
          <w:rFonts w:asciiTheme="minorEastAsia" w:hAnsiTheme="minorEastAsia" w:eastAsiaTheme="minorEastAsia" w:cstheme="minorEastAsia"/>
          <w:sz w:val="24"/>
          <w:u w:val="single"/>
        </w:rPr>
        <w:t xml:space="preserve">       </w:t>
      </w:r>
      <w:r>
        <w:rPr>
          <w:rFonts w:asciiTheme="minorEastAsia" w:hAnsiTheme="minorEastAsia" w:eastAsiaTheme="minorEastAsia" w:cstheme="minorEastAsia"/>
          <w:sz w:val="24"/>
        </w:rPr>
        <w:t>）采购文件及有关纪要通知，现对参与投标及成交后工作，做出如下郑重承诺：</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1、我方愿以总价为人民币（大写）</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（小写）￥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元，服务期：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，按合同约定实施和完成本项目。 </w:t>
      </w:r>
    </w:p>
    <w:p>
      <w:pPr>
        <w:widowControl/>
        <w:spacing w:line="360" w:lineRule="auto"/>
        <w:ind w:firstLine="480" w:firstLineChars="200"/>
        <w:rPr>
          <w:rFonts w:asciiTheme="minorEastAsia" w:hAnsiTheme="minorEastAsia" w:eastAsiaTheme="minorEastAsia" w:cstheme="minorEastAsia"/>
          <w:strike/>
          <w:sz w:val="24"/>
        </w:rPr>
      </w:pPr>
      <w:r>
        <w:rPr>
          <w:rFonts w:hint="eastAsia" w:asciiTheme="minorEastAsia" w:hAnsiTheme="minorEastAsia" w:eastAsiaTheme="minorEastAsia" w:cstheme="minorEastAsia"/>
          <w:sz w:val="24"/>
        </w:rPr>
        <w:t>2、在响应性文件递交截止时间后至确定成交人的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内，我单位不得要求退出竞标或者修改响应性文件。</w:t>
      </w:r>
    </w:p>
    <w:p>
      <w:pPr>
        <w:widowControl/>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3、我方明白采购人不一定接纳最低投标报价的采购，也不需要采购人解释选择或否决任何供应商的原因和理由。</w:t>
      </w: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供应商：（盖章）</w:t>
      </w:r>
    </w:p>
    <w:p>
      <w:pPr>
        <w:widowControl/>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316" w:name="_Toc31291"/>
      <w:bookmarkStart w:id="317" w:name="_Toc208"/>
      <w:bookmarkStart w:id="318" w:name="_Toc16691"/>
      <w:bookmarkStart w:id="319" w:name="_Toc9543"/>
      <w:bookmarkStart w:id="320" w:name="_Toc14778"/>
      <w:r>
        <w:rPr>
          <w:rFonts w:hint="eastAsia" w:asciiTheme="minorEastAsia" w:hAnsiTheme="minorEastAsia" w:eastAsiaTheme="minorEastAsia" w:cstheme="minorEastAsia"/>
          <w:b/>
          <w:bCs/>
          <w:sz w:val="28"/>
          <w:szCs w:val="28"/>
        </w:rPr>
        <w:t>（二） 开标一览表</w:t>
      </w:r>
      <w:bookmarkEnd w:id="316"/>
      <w:bookmarkEnd w:id="317"/>
      <w:bookmarkEnd w:id="318"/>
      <w:bookmarkEnd w:id="319"/>
      <w:bookmarkEnd w:id="320"/>
    </w:p>
    <w:p>
      <w:pPr>
        <w:jc w:val="center"/>
        <w:rPr>
          <w:rFonts w:asciiTheme="minorEastAsia" w:hAnsiTheme="minorEastAsia" w:eastAsiaTheme="minorEastAsia" w:cstheme="minorEastAsia"/>
          <w:b/>
          <w:bCs/>
          <w:sz w:val="28"/>
        </w:rPr>
      </w:pPr>
    </w:p>
    <w:tbl>
      <w:tblPr>
        <w:tblStyle w:val="25"/>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12"/>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服务期</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2"/>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2"/>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投标人：（单位公章）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3"/>
        <w:rPr>
          <w:rFonts w:asciiTheme="minorEastAsia" w:hAnsiTheme="minorEastAsia" w:eastAsiaTheme="minorEastAsia" w:cstheme="minorEastAsia"/>
          <w:sz w:val="24"/>
        </w:rPr>
      </w:pPr>
    </w:p>
    <w:p>
      <w:pPr>
        <w:pStyle w:val="23"/>
        <w:spacing w:before="120" w:after="120" w:line="500" w:lineRule="exact"/>
        <w:ind w:right="29" w:rightChars="14"/>
        <w:outlineLvl w:val="1"/>
        <w:rPr>
          <w:rFonts w:asciiTheme="minorEastAsia" w:hAnsiTheme="minorEastAsia" w:eastAsiaTheme="minorEastAsia" w:cstheme="minorEastAsia"/>
          <w:sz w:val="24"/>
        </w:rPr>
      </w:pPr>
    </w:p>
    <w:p>
      <w:pPr>
        <w:pStyle w:val="23"/>
        <w:spacing w:before="120" w:after="120" w:line="500" w:lineRule="exact"/>
        <w:ind w:right="29" w:rightChars="14"/>
        <w:outlineLvl w:val="1"/>
        <w:rPr>
          <w:rFonts w:asciiTheme="minorEastAsia" w:hAnsiTheme="minorEastAsia" w:eastAsiaTheme="minorEastAsia" w:cstheme="minorEastAsia"/>
          <w:sz w:val="24"/>
        </w:rPr>
        <w:sectPr>
          <w:headerReference r:id="rId9" w:type="default"/>
          <w:footerReference r:id="rId10" w:type="default"/>
          <w:pgSz w:w="11907" w:h="16840"/>
          <w:pgMar w:top="1276" w:right="1116" w:bottom="1417" w:left="911" w:header="850" w:footer="998" w:gutter="0"/>
          <w:pgNumType w:fmt="numberInDash"/>
          <w:cols w:space="720" w:num="1"/>
          <w:docGrid w:type="lines" w:linePitch="380" w:charSpace="0"/>
        </w:sectPr>
      </w:pPr>
    </w:p>
    <w:p>
      <w:pPr>
        <w:pStyle w:val="24"/>
        <w:ind w:firstLine="480"/>
        <w:rPr>
          <w:rFonts w:asciiTheme="minorEastAsia" w:hAnsiTheme="minorEastAsia" w:eastAsiaTheme="minorEastAsia" w:cstheme="minorEastAsia"/>
          <w:sz w:val="24"/>
        </w:rPr>
      </w:pPr>
    </w:p>
    <w:p>
      <w:pPr>
        <w:pStyle w:val="23"/>
        <w:numPr>
          <w:ilvl w:val="0"/>
          <w:numId w:val="13"/>
        </w:numPr>
        <w:spacing w:before="120" w:after="120" w:line="500" w:lineRule="exact"/>
        <w:ind w:right="29" w:rightChars="14"/>
        <w:outlineLvl w:val="1"/>
        <w:rPr>
          <w:rFonts w:asciiTheme="minorEastAsia" w:hAnsiTheme="minorEastAsia" w:eastAsiaTheme="minorEastAsia" w:cstheme="minorEastAsia"/>
          <w:sz w:val="30"/>
          <w:szCs w:val="30"/>
        </w:rPr>
      </w:pPr>
      <w:bookmarkStart w:id="321" w:name="_Toc5614"/>
      <w:bookmarkStart w:id="322" w:name="_Toc2213"/>
      <w:bookmarkStart w:id="323" w:name="_Toc28839"/>
      <w:bookmarkStart w:id="324" w:name="_Toc26698"/>
      <w:r>
        <w:rPr>
          <w:rFonts w:hint="eastAsia" w:asciiTheme="minorEastAsia" w:hAnsiTheme="minorEastAsia" w:eastAsiaTheme="minorEastAsia" w:cstheme="minorEastAsia"/>
          <w:sz w:val="30"/>
          <w:szCs w:val="30"/>
        </w:rPr>
        <w:t>法定代表人身份证明书</w:t>
      </w:r>
      <w:bookmarkEnd w:id="321"/>
      <w:bookmarkEnd w:id="322"/>
      <w:bookmarkEnd w:id="323"/>
      <w:bookmarkEnd w:id="324"/>
    </w:p>
    <w:p/>
    <w:p>
      <w:pPr>
        <w:spacing w:line="360" w:lineRule="auto"/>
        <w:ind w:firstLine="480" w:firstLineChars="200"/>
        <w:rPr>
          <w:rFonts w:ascii="宋体" w:hAnsi="宋体"/>
          <w:sz w:val="24"/>
        </w:rPr>
      </w:pPr>
      <w:r>
        <w:rPr>
          <w:rFonts w:hint="eastAsia" w:ascii="宋体" w:hAnsi="宋体"/>
          <w:sz w:val="24"/>
          <w:szCs w:val="18"/>
        </w:rPr>
        <w:t>投标人</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（投标人名称）的法定代表人。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6"/>
        <w:rPr>
          <w:rFonts w:ascii="宋体" w:hAnsi="宋体"/>
          <w:sz w:val="24"/>
        </w:rPr>
      </w:pPr>
      <w:r>
        <w:rPr>
          <w:sz w:val="24"/>
        </w:rPr>
        <w:pict>
          <v:shape id="_x0000_s2050" o:spid="_x0000_s2050" o:spt="176" type="#_x0000_t176" style="position:absolute;left:0pt;margin-left:208.6pt;margin-top:27.3pt;height:166pt;width:246.8pt;z-index:251661312;mso-width-relative:page;mso-height-relative:page;" coordsize="21600,21600">
            <v:path/>
            <v:fill focussize="0,0"/>
            <v:stroke joinstyle="miter"/>
            <v:imagedata o:title=""/>
            <o:lock v:ext="edit"/>
            <v:textbox>
              <w:txbxContent>
                <w:p/>
              </w:txbxContent>
            </v:textbox>
          </v:shape>
        </w:pict>
      </w:r>
      <w:r>
        <w:rPr>
          <w:sz w:val="24"/>
        </w:rPr>
        <w:pict>
          <v:shape id="_x0000_s2051" o:spid="_x0000_s2051" o:spt="176" type="#_x0000_t176" style="position:absolute;left:0pt;margin-left:-23.4pt;margin-top:21.65pt;height:176pt;width:229.35pt;z-index:251659264;mso-width-relative:page;mso-height-relative:page;" coordsize="21600,21600">
            <v:path/>
            <v:fill focussize="0,0"/>
            <v:stroke joinstyle="miter"/>
            <v:imagedata o:title=""/>
            <o:lock v:ext="edit"/>
            <v:textbox>
              <w:txbxContent>
                <w:p/>
              </w:txbxContent>
            </v:textbox>
          </v:shape>
        </w:pict>
      </w:r>
    </w:p>
    <w:p>
      <w:pPr>
        <w:rPr>
          <w:rFonts w:ascii="宋体" w:hAnsi="宋体"/>
          <w:sz w:val="24"/>
        </w:rPr>
      </w:pPr>
    </w:p>
    <w:p>
      <w:pPr>
        <w:pStyle w:val="6"/>
        <w:rPr>
          <w:rFonts w:ascii="宋体" w:hAnsi="宋体"/>
          <w:sz w:val="24"/>
        </w:rPr>
      </w:pPr>
      <w:r>
        <w:rPr>
          <w:sz w:val="24"/>
        </w:rPr>
        <w:pict>
          <v:shape id="_x0000_s2053" o:spid="_x0000_s2053" o:spt="202" type="#_x0000_t202" style="position:absolute;left:0pt;margin-left:-20.75pt;margin-top:28.6pt;height:23.35pt;width:221.3pt;z-index:251660288;mso-width-relative:page;mso-height-relative:page;" coordsize="21600,21600">
            <v:path/>
            <v:fill focussize="0,0"/>
            <v:stroke joinstyle="miter"/>
            <v:imagedata o:title=""/>
            <o:lock v:ext="edit"/>
            <v:textbox>
              <w:txbxContent>
                <w:p>
                  <w:r>
                    <w:rPr>
                      <w:rFonts w:hint="eastAsia" w:ascii="宋体" w:hAnsi="宋体"/>
                      <w:sz w:val="24"/>
                    </w:rPr>
                    <w:t>法定代表人身份证复印件粘贴处（正面）</w:t>
                  </w:r>
                </w:p>
              </w:txbxContent>
            </v:textbox>
          </v:shape>
        </w:pict>
      </w:r>
      <w:r>
        <w:rPr>
          <w:sz w:val="24"/>
        </w:rPr>
        <w:pict>
          <v:shape id="_x0000_s2052" o:spid="_x0000_s2052" o:spt="202" type="#_x0000_t202" style="position:absolute;left:0pt;margin-left:219pt;margin-top:28.45pt;height:23.35pt;width:221.3pt;z-index:251662336;mso-width-relative:page;mso-height-relative:page;" coordsize="21600,21600">
            <v:path/>
            <v:fill focussize="0,0"/>
            <v:stroke joinstyle="miter"/>
            <v:imagedata o:title=""/>
            <o:lock v:ext="edit"/>
            <v:textbox>
              <w:txbxContent>
                <w:p>
                  <w:r>
                    <w:rPr>
                      <w:rFonts w:hint="eastAsia" w:ascii="宋体" w:hAnsi="宋体"/>
                      <w:sz w:val="24"/>
                    </w:rPr>
                    <w:t>法定代表人身份证复印件粘贴处（背面）</w:t>
                  </w:r>
                </w:p>
              </w:txbxContent>
            </v:textbox>
          </v:shape>
        </w:pict>
      </w:r>
    </w:p>
    <w:p>
      <w:pPr>
        <w:rPr>
          <w:rFonts w:ascii="宋体" w:hAnsi="宋体"/>
          <w:sz w:val="24"/>
        </w:rPr>
      </w:pPr>
    </w:p>
    <w:p>
      <w:pPr>
        <w:pStyle w:val="6"/>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投标人：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spacing w:line="440" w:lineRule="exact"/>
        <w:rPr>
          <w:rFonts w:asciiTheme="minorEastAsia" w:hAnsiTheme="minorEastAsia" w:eastAsiaTheme="minorEastAsia" w:cstheme="minorEastAsia"/>
        </w:rPr>
      </w:pPr>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325" w:name="_Toc6009"/>
      <w:bookmarkStart w:id="326" w:name="_Toc15395"/>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327" w:name="_Toc17980"/>
      <w:bookmarkStart w:id="328" w:name="_Toc17236"/>
      <w:r>
        <w:rPr>
          <w:rFonts w:hint="eastAsia" w:asciiTheme="minorEastAsia" w:hAnsiTheme="minorEastAsia" w:eastAsiaTheme="minorEastAsia" w:cstheme="minorEastAsia"/>
          <w:sz w:val="30"/>
          <w:szCs w:val="30"/>
        </w:rPr>
        <w:t>三、授权委托书</w:t>
      </w:r>
      <w:bookmarkEnd w:id="325"/>
      <w:bookmarkEnd w:id="326"/>
      <w:bookmarkEnd w:id="327"/>
      <w:bookmarkEnd w:id="328"/>
    </w:p>
    <w:p>
      <w:pPr>
        <w:pStyle w:val="6"/>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（项目名称）项目投标文件、签订合同和处理有关事宜，其法律后果由我方承担。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w:pict>
          <v:shape id="_x0000_s2055" o:spid="_x0000_s2055" o:spt="176" type="#_x0000_t176" style="position:absolute;left:0pt;margin-left:-28.65pt;margin-top:12.5pt;height:176pt;width:240.2pt;z-index:251663360;mso-width-relative:page;mso-height-relative:page;" coordsize="21600,21600">
            <v:path/>
            <v:fill focussize="0,0"/>
            <v:stroke joinstyle="miter"/>
            <v:imagedata o:title=""/>
            <o:lock v:ext="edit"/>
            <v:textbox>
              <w:txbxContent>
                <w:p/>
              </w:txbxContent>
            </v:textbox>
          </v:shape>
        </w:pict>
      </w:r>
      <w:r>
        <w:rPr>
          <w:sz w:val="24"/>
        </w:rPr>
        <w:pict>
          <v:shape id="_x0000_s2054" o:spid="_x0000_s2054" o:spt="176" type="#_x0000_t176" style="position:absolute;left:0pt;margin-left:212.25pt;margin-top:14.15pt;height:176pt;width:246.8pt;z-index:251664384;mso-width-relative:page;mso-height-relative:page;" coordsize="21600,21600">
            <v:path/>
            <v:fill focussize="0,0"/>
            <v:stroke joinstyle="miter"/>
            <v:imagedata o:title=""/>
            <o:lock v:ext="edit"/>
          </v:shape>
        </w:pic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w:pict>
          <v:shape id="_x0000_s2056" o:spid="_x0000_s2056" o:spt="202" type="#_x0000_t202" style="position:absolute;left:0pt;margin-left:-20.9pt;margin-top:21.5pt;height:23.35pt;width:221.3pt;z-index:251665408;mso-width-relative:page;mso-height-relative:page;" coordsize="21600,21600">
            <v:path/>
            <v:fill focussize="0,0"/>
            <v:stroke joinstyle="miter"/>
            <v:imagedata o:title=""/>
            <o:lock v:ext="edit"/>
            <v:textbox>
              <w:txbxContent>
                <w:p>
                  <w:r>
                    <w:rPr>
                      <w:rFonts w:hint="eastAsia" w:ascii="宋体" w:hAnsi="宋体"/>
                      <w:sz w:val="24"/>
                    </w:rPr>
                    <w:t>委托代理人身份证复印件粘贴处（正面）</w:t>
                  </w:r>
                </w:p>
              </w:txbxContent>
            </v:textbox>
          </v:shape>
        </w:pict>
      </w:r>
      <w:r>
        <w:rPr>
          <w:sz w:val="24"/>
        </w:rPr>
        <w:pict>
          <v:shape id="_x0000_s2057" o:spid="_x0000_s2057" o:spt="202" type="#_x0000_t202" style="position:absolute;left:0pt;margin-left:222.45pt;margin-top:18.5pt;height:23.35pt;width:221.3pt;z-index:251666432;mso-width-relative:page;mso-height-relative:page;" coordsize="21600,21600">
            <v:path/>
            <v:fill focussize="0,0"/>
            <v:stroke joinstyle="miter"/>
            <v:imagedata o:title=""/>
            <o:lock v:ext="edit"/>
            <v:textbox>
              <w:txbxContent>
                <w:p>
                  <w:r>
                    <w:rPr>
                      <w:rFonts w:hint="eastAsia" w:ascii="宋体" w:hAnsi="宋体"/>
                      <w:sz w:val="24"/>
                    </w:rPr>
                    <w:t>委托代理人身份证复印件粘贴处（背面）</w:t>
                  </w:r>
                </w:p>
              </w:txbxContent>
            </v:textbox>
          </v:shape>
        </w:pic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Theme="minorEastAsia" w:hAnsiTheme="minorEastAsia" w:eastAsiaTheme="minorEastAsia" w:cstheme="minorEastAsia"/>
          <w:sz w:val="30"/>
          <w:szCs w:val="30"/>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246"/>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bookmarkStart w:id="329" w:name="_Toc8304"/>
      <w:bookmarkStart w:id="330" w:name="_Toc25161"/>
      <w:bookmarkStart w:id="331" w:name="_Toc18947"/>
      <w:r>
        <w:rPr>
          <w:rFonts w:hint="eastAsia" w:asciiTheme="minorEastAsia" w:hAnsiTheme="minorEastAsia" w:eastAsiaTheme="minorEastAsia" w:cstheme="minorEastAsia"/>
          <w:b/>
          <w:kern w:val="2"/>
          <w:sz w:val="30"/>
          <w:szCs w:val="30"/>
        </w:rPr>
        <w:t>四、</w:t>
      </w:r>
      <w:bookmarkEnd w:id="329"/>
      <w:r>
        <w:rPr>
          <w:rFonts w:hint="eastAsia" w:asciiTheme="minorEastAsia" w:hAnsiTheme="minorEastAsia" w:eastAsiaTheme="minorEastAsia" w:cstheme="minorEastAsia"/>
          <w:b/>
          <w:kern w:val="2"/>
          <w:sz w:val="30"/>
          <w:szCs w:val="30"/>
        </w:rPr>
        <w:t>项目实施方案、措施等</w:t>
      </w:r>
      <w:bookmarkEnd w:id="330"/>
      <w:bookmarkEnd w:id="331"/>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332" w:name="_Toc5854"/>
      <w:bookmarkStart w:id="333" w:name="_Toc10043"/>
      <w:bookmarkStart w:id="334" w:name="_Toc20650"/>
      <w:bookmarkStart w:id="335" w:name="_Toc29492"/>
      <w:bookmarkStart w:id="336" w:name="_Toc30146"/>
      <w:r>
        <w:rPr>
          <w:rFonts w:hint="eastAsia" w:asciiTheme="minorEastAsia" w:hAnsiTheme="minorEastAsia" w:eastAsiaTheme="minorEastAsia" w:cstheme="minorEastAsia"/>
          <w:b/>
          <w:kern w:val="2"/>
          <w:sz w:val="30"/>
          <w:szCs w:val="30"/>
        </w:rPr>
        <w:t>五、资格证明文件</w:t>
      </w:r>
      <w:bookmarkEnd w:id="332"/>
      <w:bookmarkEnd w:id="333"/>
      <w:bookmarkEnd w:id="334"/>
      <w:bookmarkEnd w:id="335"/>
      <w:bookmarkEnd w:id="336"/>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投标人营业执照副本（三证合一）；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24"/>
        <w:ind w:firstLine="482"/>
        <w:rPr>
          <w:b/>
          <w:bCs/>
        </w:rPr>
      </w:pPr>
      <w:r>
        <w:rPr>
          <w:rFonts w:hint="eastAsia"/>
          <w:b/>
          <w:bCs/>
          <w:sz w:val="24"/>
        </w:rPr>
        <w:t>备注：以上资格证明文件须提供原件的扫描件。</w:t>
      </w:r>
    </w:p>
    <w:p>
      <w:pPr>
        <w:pStyle w:val="24"/>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
        <w:ind w:firstLine="281"/>
        <w:rPr>
          <w:rFonts w:hint="default" w:asciiTheme="minorEastAsia" w:hAnsiTheme="minorEastAsia" w:eastAsiaTheme="minorEastAsia" w:cstheme="minorEastAsia"/>
          <w:b/>
          <w:sz w:val="28"/>
        </w:rPr>
      </w:pPr>
    </w:p>
    <w:p>
      <w:pPr>
        <w:pStyle w:val="24"/>
        <w:ind w:firstLine="562"/>
        <w:rPr>
          <w:rFonts w:asciiTheme="minorEastAsia" w:hAnsiTheme="minorEastAsia" w:eastAsiaTheme="minorEastAsia" w:cstheme="minorEastAsia"/>
          <w:b/>
          <w:sz w:val="28"/>
        </w:rPr>
      </w:pPr>
    </w:p>
    <w:p>
      <w:pPr>
        <w:pStyle w:val="24"/>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337" w:name="_Toc8330"/>
      <w:bookmarkStart w:id="338" w:name="_Toc6465"/>
      <w:bookmarkStart w:id="339" w:name="_Toc31553"/>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firstLine="3313" w:firstLineChars="1100"/>
        <w:outlineLvl w:val="1"/>
        <w:rPr>
          <w:rFonts w:asciiTheme="minorEastAsia" w:hAnsiTheme="minorEastAsia" w:eastAsiaTheme="minorEastAsia" w:cstheme="minorEastAsia"/>
          <w:b/>
          <w:kern w:val="2"/>
          <w:sz w:val="30"/>
          <w:szCs w:val="30"/>
        </w:rPr>
      </w:pPr>
      <w:bookmarkStart w:id="340" w:name="_Toc4390"/>
      <w:bookmarkStart w:id="341" w:name="_Toc12355"/>
      <w:r>
        <w:rPr>
          <w:rFonts w:hint="eastAsia" w:asciiTheme="minorEastAsia" w:hAnsiTheme="minorEastAsia" w:eastAsiaTheme="minorEastAsia" w:cstheme="minorEastAsia"/>
          <w:b/>
          <w:kern w:val="2"/>
          <w:sz w:val="30"/>
          <w:szCs w:val="30"/>
        </w:rPr>
        <w:t>六、投标人服务承诺和优惠承诺</w:t>
      </w:r>
      <w:bookmarkEnd w:id="340"/>
      <w:bookmarkEnd w:id="341"/>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bookmarkEnd w:id="337"/>
    <w:bookmarkEnd w:id="338"/>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342" w:name="_Toc15396"/>
      <w:bookmarkStart w:id="343" w:name="_Toc24850"/>
      <w:bookmarkStart w:id="344" w:name="_Toc23227"/>
      <w:bookmarkStart w:id="345" w:name="_Toc10717"/>
      <w:r>
        <w:rPr>
          <w:rFonts w:hint="eastAsia" w:asciiTheme="minorEastAsia" w:hAnsiTheme="minorEastAsia" w:eastAsiaTheme="minorEastAsia" w:cstheme="minorEastAsia"/>
          <w:b/>
          <w:kern w:val="2"/>
          <w:sz w:val="30"/>
          <w:szCs w:val="30"/>
        </w:rPr>
        <w:t>七、中小企业声明函（如有）</w:t>
      </w:r>
      <w:bookmarkEnd w:id="342"/>
      <w:bookmarkEnd w:id="343"/>
      <w:bookmarkEnd w:id="344"/>
      <w:bookmarkEnd w:id="345"/>
    </w:p>
    <w:p>
      <w:pPr>
        <w:pStyle w:val="22"/>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346" w:name="_Toc20881"/>
      <w:bookmarkStart w:id="347" w:name="_Toc11708"/>
      <w:bookmarkStart w:id="348" w:name="_Toc18562"/>
      <w:bookmarkStart w:id="349" w:name="_Toc30170"/>
      <w:bookmarkStart w:id="350" w:name="_Toc14292"/>
      <w:r>
        <w:rPr>
          <w:rFonts w:hint="eastAsia" w:asciiTheme="minorEastAsia" w:hAnsiTheme="minorEastAsia" w:eastAsiaTheme="minorEastAsia" w:cstheme="minorEastAsia"/>
          <w:b/>
          <w:kern w:val="2"/>
          <w:sz w:val="30"/>
          <w:szCs w:val="30"/>
        </w:rPr>
        <w:t>八、残疾人福利性单位声明函（如有）</w:t>
      </w:r>
      <w:bookmarkEnd w:id="346"/>
      <w:bookmarkEnd w:id="347"/>
      <w:bookmarkEnd w:id="348"/>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bookmarkEnd w:id="339"/>
    <w:bookmarkEnd w:id="349"/>
    <w:bookmarkEnd w:id="350"/>
    <w:p>
      <w:pPr>
        <w:rPr>
          <w:rFonts w:ascii="Times New Roman" w:hAnsi="Times New Roman" w:eastAsia="仿宋"/>
          <w:sz w:val="32"/>
          <w:szCs w:val="32"/>
          <w:shd w:val="clear" w:color="FFFFFF" w:fill="D9D9D9"/>
        </w:rPr>
      </w:pPr>
    </w:p>
    <w:p>
      <w:pPr>
        <w:pStyle w:val="7"/>
        <w:rPr>
          <w:shd w:val="clear" w:color="FFFFFF" w:fill="D9D9D9"/>
        </w:rPr>
      </w:pPr>
    </w:p>
    <w:p>
      <w:pPr>
        <w:pStyle w:val="22"/>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22"/>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351" w:name="_Toc10970"/>
      <w:bookmarkStart w:id="352" w:name="_Toc16608"/>
      <w:bookmarkStart w:id="353" w:name="_Toc18605"/>
      <w:r>
        <w:rPr>
          <w:rFonts w:hint="eastAsia" w:asciiTheme="minorEastAsia" w:hAnsiTheme="minorEastAsia" w:eastAsiaTheme="minorEastAsia" w:cstheme="minorEastAsia"/>
          <w:b/>
          <w:kern w:val="2"/>
          <w:sz w:val="30"/>
          <w:szCs w:val="30"/>
        </w:rPr>
        <w:t>九、招标文件要求的或投标人认为须提交的其他材料</w:t>
      </w:r>
      <w:bookmarkEnd w:id="351"/>
      <w:bookmarkEnd w:id="352"/>
      <w:bookmarkEnd w:id="353"/>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招标文件规定的其他资料及投标人认为需要提交的其他材料。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4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4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4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47"/>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47"/>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p>
    <w:p>
      <w:pPr>
        <w:spacing w:line="360" w:lineRule="auto"/>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优化和提升政府采购政策</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一、全面取消采购文件费用和投标保证金费用。</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二、免收履约保证金。确因项目需要的，应以保函等非现金形式收取，比例不得超过合同金额的</w:t>
      </w:r>
      <w:r>
        <w:rPr>
          <w:rFonts w:hint="eastAsia" w:asciiTheme="minorEastAsia" w:hAnsiTheme="minorEastAsia" w:eastAsiaTheme="minorEastAsia" w:cstheme="minorEastAsia"/>
          <w:sz w:val="24"/>
          <w:u w:val="single"/>
        </w:rPr>
        <w:t>6%</w:t>
      </w:r>
      <w:r>
        <w:rPr>
          <w:rFonts w:hint="eastAsia" w:asciiTheme="minorEastAsia" w:hAnsiTheme="minorEastAsia" w:eastAsiaTheme="minorEastAsia" w:cstheme="minorEastAsia"/>
          <w:sz w:val="24"/>
        </w:rPr>
        <w:t>，并按约定的时间和条件退还。</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三、评标结果确认时限。自评标（评审）结束后应2个工作日内确定中标（成交）投标人，5个工作日内公告结果，同时发送中标（成交）通知书。</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四、合同签订时限。自中标（成交）通知书发出之日起</w:t>
      </w:r>
      <w:r>
        <w:rPr>
          <w:rFonts w:hint="eastAsia" w:asciiTheme="minorEastAsia" w:hAnsiTheme="minorEastAsia" w:eastAsiaTheme="minorEastAsia" w:cstheme="minorEastAsia"/>
          <w:sz w:val="24"/>
          <w:u w:val="single"/>
        </w:rPr>
        <w:t>15</w:t>
      </w:r>
      <w:r>
        <w:rPr>
          <w:rFonts w:hint="eastAsia" w:asciiTheme="minorEastAsia" w:hAnsiTheme="minorEastAsia" w:eastAsiaTheme="minorEastAsia" w:cstheme="minorEastAsia"/>
          <w:sz w:val="24"/>
        </w:rPr>
        <w:t xml:space="preserve">日内，按照采购文件和投标（响应性）文件确定的事项签订政府采购合同。 </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五、合同公告和备案时限。自合同签订之日起2个工作日内。</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六、项目验收。自收到投标人项目验收建议之日起5个工作日内组织验收；验收结束后2个工作日内出具《验收报告》，并在焦作市政府采购网公告验收结果。</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在政府采购活动中，若发现采购人或采购代理机构未按以上政策执行的，可向监督部门举报反映。</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监督单位：博爱县财政局政府采购监督管理办公室</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监督电话：0391-8683273</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地址：博爱县发展大道188号机关综合办公楼主楼1213室</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pStyle w:val="6"/>
        <w:rPr>
          <w:rFonts w:ascii="宋体" w:hAnsi="宋体" w:cs="宋体"/>
          <w:sz w:val="36"/>
          <w:szCs w:val="36"/>
        </w:rPr>
      </w:pPr>
    </w:p>
    <w:p>
      <w:pPr>
        <w:rPr>
          <w:rFonts w:ascii="宋体" w:hAnsi="宋体" w:cs="宋体"/>
          <w:b/>
          <w:sz w:val="36"/>
          <w:szCs w:val="36"/>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360" w:lineRule="exact"/>
        <w:ind w:firstLine="420" w:firstLineChars="175"/>
        <w:rPr>
          <w:rFonts w:ascii="宋体" w:hAnsi="宋体" w:cs="宋体"/>
          <w:bCs/>
          <w:sz w:val="24"/>
        </w:rPr>
      </w:pPr>
      <w:r>
        <w:rPr>
          <w:rFonts w:hint="eastAsia" w:ascii="宋体" w:hAnsi="宋体" w:cs="宋体"/>
          <w:bCs/>
          <w:sz w:val="24"/>
        </w:rPr>
        <w:t>各投标人：</w:t>
      </w:r>
    </w:p>
    <w:p>
      <w:pPr>
        <w:spacing w:line="360" w:lineRule="exact"/>
        <w:ind w:firstLine="420" w:firstLineChars="175"/>
        <w:rPr>
          <w:rFonts w:ascii="宋体" w:hAnsi="宋体" w:cs="宋体"/>
          <w:bCs/>
          <w:sz w:val="24"/>
        </w:rPr>
      </w:pPr>
      <w:r>
        <w:rPr>
          <w:rFonts w:hint="eastAsia" w:ascii="宋体" w:hAnsi="宋体" w:cs="宋体"/>
          <w:bCs/>
          <w:sz w:val="24"/>
        </w:rPr>
        <w:t xml:space="preserve">   欢迎贵公司参与河南省政府采购活动！</w:t>
      </w:r>
    </w:p>
    <w:p>
      <w:pPr>
        <w:spacing w:line="36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spacing w:line="36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35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2064"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558"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2064"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2064"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pPr>
        <w:rPr>
          <w:rFonts w:ascii="宋体" w:hAnsi="宋体" w:cs="宋体"/>
          <w:sz w:val="24"/>
        </w:rPr>
      </w:pPr>
      <w:r>
        <w:rPr>
          <w:rFonts w:hint="eastAsia" w:ascii="宋体" w:hAnsi="宋体" w:cs="宋体"/>
          <w:sz w:val="24"/>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_x0000_s1030" o:spid="_x0000_s1030"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16"/>
                </w:pPr>
                <w:r>
                  <w:fldChar w:fldCharType="begin"/>
                </w:r>
                <w:r>
                  <w:instrText xml:space="preserve"> PAGE  \* MERGEFORMAT </w:instrText>
                </w:r>
                <w:r>
                  <w:fldChar w:fldCharType="separate"/>
                </w:r>
                <w:r>
                  <w:t>- 23 -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_x0000_s1028" o:spid="_x0000_s1028"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16"/>
                </w:pPr>
                <w:r>
                  <w:fldChar w:fldCharType="begin"/>
                </w:r>
                <w:r>
                  <w:instrText xml:space="preserve"> PAGE  \* MERGEFORMAT </w:instrText>
                </w:r>
                <w:r>
                  <w:fldChar w:fldCharType="separate"/>
                </w:r>
                <w:r>
                  <w:t>- 1 -</w:t>
                </w:r>
                <w:r>
                  <w:fldChar w:fldCharType="end"/>
                </w:r>
              </w:p>
            </w:txbxContent>
          </v:textbox>
        </v:shape>
      </w:pict>
    </w:r>
    <w:r>
      <w:pict>
        <v:shape id="_x0000_s1029" o:spid="_x0000_s1029"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path/>
          <v:fill on="f" focussize="0,0"/>
          <v:stroke on="f" joinstyle="miter"/>
          <v:imagedata o:title=""/>
          <o:lock v:ext="edit"/>
          <v:textbox>
            <w:txbxContent>
              <w:p>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sz w:val="16"/>
        <w:szCs w:val="22"/>
      </w:rPr>
    </w:pPr>
    <w:r>
      <w:rPr>
        <w:sz w:val="20"/>
        <w:szCs w:val="22"/>
      </w:rPr>
      <w:pict>
        <v:shape id="_x0000_s1027" o:spid="_x0000_s1027"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path/>
          <v:fill on="f" focussize="0,0"/>
          <v:stroke on="f" joinstyle="miter"/>
          <v:imagedata o:title=""/>
          <o:lock v:ext="edit"/>
          <v:textbox inset="0mm,0mm,0mm,0mm" style="mso-fit-shape-to-text:t;">
            <w:txbxContent>
              <w:p>
                <w:pPr>
                  <w:pStyle w:val="16"/>
                </w:pPr>
                <w:r>
                  <w:fldChar w:fldCharType="begin"/>
                </w:r>
                <w:r>
                  <w:instrText xml:space="preserve"> PAGE  \* MERGEFORMAT </w:instrText>
                </w:r>
                <w:r>
                  <w:fldChar w:fldCharType="separate"/>
                </w:r>
                <w:r>
                  <w:t>- 24 -</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B039FA"/>
    <w:multiLevelType w:val="singleLevel"/>
    <w:tmpl w:val="9FB039FA"/>
    <w:lvl w:ilvl="0" w:tentative="0">
      <w:start w:val="2"/>
      <w:numFmt w:val="chineseCounting"/>
      <w:suff w:val="nothing"/>
      <w:lvlText w:val="%1、"/>
      <w:lvlJc w:val="left"/>
      <w:rPr>
        <w:rFonts w:hint="eastAsia"/>
      </w:rPr>
    </w:lvl>
  </w:abstractNum>
  <w:abstractNum w:abstractNumId="3">
    <w:nsid w:val="A58974FB"/>
    <w:multiLevelType w:val="singleLevel"/>
    <w:tmpl w:val="A58974FB"/>
    <w:lvl w:ilvl="0" w:tentative="0">
      <w:start w:val="1"/>
      <w:numFmt w:val="decimal"/>
      <w:suff w:val="space"/>
      <w:lvlText w:val="%1."/>
      <w:lvlJc w:val="left"/>
    </w:lvl>
  </w:abstractNum>
  <w:abstractNum w:abstractNumId="4">
    <w:nsid w:val="B940B7CB"/>
    <w:multiLevelType w:val="singleLevel"/>
    <w:tmpl w:val="B940B7CB"/>
    <w:lvl w:ilvl="0" w:tentative="0">
      <w:start w:val="3"/>
      <w:numFmt w:val="decimal"/>
      <w:suff w:val="nothing"/>
      <w:lvlText w:val="%1、"/>
      <w:lvlJc w:val="left"/>
    </w:lvl>
  </w:abstractNum>
  <w:abstractNum w:abstractNumId="5">
    <w:nsid w:val="E25B3C03"/>
    <w:multiLevelType w:val="singleLevel"/>
    <w:tmpl w:val="E25B3C03"/>
    <w:lvl w:ilvl="0" w:tentative="0">
      <w:start w:val="1"/>
      <w:numFmt w:val="decimal"/>
      <w:suff w:val="nothing"/>
      <w:lvlText w:val="（%1）"/>
      <w:lvlJc w:val="left"/>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4054F6"/>
    <w:multiLevelType w:val="multilevel"/>
    <w:tmpl w:val="074054F6"/>
    <w:lvl w:ilvl="0" w:tentative="0">
      <w:start w:val="1"/>
      <w:numFmt w:val="decimal"/>
      <w:pStyle w:val="32"/>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1C58BAF0"/>
    <w:multiLevelType w:val="singleLevel"/>
    <w:tmpl w:val="1C58BAF0"/>
    <w:lvl w:ilvl="0" w:tentative="0">
      <w:start w:val="1"/>
      <w:numFmt w:val="decimal"/>
      <w:suff w:val="nothing"/>
      <w:lvlText w:val="（%1）"/>
      <w:lvlJc w:val="left"/>
    </w:lvl>
  </w:abstractNum>
  <w:abstractNum w:abstractNumId="9">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A659624"/>
    <w:multiLevelType w:val="singleLevel"/>
    <w:tmpl w:val="5A659624"/>
    <w:lvl w:ilvl="0" w:tentative="0">
      <w:start w:val="1"/>
      <w:numFmt w:val="chineseCounting"/>
      <w:suff w:val="nothing"/>
      <w:lvlText w:val="%1、"/>
      <w:lvlJc w:val="left"/>
    </w:lvl>
  </w:abstractNum>
  <w:abstractNum w:abstractNumId="11">
    <w:nsid w:val="5A693C2F"/>
    <w:multiLevelType w:val="singleLevel"/>
    <w:tmpl w:val="5A693C2F"/>
    <w:lvl w:ilvl="0" w:tentative="0">
      <w:start w:val="3"/>
      <w:numFmt w:val="chineseCounting"/>
      <w:suff w:val="space"/>
      <w:lvlText w:val="第%1章"/>
      <w:lvlJc w:val="left"/>
    </w:lvl>
  </w:abstractNum>
  <w:abstractNum w:abstractNumId="12">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7"/>
  </w:num>
  <w:num w:numId="2">
    <w:abstractNumId w:val="4"/>
  </w:num>
  <w:num w:numId="3">
    <w:abstractNumId w:val="12"/>
  </w:num>
  <w:num w:numId="4">
    <w:abstractNumId w:val="0"/>
  </w:num>
  <w:num w:numId="5">
    <w:abstractNumId w:val="6"/>
  </w:num>
  <w:num w:numId="6">
    <w:abstractNumId w:val="11"/>
  </w:num>
  <w:num w:numId="7">
    <w:abstractNumId w:val="1"/>
  </w:num>
  <w:num w:numId="8">
    <w:abstractNumId w:val="8"/>
  </w:num>
  <w:num w:numId="9">
    <w:abstractNumId w:val="5"/>
  </w:num>
  <w:num w:numId="10">
    <w:abstractNumId w:val="10"/>
  </w:num>
  <w:num w:numId="11">
    <w:abstractNumId w:val="9"/>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90"/>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QxYWQxYWE2YTBmY2FhZThlNGM5OWRiMGU4ZWQwNmMifQ=="/>
  </w:docVars>
  <w:rsids>
    <w:rsidRoot w:val="00CF3BAF"/>
    <w:rsid w:val="00013654"/>
    <w:rsid w:val="000720C4"/>
    <w:rsid w:val="00145803"/>
    <w:rsid w:val="00281BCC"/>
    <w:rsid w:val="002A1364"/>
    <w:rsid w:val="0034193D"/>
    <w:rsid w:val="00382698"/>
    <w:rsid w:val="003840CE"/>
    <w:rsid w:val="005315C8"/>
    <w:rsid w:val="005B5440"/>
    <w:rsid w:val="00666E50"/>
    <w:rsid w:val="006838D7"/>
    <w:rsid w:val="006B2CA3"/>
    <w:rsid w:val="007074F1"/>
    <w:rsid w:val="008A148B"/>
    <w:rsid w:val="00A13C3D"/>
    <w:rsid w:val="00A61B02"/>
    <w:rsid w:val="00AA4C85"/>
    <w:rsid w:val="00B22521"/>
    <w:rsid w:val="00B3402D"/>
    <w:rsid w:val="00BC45CD"/>
    <w:rsid w:val="00BC47C8"/>
    <w:rsid w:val="00C15FCB"/>
    <w:rsid w:val="00C71C7E"/>
    <w:rsid w:val="00C94A06"/>
    <w:rsid w:val="00C94AF7"/>
    <w:rsid w:val="00CF3BAF"/>
    <w:rsid w:val="00D833BE"/>
    <w:rsid w:val="00E61A34"/>
    <w:rsid w:val="00F8584C"/>
    <w:rsid w:val="00FB3E02"/>
    <w:rsid w:val="00FF5EE5"/>
    <w:rsid w:val="01597611"/>
    <w:rsid w:val="019C74BD"/>
    <w:rsid w:val="01A249C3"/>
    <w:rsid w:val="01CD0413"/>
    <w:rsid w:val="02023511"/>
    <w:rsid w:val="023F2212"/>
    <w:rsid w:val="02534437"/>
    <w:rsid w:val="02A079AD"/>
    <w:rsid w:val="02AD7AC3"/>
    <w:rsid w:val="031F2043"/>
    <w:rsid w:val="03A34A22"/>
    <w:rsid w:val="03DF62D5"/>
    <w:rsid w:val="04351B1E"/>
    <w:rsid w:val="04764B57"/>
    <w:rsid w:val="049A5F70"/>
    <w:rsid w:val="04A46CA4"/>
    <w:rsid w:val="064B3EA8"/>
    <w:rsid w:val="06A27213"/>
    <w:rsid w:val="06B37672"/>
    <w:rsid w:val="06F1337E"/>
    <w:rsid w:val="07302A71"/>
    <w:rsid w:val="0740516B"/>
    <w:rsid w:val="074D4119"/>
    <w:rsid w:val="0753050D"/>
    <w:rsid w:val="07554ACD"/>
    <w:rsid w:val="07997BA5"/>
    <w:rsid w:val="07CB4548"/>
    <w:rsid w:val="082509A7"/>
    <w:rsid w:val="08297BEC"/>
    <w:rsid w:val="083A174E"/>
    <w:rsid w:val="08B6562F"/>
    <w:rsid w:val="091A12E3"/>
    <w:rsid w:val="09A514F4"/>
    <w:rsid w:val="0A083831"/>
    <w:rsid w:val="0A3E54A5"/>
    <w:rsid w:val="0B1A1A6E"/>
    <w:rsid w:val="0B344BF6"/>
    <w:rsid w:val="0B61144B"/>
    <w:rsid w:val="0C076843"/>
    <w:rsid w:val="0C2D57D1"/>
    <w:rsid w:val="0C4D19CF"/>
    <w:rsid w:val="0CD05128"/>
    <w:rsid w:val="0D1F511A"/>
    <w:rsid w:val="0D674D12"/>
    <w:rsid w:val="0D792EC2"/>
    <w:rsid w:val="0D81592D"/>
    <w:rsid w:val="0DEE2D3E"/>
    <w:rsid w:val="0EA33B28"/>
    <w:rsid w:val="0EDC105C"/>
    <w:rsid w:val="0EDE6CBA"/>
    <w:rsid w:val="0F0410E0"/>
    <w:rsid w:val="0FE278B1"/>
    <w:rsid w:val="0FE73EE9"/>
    <w:rsid w:val="1012372A"/>
    <w:rsid w:val="1031492B"/>
    <w:rsid w:val="10374E70"/>
    <w:rsid w:val="10544429"/>
    <w:rsid w:val="113D3D5C"/>
    <w:rsid w:val="115630D4"/>
    <w:rsid w:val="11A25357"/>
    <w:rsid w:val="11B34CF4"/>
    <w:rsid w:val="126E269F"/>
    <w:rsid w:val="129F0B79"/>
    <w:rsid w:val="13196E1B"/>
    <w:rsid w:val="13651CF4"/>
    <w:rsid w:val="13D308D7"/>
    <w:rsid w:val="143C687A"/>
    <w:rsid w:val="144162BD"/>
    <w:rsid w:val="1457163D"/>
    <w:rsid w:val="14860849"/>
    <w:rsid w:val="14D233B9"/>
    <w:rsid w:val="14E629C1"/>
    <w:rsid w:val="15883A78"/>
    <w:rsid w:val="16985F3D"/>
    <w:rsid w:val="16997753"/>
    <w:rsid w:val="169D288C"/>
    <w:rsid w:val="16A62408"/>
    <w:rsid w:val="179C380B"/>
    <w:rsid w:val="18D3325C"/>
    <w:rsid w:val="196A7BE4"/>
    <w:rsid w:val="19CA0B03"/>
    <w:rsid w:val="19EF2318"/>
    <w:rsid w:val="1A913822"/>
    <w:rsid w:val="1A9D1D74"/>
    <w:rsid w:val="1B33310F"/>
    <w:rsid w:val="1BC81072"/>
    <w:rsid w:val="1BD529D4"/>
    <w:rsid w:val="1BE9127A"/>
    <w:rsid w:val="1BF9122C"/>
    <w:rsid w:val="1C0320AA"/>
    <w:rsid w:val="1CD57C9C"/>
    <w:rsid w:val="1CD852E5"/>
    <w:rsid w:val="1CDD28FB"/>
    <w:rsid w:val="1D2E3157"/>
    <w:rsid w:val="1D5A65E9"/>
    <w:rsid w:val="1DAD0520"/>
    <w:rsid w:val="1DD106B2"/>
    <w:rsid w:val="1E212A6F"/>
    <w:rsid w:val="1E360353"/>
    <w:rsid w:val="1E37603B"/>
    <w:rsid w:val="1EB33136"/>
    <w:rsid w:val="1EE937D9"/>
    <w:rsid w:val="1FB04E84"/>
    <w:rsid w:val="205C7FDB"/>
    <w:rsid w:val="21C85928"/>
    <w:rsid w:val="23C21A0E"/>
    <w:rsid w:val="24044C11"/>
    <w:rsid w:val="24581EC9"/>
    <w:rsid w:val="245D7AC3"/>
    <w:rsid w:val="245F3E5F"/>
    <w:rsid w:val="24AC7783"/>
    <w:rsid w:val="24D32F62"/>
    <w:rsid w:val="2556149D"/>
    <w:rsid w:val="257C53A7"/>
    <w:rsid w:val="25F10BAD"/>
    <w:rsid w:val="26557F83"/>
    <w:rsid w:val="2671382C"/>
    <w:rsid w:val="26AF355A"/>
    <w:rsid w:val="27DD7C53"/>
    <w:rsid w:val="28013942"/>
    <w:rsid w:val="2858552C"/>
    <w:rsid w:val="287019A1"/>
    <w:rsid w:val="28BD1C36"/>
    <w:rsid w:val="28CA467C"/>
    <w:rsid w:val="28E62B38"/>
    <w:rsid w:val="29712D49"/>
    <w:rsid w:val="29AD1F3E"/>
    <w:rsid w:val="2A1F4553"/>
    <w:rsid w:val="2A334727"/>
    <w:rsid w:val="2B7E0BF1"/>
    <w:rsid w:val="2C120077"/>
    <w:rsid w:val="2C7566AC"/>
    <w:rsid w:val="2D104627"/>
    <w:rsid w:val="2D4759F0"/>
    <w:rsid w:val="2D4B17C9"/>
    <w:rsid w:val="2D746964"/>
    <w:rsid w:val="2E3D58F0"/>
    <w:rsid w:val="2E7164C1"/>
    <w:rsid w:val="2E8C4181"/>
    <w:rsid w:val="2E996D68"/>
    <w:rsid w:val="2ED80964"/>
    <w:rsid w:val="30204B81"/>
    <w:rsid w:val="3054090C"/>
    <w:rsid w:val="315E08FB"/>
    <w:rsid w:val="31B94039"/>
    <w:rsid w:val="32243EA7"/>
    <w:rsid w:val="32AC094E"/>
    <w:rsid w:val="32BD2B5B"/>
    <w:rsid w:val="330C04D6"/>
    <w:rsid w:val="33947D60"/>
    <w:rsid w:val="3442156A"/>
    <w:rsid w:val="34BF0E0C"/>
    <w:rsid w:val="34C74165"/>
    <w:rsid w:val="351B1DBB"/>
    <w:rsid w:val="356103C1"/>
    <w:rsid w:val="359F479A"/>
    <w:rsid w:val="3608233F"/>
    <w:rsid w:val="36370E76"/>
    <w:rsid w:val="364C5C5D"/>
    <w:rsid w:val="36525CB0"/>
    <w:rsid w:val="367B0D63"/>
    <w:rsid w:val="36AA33F6"/>
    <w:rsid w:val="36F2243E"/>
    <w:rsid w:val="372A4537"/>
    <w:rsid w:val="37533A8E"/>
    <w:rsid w:val="37D13E88"/>
    <w:rsid w:val="38C56745"/>
    <w:rsid w:val="395221DE"/>
    <w:rsid w:val="3A323E2F"/>
    <w:rsid w:val="3A414072"/>
    <w:rsid w:val="3A864B89"/>
    <w:rsid w:val="3AAA15E3"/>
    <w:rsid w:val="3AC405E4"/>
    <w:rsid w:val="3B680882"/>
    <w:rsid w:val="3B9D352A"/>
    <w:rsid w:val="3C5740DD"/>
    <w:rsid w:val="3C617ADE"/>
    <w:rsid w:val="3C875BD5"/>
    <w:rsid w:val="3D3F6549"/>
    <w:rsid w:val="3D6E3B32"/>
    <w:rsid w:val="3DA476DF"/>
    <w:rsid w:val="3DC254CA"/>
    <w:rsid w:val="3DCB7BB1"/>
    <w:rsid w:val="3E8E1D06"/>
    <w:rsid w:val="3EA91C86"/>
    <w:rsid w:val="3EC86B10"/>
    <w:rsid w:val="3F51170A"/>
    <w:rsid w:val="3FD66319"/>
    <w:rsid w:val="3FF840EB"/>
    <w:rsid w:val="407C1AED"/>
    <w:rsid w:val="40AE6405"/>
    <w:rsid w:val="410D1152"/>
    <w:rsid w:val="417B430D"/>
    <w:rsid w:val="419212F6"/>
    <w:rsid w:val="41A82C28"/>
    <w:rsid w:val="420C4EF5"/>
    <w:rsid w:val="42181E5B"/>
    <w:rsid w:val="42E303BC"/>
    <w:rsid w:val="42F65BA4"/>
    <w:rsid w:val="435B61A4"/>
    <w:rsid w:val="43EA7528"/>
    <w:rsid w:val="4453447A"/>
    <w:rsid w:val="447514E8"/>
    <w:rsid w:val="46001285"/>
    <w:rsid w:val="47503B46"/>
    <w:rsid w:val="485633DE"/>
    <w:rsid w:val="486E372E"/>
    <w:rsid w:val="48C22822"/>
    <w:rsid w:val="49080B7C"/>
    <w:rsid w:val="495261A3"/>
    <w:rsid w:val="499F2B63"/>
    <w:rsid w:val="49B4660E"/>
    <w:rsid w:val="49BC1967"/>
    <w:rsid w:val="4BA55B26"/>
    <w:rsid w:val="4BB943B0"/>
    <w:rsid w:val="4BC6087B"/>
    <w:rsid w:val="4BCD1C09"/>
    <w:rsid w:val="4C4814B5"/>
    <w:rsid w:val="4D477799"/>
    <w:rsid w:val="4D66012C"/>
    <w:rsid w:val="4D8C494F"/>
    <w:rsid w:val="4D987FF5"/>
    <w:rsid w:val="4E7C3AE4"/>
    <w:rsid w:val="4ED84B4D"/>
    <w:rsid w:val="4FDA48F5"/>
    <w:rsid w:val="4FDD6193"/>
    <w:rsid w:val="50067E95"/>
    <w:rsid w:val="50091D29"/>
    <w:rsid w:val="50357D7D"/>
    <w:rsid w:val="505B3C87"/>
    <w:rsid w:val="51B11685"/>
    <w:rsid w:val="51F82BBB"/>
    <w:rsid w:val="520E4D2A"/>
    <w:rsid w:val="522B7DE8"/>
    <w:rsid w:val="52DC6BD6"/>
    <w:rsid w:val="52EB6588"/>
    <w:rsid w:val="53CF72B2"/>
    <w:rsid w:val="53D14261"/>
    <w:rsid w:val="55161DC8"/>
    <w:rsid w:val="5549056E"/>
    <w:rsid w:val="55C81AB9"/>
    <w:rsid w:val="55FB20AD"/>
    <w:rsid w:val="5664557C"/>
    <w:rsid w:val="56A31EE4"/>
    <w:rsid w:val="56B85264"/>
    <w:rsid w:val="56BB3C75"/>
    <w:rsid w:val="56DE7067"/>
    <w:rsid w:val="570620A6"/>
    <w:rsid w:val="570955B4"/>
    <w:rsid w:val="574F7976"/>
    <w:rsid w:val="57527C3E"/>
    <w:rsid w:val="5783793E"/>
    <w:rsid w:val="578810DA"/>
    <w:rsid w:val="57964022"/>
    <w:rsid w:val="57B43C7D"/>
    <w:rsid w:val="57CC2BA0"/>
    <w:rsid w:val="58BC103B"/>
    <w:rsid w:val="58BF28DA"/>
    <w:rsid w:val="59441031"/>
    <w:rsid w:val="594828CF"/>
    <w:rsid w:val="594F1EAF"/>
    <w:rsid w:val="599F77C9"/>
    <w:rsid w:val="59C95F43"/>
    <w:rsid w:val="59E76456"/>
    <w:rsid w:val="5A8042EB"/>
    <w:rsid w:val="5A851901"/>
    <w:rsid w:val="5A93268F"/>
    <w:rsid w:val="5A957D96"/>
    <w:rsid w:val="5AB2046A"/>
    <w:rsid w:val="5AE6318E"/>
    <w:rsid w:val="5C1B251D"/>
    <w:rsid w:val="5C3E7FB9"/>
    <w:rsid w:val="5C8E651C"/>
    <w:rsid w:val="5C917CF5"/>
    <w:rsid w:val="5D120EE1"/>
    <w:rsid w:val="5D7C6FEB"/>
    <w:rsid w:val="5D886CB3"/>
    <w:rsid w:val="5DB443B5"/>
    <w:rsid w:val="5E313880"/>
    <w:rsid w:val="5E803BCC"/>
    <w:rsid w:val="5E893766"/>
    <w:rsid w:val="5EAE4FD3"/>
    <w:rsid w:val="5EE74938"/>
    <w:rsid w:val="5F09244A"/>
    <w:rsid w:val="5F1514A5"/>
    <w:rsid w:val="5F9177D9"/>
    <w:rsid w:val="5FB7255D"/>
    <w:rsid w:val="5FEF619A"/>
    <w:rsid w:val="60082DB8"/>
    <w:rsid w:val="60B25AEA"/>
    <w:rsid w:val="615C6151"/>
    <w:rsid w:val="61BC3E5A"/>
    <w:rsid w:val="62047871"/>
    <w:rsid w:val="622B3906"/>
    <w:rsid w:val="62D6719E"/>
    <w:rsid w:val="62DD22DA"/>
    <w:rsid w:val="62EF46F3"/>
    <w:rsid w:val="63100901"/>
    <w:rsid w:val="633148D2"/>
    <w:rsid w:val="63BE035D"/>
    <w:rsid w:val="64CA3CB4"/>
    <w:rsid w:val="65A442CC"/>
    <w:rsid w:val="65EF7DA6"/>
    <w:rsid w:val="66342B59"/>
    <w:rsid w:val="66373858"/>
    <w:rsid w:val="66521231"/>
    <w:rsid w:val="666845B1"/>
    <w:rsid w:val="66D734E4"/>
    <w:rsid w:val="66DE4873"/>
    <w:rsid w:val="66E3632D"/>
    <w:rsid w:val="66F10A4A"/>
    <w:rsid w:val="67477DD7"/>
    <w:rsid w:val="67923FAF"/>
    <w:rsid w:val="67AB689B"/>
    <w:rsid w:val="67F105D6"/>
    <w:rsid w:val="682E6AFE"/>
    <w:rsid w:val="68B476C6"/>
    <w:rsid w:val="69431305"/>
    <w:rsid w:val="69676C0C"/>
    <w:rsid w:val="69AE1092"/>
    <w:rsid w:val="69E71C90"/>
    <w:rsid w:val="6A425119"/>
    <w:rsid w:val="6AE54422"/>
    <w:rsid w:val="6BCF1CE1"/>
    <w:rsid w:val="6BD36CF4"/>
    <w:rsid w:val="6CD72490"/>
    <w:rsid w:val="6D0A63C2"/>
    <w:rsid w:val="6D2917A9"/>
    <w:rsid w:val="6D4E6E2B"/>
    <w:rsid w:val="6D67660A"/>
    <w:rsid w:val="6DC81DD9"/>
    <w:rsid w:val="6F33431F"/>
    <w:rsid w:val="6F54601A"/>
    <w:rsid w:val="6FE0340A"/>
    <w:rsid w:val="706B0FD9"/>
    <w:rsid w:val="70822713"/>
    <w:rsid w:val="70B46F74"/>
    <w:rsid w:val="714B51FB"/>
    <w:rsid w:val="71DF0C7B"/>
    <w:rsid w:val="721049DF"/>
    <w:rsid w:val="727442DD"/>
    <w:rsid w:val="72A42EE3"/>
    <w:rsid w:val="72FD1EE3"/>
    <w:rsid w:val="73900C02"/>
    <w:rsid w:val="73BE334D"/>
    <w:rsid w:val="73C92407"/>
    <w:rsid w:val="75F6021B"/>
    <w:rsid w:val="765C2A04"/>
    <w:rsid w:val="77463913"/>
    <w:rsid w:val="778925D9"/>
    <w:rsid w:val="786F17CF"/>
    <w:rsid w:val="78D6184E"/>
    <w:rsid w:val="7957206C"/>
    <w:rsid w:val="79631BE1"/>
    <w:rsid w:val="797A2798"/>
    <w:rsid w:val="79992F3A"/>
    <w:rsid w:val="79C773E8"/>
    <w:rsid w:val="79EC68CF"/>
    <w:rsid w:val="7A921700"/>
    <w:rsid w:val="7ADC6EC3"/>
    <w:rsid w:val="7B1D3764"/>
    <w:rsid w:val="7C1A207B"/>
    <w:rsid w:val="7C4D62CB"/>
    <w:rsid w:val="7C537629"/>
    <w:rsid w:val="7C574A54"/>
    <w:rsid w:val="7CC83F86"/>
    <w:rsid w:val="7CCA3711"/>
    <w:rsid w:val="7EF95A5A"/>
    <w:rsid w:val="7F3E1EFB"/>
    <w:rsid w:val="7F463B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6">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7">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unhideWhenUsed/>
    <w:qFormat/>
    <w:uiPriority w:val="0"/>
    <w:pPr>
      <w:ind w:firstLine="420" w:firstLineChars="100"/>
    </w:pPr>
    <w:rPr>
      <w:rFonts w:hint="eastAsia" w:ascii="楷体_GB2312" w:eastAsia="楷体_GB2312"/>
      <w:sz w:val="32"/>
    </w:rPr>
  </w:style>
  <w:style w:type="paragraph" w:styleId="3">
    <w:name w:val="Body Text"/>
    <w:basedOn w:val="1"/>
    <w:next w:val="4"/>
    <w:qFormat/>
    <w:uiPriority w:val="0"/>
    <w:rPr>
      <w:rFonts w:ascii="Times New Roman" w:hAnsi="Times New Roman"/>
    </w:rPr>
  </w:style>
  <w:style w:type="paragraph" w:customStyle="1" w:styleId="4">
    <w:name w:val="正文文本 21"/>
    <w:basedOn w:val="1"/>
    <w:qFormat/>
    <w:uiPriority w:val="0"/>
    <w:rPr>
      <w:rFonts w:ascii="Times New Roman" w:hAnsi="Times New Roman"/>
      <w:sz w:val="28"/>
    </w:rPr>
  </w:style>
  <w:style w:type="paragraph" w:styleId="8">
    <w:name w:val="caption"/>
    <w:basedOn w:val="1"/>
    <w:next w:val="1"/>
    <w:qFormat/>
    <w:uiPriority w:val="0"/>
    <w:rPr>
      <w:rFonts w:ascii="Arial" w:hAnsi="Arial" w:eastAsia="黑体" w:cstheme="minorBidi"/>
      <w:sz w:val="20"/>
    </w:rPr>
  </w:style>
  <w:style w:type="paragraph" w:styleId="9">
    <w:name w:val="toa heading"/>
    <w:basedOn w:val="1"/>
    <w:next w:val="1"/>
    <w:unhideWhenUsed/>
    <w:qFormat/>
    <w:uiPriority w:val="99"/>
    <w:pPr>
      <w:spacing w:before="120"/>
    </w:pPr>
    <w:rPr>
      <w:rFonts w:ascii="Arial" w:hAnsi="Arial" w:cs="Arial"/>
      <w:sz w:val="24"/>
    </w:rPr>
  </w:style>
  <w:style w:type="paragraph" w:styleId="10">
    <w:name w:val="annotation text"/>
    <w:basedOn w:val="1"/>
    <w:qFormat/>
    <w:uiPriority w:val="0"/>
    <w:pPr>
      <w:jc w:val="left"/>
    </w:pPr>
  </w:style>
  <w:style w:type="paragraph" w:styleId="11">
    <w:name w:val="Body Text 3"/>
    <w:basedOn w:val="1"/>
    <w:unhideWhenUsed/>
    <w:qFormat/>
    <w:uiPriority w:val="0"/>
    <w:pPr>
      <w:spacing w:after="120"/>
    </w:pPr>
    <w:rPr>
      <w:rFonts w:ascii="Times New Roman" w:hAnsi="Times New Roman"/>
      <w:sz w:val="16"/>
      <w:szCs w:val="16"/>
    </w:rPr>
  </w:style>
  <w:style w:type="paragraph" w:styleId="12">
    <w:name w:val="Body Text Indent"/>
    <w:basedOn w:val="1"/>
    <w:next w:val="13"/>
    <w:qFormat/>
    <w:uiPriority w:val="0"/>
    <w:pPr>
      <w:ind w:firstLine="560" w:firstLineChars="200"/>
    </w:pPr>
    <w:rPr>
      <w:rFonts w:ascii="Times New Roman" w:hAnsi="Times New Roman"/>
    </w:rPr>
  </w:style>
  <w:style w:type="paragraph" w:styleId="13">
    <w:name w:val="annotation subject"/>
    <w:basedOn w:val="10"/>
    <w:next w:val="1"/>
    <w:qFormat/>
    <w:uiPriority w:val="0"/>
    <w:rPr>
      <w:b/>
      <w:bCs/>
    </w:rPr>
  </w:style>
  <w:style w:type="paragraph" w:styleId="14">
    <w:name w:val="toc 3"/>
    <w:basedOn w:val="1"/>
    <w:next w:val="1"/>
    <w:qFormat/>
    <w:uiPriority w:val="0"/>
    <w:pPr>
      <w:ind w:left="840" w:leftChars="400"/>
    </w:pPr>
  </w:style>
  <w:style w:type="paragraph" w:styleId="15">
    <w:name w:val="Plain Text"/>
    <w:basedOn w:val="1"/>
    <w:qFormat/>
    <w:uiPriority w:val="0"/>
    <w:rPr>
      <w:rFonts w:hint="eastAsia" w:ascii="宋体" w:hAnsi="Courier New"/>
      <w:szCs w:val="21"/>
    </w:rPr>
  </w:style>
  <w:style w:type="paragraph" w:styleId="16">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9">
    <w:name w:val="toc 1"/>
    <w:basedOn w:val="1"/>
    <w:next w:val="1"/>
    <w:qFormat/>
    <w:uiPriority w:val="0"/>
    <w:rPr>
      <w:rFonts w:ascii="Times New Roman" w:hAnsi="Times New Roman"/>
    </w:rPr>
  </w:style>
  <w:style w:type="paragraph" w:styleId="20">
    <w:name w:val="toc 2"/>
    <w:basedOn w:val="1"/>
    <w:next w:val="1"/>
    <w:qFormat/>
    <w:uiPriority w:val="0"/>
    <w:pPr>
      <w:ind w:left="420" w:leftChars="200"/>
    </w:pPr>
  </w:style>
  <w:style w:type="paragraph" w:styleId="21">
    <w:name w:val="Body Text 2"/>
    <w:basedOn w:val="1"/>
    <w:next w:val="3"/>
    <w:unhideWhenUsed/>
    <w:qFormat/>
    <w:uiPriority w:val="0"/>
    <w:pPr>
      <w:spacing w:after="120" w:line="480" w:lineRule="auto"/>
    </w:pPr>
    <w:rPr>
      <w:rFonts w:ascii="Times New Roman" w:hAnsi="Times New Roman"/>
    </w:rPr>
  </w:style>
  <w:style w:type="paragraph" w:styleId="2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3">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2"/>
    <w:basedOn w:val="12"/>
    <w:next w:val="1"/>
    <w:qFormat/>
    <w:uiPriority w:val="0"/>
    <w:pPr>
      <w:ind w:firstLine="420"/>
    </w:p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qFormat/>
    <w:uiPriority w:val="99"/>
    <w:rPr>
      <w:rFonts w:cs="Times New Roman"/>
      <w:color w:val="0000FF"/>
      <w:u w:val="single"/>
    </w:rPr>
  </w:style>
  <w:style w:type="paragraph" w:customStyle="1" w:styleId="29">
    <w:name w:val="style4"/>
    <w:basedOn w:val="30"/>
    <w:next w:val="31"/>
    <w:qFormat/>
    <w:uiPriority w:val="0"/>
    <w:pPr>
      <w:widowControl/>
      <w:spacing w:beforeAutospacing="1" w:afterAutospacing="1"/>
      <w:jc w:val="left"/>
    </w:pPr>
    <w:rPr>
      <w:rFonts w:ascii="宋体" w:hAnsi="宋体" w:cs="宋体"/>
      <w:kern w:val="0"/>
      <w:sz w:val="18"/>
      <w:szCs w:val="18"/>
    </w:rPr>
  </w:style>
  <w:style w:type="paragraph" w:customStyle="1" w:styleId="30">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Style1"/>
    <w:next w:val="33"/>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3">
    <w:name w:val="*正文"/>
    <w:basedOn w:val="1"/>
    <w:qFormat/>
    <w:uiPriority w:val="0"/>
    <w:pPr>
      <w:ind w:firstLine="200" w:firstLineChars="200"/>
    </w:pPr>
    <w:rPr>
      <w:rFonts w:ascii="宋体" w:hAnsi="宋体"/>
      <w:szCs w:val="22"/>
    </w:rPr>
  </w:style>
  <w:style w:type="paragraph" w:customStyle="1" w:styleId="34">
    <w:name w:val="Body Text First Indent1"/>
    <w:basedOn w:val="3"/>
    <w:qFormat/>
    <w:uiPriority w:val="0"/>
    <w:pPr>
      <w:ind w:firstLine="420" w:firstLineChars="100"/>
    </w:pPr>
  </w:style>
  <w:style w:type="paragraph" w:customStyle="1" w:styleId="35">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36">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37">
    <w:name w:val="表格文字"/>
    <w:basedOn w:val="1"/>
    <w:next w:val="3"/>
    <w:qFormat/>
    <w:uiPriority w:val="0"/>
    <w:pPr>
      <w:adjustRightInd w:val="0"/>
      <w:spacing w:line="420" w:lineRule="atLeast"/>
      <w:jc w:val="left"/>
      <w:textAlignment w:val="baseline"/>
    </w:pPr>
    <w:rPr>
      <w:kern w:val="0"/>
    </w:rPr>
  </w:style>
  <w:style w:type="paragraph" w:customStyle="1" w:styleId="38">
    <w:name w:val="p0"/>
    <w:basedOn w:val="39"/>
    <w:qFormat/>
    <w:uiPriority w:val="0"/>
    <w:pPr>
      <w:widowControl/>
    </w:pPr>
    <w:rPr>
      <w:kern w:val="0"/>
      <w:szCs w:val="21"/>
    </w:rPr>
  </w:style>
  <w:style w:type="paragraph" w:customStyle="1" w:styleId="39">
    <w:name w:val="正文1"/>
    <w:next w:val="4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正文文本1"/>
    <w:basedOn w:val="39"/>
    <w:qFormat/>
    <w:uiPriority w:val="99"/>
    <w:rPr>
      <w:rFonts w:eastAsia="楷体_GB2312"/>
      <w:sz w:val="28"/>
    </w:rPr>
  </w:style>
  <w:style w:type="character" w:customStyle="1" w:styleId="41">
    <w:name w:val="NormalCharacter"/>
    <w:qFormat/>
    <w:uiPriority w:val="0"/>
    <w:rPr>
      <w:rFonts w:ascii="Book Antiqua" w:hAnsi="Book Antiqua" w:eastAsia="宋体" w:cs="Times New Roman"/>
      <w:kern w:val="2"/>
      <w:sz w:val="21"/>
      <w:szCs w:val="24"/>
      <w:lang w:val="en-US" w:eastAsia="zh-CN" w:bidi="ar-SA"/>
    </w:rPr>
  </w:style>
  <w:style w:type="paragraph" w:customStyle="1" w:styleId="42">
    <w:name w:val="BodyText1I"/>
    <w:basedOn w:val="43"/>
    <w:next w:val="45"/>
    <w:qFormat/>
    <w:uiPriority w:val="0"/>
    <w:pPr>
      <w:ind w:firstLine="420" w:firstLineChars="100"/>
    </w:pPr>
    <w:rPr>
      <w:rFonts w:ascii="楷体_GB2312"/>
      <w:sz w:val="32"/>
    </w:rPr>
  </w:style>
  <w:style w:type="paragraph" w:customStyle="1" w:styleId="43">
    <w:name w:val="BodyText"/>
    <w:basedOn w:val="1"/>
    <w:next w:val="44"/>
    <w:qFormat/>
    <w:uiPriority w:val="0"/>
    <w:pPr>
      <w:textAlignment w:val="baseline"/>
    </w:pPr>
    <w:rPr>
      <w:rFonts w:ascii="Calibri" w:hAnsi="Calibri" w:eastAsia="楷体_GB2312"/>
      <w:kern w:val="0"/>
      <w:sz w:val="28"/>
    </w:rPr>
  </w:style>
  <w:style w:type="paragraph" w:customStyle="1" w:styleId="44">
    <w:name w:val="BodyText2"/>
    <w:basedOn w:val="1"/>
    <w:next w:val="43"/>
    <w:qFormat/>
    <w:uiPriority w:val="0"/>
    <w:pPr>
      <w:spacing w:after="120" w:line="480" w:lineRule="auto"/>
      <w:textAlignment w:val="baseline"/>
    </w:pPr>
  </w:style>
  <w:style w:type="paragraph" w:customStyle="1" w:styleId="45">
    <w:name w:val="BodyText1I2"/>
    <w:basedOn w:val="46"/>
    <w:qFormat/>
    <w:uiPriority w:val="0"/>
    <w:pPr>
      <w:ind w:firstLine="420" w:firstLineChars="200"/>
    </w:pPr>
  </w:style>
  <w:style w:type="paragraph" w:customStyle="1" w:styleId="46">
    <w:name w:val="BodyTextIndent"/>
    <w:basedOn w:val="1"/>
    <w:qFormat/>
    <w:uiPriority w:val="0"/>
    <w:pPr>
      <w:spacing w:after="120"/>
      <w:ind w:left="420" w:leftChars="200"/>
      <w:textAlignment w:val="baseline"/>
    </w:pPr>
  </w:style>
  <w:style w:type="paragraph" w:customStyle="1" w:styleId="47">
    <w:name w:val="TOAHeading"/>
    <w:basedOn w:val="1"/>
    <w:next w:val="1"/>
    <w:qFormat/>
    <w:uiPriority w:val="0"/>
    <w:pPr>
      <w:spacing w:before="120"/>
      <w:textAlignment w:val="baseline"/>
    </w:pPr>
    <w:rPr>
      <w:rFonts w:ascii="Arial" w:hAnsi="Arial"/>
      <w:sz w:val="24"/>
      <w:szCs w:val="22"/>
    </w:rPr>
  </w:style>
  <w:style w:type="paragraph" w:customStyle="1" w:styleId="48">
    <w:name w:val="Table Paragraph"/>
    <w:basedOn w:val="1"/>
    <w:qFormat/>
    <w:uiPriority w:val="1"/>
    <w:rPr>
      <w:rFonts w:ascii="宋体" w:hAnsi="宋体" w:cs="宋体"/>
      <w:lang w:val="zh-CN" w:bidi="zh-CN"/>
    </w:rPr>
  </w:style>
  <w:style w:type="paragraph" w:styleId="49">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50">
    <w:name w:val="_Style 41"/>
    <w:basedOn w:val="1"/>
    <w:next w:val="49"/>
    <w:qFormat/>
    <w:uiPriority w:val="34"/>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0"/>
    <customShpInfo spid="_x0000_s1028"/>
    <customShpInfo spid="_x0000_s1029"/>
    <customShpInfo spid="_x0000_s1027"/>
    <customShpInfo spid="_x0000_s2050"/>
    <customShpInfo spid="_x0000_s2051"/>
    <customShpInfo spid="_x0000_s2053"/>
    <customShpInfo spid="_x0000_s2052"/>
    <customShpInfo spid="_x0000_s2055"/>
    <customShpInfo spid="_x0000_s2054"/>
    <customShpInfo spid="_x0000_s2056"/>
    <customShpInfo spid="_x0000_s205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85D03-FBD8-40A3-B3B3-ABF82DB811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53</Pages>
  <Words>24492</Words>
  <Characters>26535</Characters>
  <Lines>217</Lines>
  <Paragraphs>61</Paragraphs>
  <TotalTime>21</TotalTime>
  <ScaleCrop>false</ScaleCrop>
  <LinksUpToDate>false</LinksUpToDate>
  <CharactersWithSpaces>27970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2022-05-27T00:38:00Z</dcterms:created>
  <dc:creator>DELL</dc:creator>
  <cp:lastModifiedBy>Trumen</cp:lastModifiedBy>
  <cp:lastPrinted>2022-05-24T03:41:00Z</cp:lastPrinted>
  <dcterms:modified xsi:type="dcterms:W3CDTF">2022-06-08T08:25:21Z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5703602E5BDE4F539C1B9C1983ED5595</vt:lpwstr>
  </property>
</Properties>
</file>